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31A9D">
      <w:pPr>
        <w:pStyle w:val="2"/>
        <w:spacing w:line="283" w:lineRule="auto"/>
      </w:pPr>
    </w:p>
    <w:p w14:paraId="7050A92F">
      <w:pPr>
        <w:pStyle w:val="2"/>
        <w:spacing w:line="284" w:lineRule="auto"/>
      </w:pPr>
    </w:p>
    <w:p w14:paraId="51493D93">
      <w:pPr>
        <w:spacing w:before="113" w:line="224" w:lineRule="auto"/>
        <w:ind w:left="1109"/>
        <w:rPr>
          <w:rFonts w:ascii="宋体" w:hAnsi="宋体" w:eastAsia="宋体" w:cs="宋体"/>
          <w:sz w:val="35"/>
          <w:szCs w:val="35"/>
        </w:rPr>
      </w:pPr>
      <w:r>
        <w:rPr>
          <w:rFonts w:ascii="宋体" w:hAnsi="宋体" w:eastAsia="宋体" w:cs="宋体"/>
          <w:b/>
          <w:bCs/>
          <w:spacing w:val="6"/>
          <w:sz w:val="35"/>
          <w:szCs w:val="35"/>
        </w:rPr>
        <w:t>剑阁县义兴镇干部职工周转房建设项目</w:t>
      </w:r>
    </w:p>
    <w:p w14:paraId="6D82902B">
      <w:pPr>
        <w:pStyle w:val="2"/>
        <w:spacing w:line="345" w:lineRule="auto"/>
      </w:pPr>
    </w:p>
    <w:p w14:paraId="37328432">
      <w:pPr>
        <w:spacing w:before="231" w:line="223" w:lineRule="auto"/>
        <w:ind w:left="951"/>
        <w:rPr>
          <w:rFonts w:ascii="黑体" w:hAnsi="黑体" w:eastAsia="黑体" w:cs="黑体"/>
          <w:sz w:val="71"/>
          <w:szCs w:val="71"/>
        </w:rPr>
      </w:pPr>
      <w:r>
        <w:rPr>
          <w:rFonts w:ascii="黑体" w:hAnsi="黑体" w:eastAsia="黑体" w:cs="黑体"/>
          <w:spacing w:val="7"/>
          <w:sz w:val="71"/>
          <w:szCs w:val="71"/>
        </w:rPr>
        <w:t>水土保持方案报告表</w:t>
      </w:r>
    </w:p>
    <w:p w14:paraId="783C7FD0">
      <w:pPr>
        <w:pStyle w:val="2"/>
        <w:spacing w:line="244" w:lineRule="auto"/>
      </w:pPr>
    </w:p>
    <w:p w14:paraId="137A4F41">
      <w:pPr>
        <w:pStyle w:val="2"/>
        <w:spacing w:line="244" w:lineRule="auto"/>
      </w:pPr>
    </w:p>
    <w:p w14:paraId="05EB1B0D">
      <w:pPr>
        <w:pStyle w:val="2"/>
        <w:spacing w:line="244" w:lineRule="auto"/>
      </w:pPr>
    </w:p>
    <w:p w14:paraId="4DCD4868">
      <w:pPr>
        <w:pStyle w:val="2"/>
        <w:spacing w:line="244" w:lineRule="auto"/>
      </w:pPr>
    </w:p>
    <w:p w14:paraId="7FA5F2DE">
      <w:pPr>
        <w:pStyle w:val="2"/>
        <w:spacing w:line="244" w:lineRule="auto"/>
      </w:pPr>
    </w:p>
    <w:p w14:paraId="544DC36D">
      <w:pPr>
        <w:pStyle w:val="2"/>
        <w:spacing w:line="244" w:lineRule="auto"/>
      </w:pPr>
    </w:p>
    <w:p w14:paraId="7B5B2A2F">
      <w:pPr>
        <w:pStyle w:val="2"/>
        <w:spacing w:line="244" w:lineRule="auto"/>
      </w:pPr>
    </w:p>
    <w:p w14:paraId="458CC424">
      <w:pPr>
        <w:pStyle w:val="2"/>
        <w:spacing w:line="244" w:lineRule="auto"/>
      </w:pPr>
    </w:p>
    <w:p w14:paraId="02DE91C2">
      <w:pPr>
        <w:pStyle w:val="2"/>
        <w:spacing w:line="244" w:lineRule="auto"/>
      </w:pPr>
    </w:p>
    <w:p w14:paraId="71516214">
      <w:pPr>
        <w:pStyle w:val="2"/>
        <w:spacing w:line="244" w:lineRule="auto"/>
      </w:pPr>
    </w:p>
    <w:p w14:paraId="4FB054B3">
      <w:pPr>
        <w:pStyle w:val="2"/>
        <w:spacing w:line="244" w:lineRule="auto"/>
      </w:pPr>
    </w:p>
    <w:p w14:paraId="382E37E0">
      <w:pPr>
        <w:pStyle w:val="2"/>
        <w:spacing w:line="244" w:lineRule="auto"/>
      </w:pPr>
    </w:p>
    <w:p w14:paraId="069E0BA4">
      <w:pPr>
        <w:pStyle w:val="2"/>
        <w:spacing w:line="244" w:lineRule="auto"/>
      </w:pPr>
    </w:p>
    <w:p w14:paraId="11D7D21E">
      <w:pPr>
        <w:pStyle w:val="2"/>
        <w:spacing w:line="244" w:lineRule="auto"/>
      </w:pPr>
    </w:p>
    <w:p w14:paraId="7A5C345C">
      <w:pPr>
        <w:pStyle w:val="2"/>
        <w:spacing w:line="244" w:lineRule="auto"/>
      </w:pPr>
    </w:p>
    <w:p w14:paraId="2EAA859A">
      <w:pPr>
        <w:pStyle w:val="2"/>
        <w:spacing w:line="244" w:lineRule="auto"/>
      </w:pPr>
    </w:p>
    <w:p w14:paraId="5C4F042B">
      <w:pPr>
        <w:pStyle w:val="2"/>
        <w:spacing w:line="244" w:lineRule="auto"/>
      </w:pPr>
    </w:p>
    <w:p w14:paraId="714A5EE9">
      <w:pPr>
        <w:pStyle w:val="2"/>
        <w:spacing w:line="244" w:lineRule="auto"/>
      </w:pPr>
    </w:p>
    <w:p w14:paraId="57DAB64F">
      <w:pPr>
        <w:pStyle w:val="2"/>
        <w:spacing w:line="244" w:lineRule="auto"/>
      </w:pPr>
    </w:p>
    <w:p w14:paraId="5D3CF888">
      <w:pPr>
        <w:pStyle w:val="2"/>
        <w:spacing w:line="244" w:lineRule="auto"/>
      </w:pPr>
    </w:p>
    <w:p w14:paraId="4E514CF1">
      <w:pPr>
        <w:pStyle w:val="2"/>
        <w:spacing w:line="245" w:lineRule="auto"/>
      </w:pPr>
    </w:p>
    <w:p w14:paraId="73EED8A5">
      <w:pPr>
        <w:pStyle w:val="2"/>
        <w:spacing w:line="245" w:lineRule="auto"/>
      </w:pPr>
    </w:p>
    <w:p w14:paraId="4EB1A4E3">
      <w:pPr>
        <w:pStyle w:val="2"/>
        <w:spacing w:line="245" w:lineRule="auto"/>
      </w:pPr>
    </w:p>
    <w:p w14:paraId="6F42F0F8">
      <w:pPr>
        <w:pStyle w:val="2"/>
        <w:spacing w:line="245" w:lineRule="auto"/>
      </w:pPr>
    </w:p>
    <w:p w14:paraId="685E5DB0">
      <w:pPr>
        <w:pStyle w:val="2"/>
        <w:spacing w:line="245" w:lineRule="auto"/>
      </w:pPr>
    </w:p>
    <w:p w14:paraId="7F85D501">
      <w:pPr>
        <w:pStyle w:val="2"/>
        <w:spacing w:line="245" w:lineRule="auto"/>
      </w:pPr>
    </w:p>
    <w:p w14:paraId="75B8399B">
      <w:pPr>
        <w:pStyle w:val="2"/>
        <w:spacing w:line="245" w:lineRule="auto"/>
      </w:pPr>
    </w:p>
    <w:p w14:paraId="52265385">
      <w:pPr>
        <w:pStyle w:val="2"/>
        <w:spacing w:line="245" w:lineRule="auto"/>
      </w:pPr>
    </w:p>
    <w:p w14:paraId="7A4A7DA1">
      <w:pPr>
        <w:pStyle w:val="2"/>
        <w:spacing w:line="245" w:lineRule="auto"/>
      </w:pPr>
    </w:p>
    <w:p w14:paraId="2F50D0A2">
      <w:pPr>
        <w:pStyle w:val="2"/>
        <w:spacing w:line="245" w:lineRule="auto"/>
      </w:pPr>
    </w:p>
    <w:p w14:paraId="6315787A">
      <w:pPr>
        <w:pStyle w:val="2"/>
        <w:spacing w:line="245" w:lineRule="auto"/>
      </w:pPr>
    </w:p>
    <w:p w14:paraId="4AE5AEC3">
      <w:pPr>
        <w:pStyle w:val="2"/>
        <w:spacing w:line="245" w:lineRule="auto"/>
      </w:pPr>
    </w:p>
    <w:p w14:paraId="5A809833">
      <w:pPr>
        <w:pStyle w:val="2"/>
        <w:spacing w:line="245" w:lineRule="auto"/>
      </w:pPr>
    </w:p>
    <w:p w14:paraId="16EAA303">
      <w:pPr>
        <w:spacing w:before="101" w:line="224" w:lineRule="auto"/>
        <w:ind w:left="1782"/>
        <w:rPr>
          <w:rFonts w:ascii="宋体" w:hAnsi="宋体" w:eastAsia="宋体" w:cs="宋体"/>
          <w:sz w:val="31"/>
          <w:szCs w:val="31"/>
        </w:rPr>
      </w:pPr>
      <w:r>
        <w:rPr>
          <w:rFonts w:ascii="宋体" w:hAnsi="宋体" w:eastAsia="宋体" w:cs="宋体"/>
          <w:spacing w:val="8"/>
          <w:sz w:val="31"/>
          <w:szCs w:val="31"/>
        </w:rPr>
        <w:t>建设单位：剑阁县义兴镇人民政府</w:t>
      </w:r>
    </w:p>
    <w:p w14:paraId="78F44DE5">
      <w:pPr>
        <w:pStyle w:val="2"/>
        <w:spacing w:line="294" w:lineRule="auto"/>
      </w:pPr>
    </w:p>
    <w:p w14:paraId="45577488">
      <w:pPr>
        <w:pStyle w:val="2"/>
        <w:spacing w:line="295" w:lineRule="auto"/>
      </w:pPr>
    </w:p>
    <w:p w14:paraId="487C298C">
      <w:pPr>
        <w:spacing w:before="101" w:line="225" w:lineRule="auto"/>
        <w:ind w:left="981"/>
        <w:rPr>
          <w:rFonts w:ascii="宋体" w:hAnsi="宋体" w:eastAsia="宋体" w:cs="宋体"/>
          <w:sz w:val="31"/>
          <w:szCs w:val="31"/>
        </w:rPr>
      </w:pPr>
      <w:r>
        <w:rPr>
          <w:rFonts w:ascii="宋体" w:hAnsi="宋体" w:eastAsia="宋体" w:cs="宋体"/>
          <w:spacing w:val="9"/>
          <w:sz w:val="31"/>
          <w:szCs w:val="31"/>
        </w:rPr>
        <w:t>编制单位：剑阁县绿森林业勘察设计有限公司</w:t>
      </w:r>
    </w:p>
    <w:p w14:paraId="661F2E48">
      <w:pPr>
        <w:spacing w:line="225" w:lineRule="auto"/>
        <w:rPr>
          <w:rFonts w:ascii="宋体" w:hAnsi="宋体" w:eastAsia="宋体" w:cs="宋体"/>
          <w:sz w:val="31"/>
          <w:szCs w:val="31"/>
        </w:rPr>
        <w:sectPr>
          <w:footerReference r:id="rId5" w:type="default"/>
          <w:pgSz w:w="11906" w:h="16839"/>
          <w:pgMar w:top="1431" w:right="1785" w:bottom="2504" w:left="1785" w:header="0" w:footer="2127" w:gutter="0"/>
          <w:cols w:space="720" w:num="1"/>
        </w:sectPr>
      </w:pPr>
    </w:p>
    <w:p w14:paraId="6D2ED366">
      <w:pPr>
        <w:spacing w:line="13151" w:lineRule="exact"/>
      </w:pPr>
      <w:r>
        <w:rPr>
          <w:position w:val="-263"/>
        </w:rPr>
        <w:drawing>
          <wp:inline distT="0" distB="0" distL="0" distR="0">
            <wp:extent cx="6066790" cy="835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0"/>
                    <a:stretch>
                      <a:fillRect/>
                    </a:stretch>
                  </pic:blipFill>
                  <pic:spPr>
                    <a:xfrm>
                      <a:off x="0" y="0"/>
                      <a:ext cx="6067044" cy="8351519"/>
                    </a:xfrm>
                    <a:prstGeom prst="rect">
                      <a:avLst/>
                    </a:prstGeom>
                  </pic:spPr>
                </pic:pic>
              </a:graphicData>
            </a:graphic>
          </wp:inline>
        </w:drawing>
      </w:r>
    </w:p>
    <w:p w14:paraId="5A0C5D82">
      <w:pPr>
        <w:spacing w:line="13151" w:lineRule="exact"/>
        <w:sectPr>
          <w:footerReference r:id="rId6" w:type="default"/>
          <w:pgSz w:w="11906" w:h="16839"/>
          <w:pgMar w:top="1327" w:right="837" w:bottom="400" w:left="1514" w:header="0" w:footer="0" w:gutter="0"/>
          <w:cols w:space="720" w:num="1"/>
        </w:sectPr>
      </w:pPr>
    </w:p>
    <w:p w14:paraId="062EB678">
      <w:pPr>
        <w:spacing w:before="63" w:line="219" w:lineRule="auto"/>
        <w:ind w:left="3545"/>
        <w:rPr>
          <w:rFonts w:ascii="FangSong_GB2312" w:hAnsi="FangSong_GB2312" w:eastAsia="FangSong_GB2312" w:cs="FangSong_GB2312"/>
          <w:sz w:val="31"/>
          <w:szCs w:val="31"/>
        </w:rPr>
      </w:pPr>
      <w:r>
        <w:rPr>
          <w:rFonts w:ascii="FangSong_GB2312" w:hAnsi="FangSong_GB2312" w:eastAsia="FangSong_GB2312" w:cs="FangSong_GB2312"/>
          <w:b/>
          <w:bCs/>
          <w:spacing w:val="2"/>
          <w:sz w:val="31"/>
          <w:szCs w:val="31"/>
        </w:rPr>
        <w:t>现场照片</w:t>
      </w:r>
    </w:p>
    <w:p w14:paraId="6ABBDE8E">
      <w:pPr>
        <w:spacing w:before="117" w:line="13112" w:lineRule="exact"/>
        <w:ind w:firstLine="470"/>
      </w:pPr>
      <w:r>
        <w:rPr>
          <w:position w:val="-262"/>
        </w:rPr>
        <w:drawing>
          <wp:inline distT="0" distB="0" distL="0" distR="0">
            <wp:extent cx="4683125" cy="83254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1"/>
                    <a:stretch>
                      <a:fillRect/>
                    </a:stretch>
                  </pic:blipFill>
                  <pic:spPr>
                    <a:xfrm>
                      <a:off x="0" y="0"/>
                      <a:ext cx="4683252" cy="8325611"/>
                    </a:xfrm>
                    <a:prstGeom prst="rect">
                      <a:avLst/>
                    </a:prstGeom>
                  </pic:spPr>
                </pic:pic>
              </a:graphicData>
            </a:graphic>
          </wp:inline>
        </w:drawing>
      </w:r>
    </w:p>
    <w:p w14:paraId="32D962C3">
      <w:pPr>
        <w:spacing w:before="182" w:line="214" w:lineRule="auto"/>
        <w:ind w:left="3575"/>
        <w:rPr>
          <w:rFonts w:ascii="FangSong_GB2312" w:hAnsi="FangSong_GB2312" w:eastAsia="FangSong_GB2312" w:cs="FangSong_GB2312"/>
          <w:sz w:val="30"/>
          <w:szCs w:val="30"/>
        </w:rPr>
      </w:pPr>
      <w:r>
        <w:rPr>
          <w:rFonts w:ascii="FangSong_GB2312" w:hAnsi="FangSong_GB2312" w:eastAsia="FangSong_GB2312" w:cs="FangSong_GB2312"/>
          <w:spacing w:val="-3"/>
          <w:sz w:val="30"/>
          <w:szCs w:val="30"/>
        </w:rPr>
        <w:t>建构筑物</w:t>
      </w:r>
    </w:p>
    <w:p w14:paraId="4CE7C77C">
      <w:pPr>
        <w:spacing w:line="214" w:lineRule="auto"/>
        <w:rPr>
          <w:rFonts w:ascii="FangSong_GB2312" w:hAnsi="FangSong_GB2312" w:eastAsia="FangSong_GB2312" w:cs="FangSong_GB2312"/>
          <w:sz w:val="30"/>
          <w:szCs w:val="30"/>
        </w:rPr>
        <w:sectPr>
          <w:pgSz w:w="11906" w:h="16839"/>
          <w:pgMar w:top="1313" w:right="1785" w:bottom="400" w:left="1785" w:header="0" w:footer="0" w:gutter="0"/>
          <w:cols w:space="720" w:num="1"/>
        </w:sectPr>
      </w:pPr>
    </w:p>
    <w:p w14:paraId="5AA3FF50">
      <w:pPr>
        <w:pStyle w:val="2"/>
        <w:spacing w:line="356" w:lineRule="auto"/>
      </w:pPr>
    </w:p>
    <w:p w14:paraId="5051503B">
      <w:pPr>
        <w:spacing w:line="13068" w:lineRule="exact"/>
        <w:ind w:firstLine="482"/>
      </w:pPr>
      <w:r>
        <w:rPr>
          <w:position w:val="-261"/>
        </w:rPr>
        <w:drawing>
          <wp:inline distT="0" distB="0" distL="0" distR="0">
            <wp:extent cx="4665980" cy="82981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2"/>
                    <a:stretch>
                      <a:fillRect/>
                    </a:stretch>
                  </pic:blipFill>
                  <pic:spPr>
                    <a:xfrm>
                      <a:off x="0" y="0"/>
                      <a:ext cx="4666488" cy="8298180"/>
                    </a:xfrm>
                    <a:prstGeom prst="rect">
                      <a:avLst/>
                    </a:prstGeom>
                  </pic:spPr>
                </pic:pic>
              </a:graphicData>
            </a:graphic>
          </wp:inline>
        </w:drawing>
      </w:r>
    </w:p>
    <w:p w14:paraId="6E9A1DB6">
      <w:pPr>
        <w:spacing w:before="178" w:line="216" w:lineRule="auto"/>
        <w:ind w:left="3890"/>
        <w:rPr>
          <w:rFonts w:ascii="FangSong_GB2312" w:hAnsi="FangSong_GB2312" w:eastAsia="FangSong_GB2312" w:cs="FangSong_GB2312"/>
          <w:sz w:val="30"/>
          <w:szCs w:val="30"/>
        </w:rPr>
      </w:pPr>
      <w:r>
        <w:rPr>
          <w:rFonts w:ascii="FangSong_GB2312" w:hAnsi="FangSong_GB2312" w:eastAsia="FangSong_GB2312" w:cs="FangSong_GB2312"/>
          <w:spacing w:val="-13"/>
          <w:sz w:val="30"/>
          <w:szCs w:val="30"/>
        </w:rPr>
        <w:t>绿化</w:t>
      </w:r>
    </w:p>
    <w:p w14:paraId="39CEDF63">
      <w:pPr>
        <w:spacing w:line="216" w:lineRule="auto"/>
        <w:rPr>
          <w:rFonts w:ascii="FangSong_GB2312" w:hAnsi="FangSong_GB2312" w:eastAsia="FangSong_GB2312" w:cs="FangSong_GB2312"/>
          <w:sz w:val="30"/>
          <w:szCs w:val="30"/>
        </w:rPr>
        <w:sectPr>
          <w:pgSz w:w="11906" w:h="16839"/>
          <w:pgMar w:top="1431" w:right="1785" w:bottom="400" w:left="1785" w:header="0" w:footer="0" w:gutter="0"/>
          <w:cols w:space="720" w:num="1"/>
        </w:sectPr>
      </w:pPr>
    </w:p>
    <w:p w14:paraId="0A05AC19">
      <w:pPr>
        <w:spacing w:line="13631" w:lineRule="exact"/>
        <w:ind w:firstLine="326"/>
      </w:pPr>
      <w:r>
        <w:rPr>
          <w:position w:val="-272"/>
        </w:rPr>
        <w:drawing>
          <wp:inline distT="0" distB="0" distL="0" distR="0">
            <wp:extent cx="4867275" cy="86556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3"/>
                    <a:stretch>
                      <a:fillRect/>
                    </a:stretch>
                  </pic:blipFill>
                  <pic:spPr>
                    <a:xfrm>
                      <a:off x="0" y="0"/>
                      <a:ext cx="4867655" cy="8656319"/>
                    </a:xfrm>
                    <a:prstGeom prst="rect">
                      <a:avLst/>
                    </a:prstGeom>
                  </pic:spPr>
                </pic:pic>
              </a:graphicData>
            </a:graphic>
          </wp:inline>
        </w:drawing>
      </w:r>
    </w:p>
    <w:p w14:paraId="5A2146FE">
      <w:pPr>
        <w:spacing w:before="166" w:line="216" w:lineRule="auto"/>
        <w:ind w:left="343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排水及绿化</w:t>
      </w:r>
    </w:p>
    <w:p w14:paraId="7A521D41">
      <w:pPr>
        <w:spacing w:line="216" w:lineRule="auto"/>
        <w:rPr>
          <w:rFonts w:ascii="FangSong_GB2312" w:hAnsi="FangSong_GB2312" w:eastAsia="FangSong_GB2312" w:cs="FangSong_GB2312"/>
          <w:sz w:val="30"/>
          <w:szCs w:val="30"/>
        </w:rPr>
        <w:sectPr>
          <w:pgSz w:w="11906" w:h="16839"/>
          <w:pgMar w:top="1327" w:right="1785" w:bottom="400" w:left="1785" w:header="0" w:footer="0" w:gutter="0"/>
          <w:cols w:space="720" w:num="1"/>
        </w:sectPr>
      </w:pPr>
    </w:p>
    <w:p w14:paraId="77C4671D">
      <w:pPr>
        <w:spacing w:line="13644" w:lineRule="exact"/>
        <w:ind w:firstLine="326"/>
      </w:pPr>
      <w:r>
        <w:rPr>
          <w:position w:val="-272"/>
        </w:rPr>
        <w:drawing>
          <wp:inline distT="0" distB="0" distL="0" distR="0">
            <wp:extent cx="4873625" cy="866394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4"/>
                    <a:stretch>
                      <a:fillRect/>
                    </a:stretch>
                  </pic:blipFill>
                  <pic:spPr>
                    <a:xfrm>
                      <a:off x="0" y="0"/>
                      <a:ext cx="4873752" cy="8663940"/>
                    </a:xfrm>
                    <a:prstGeom prst="rect">
                      <a:avLst/>
                    </a:prstGeom>
                  </pic:spPr>
                </pic:pic>
              </a:graphicData>
            </a:graphic>
          </wp:inline>
        </w:drawing>
      </w:r>
    </w:p>
    <w:p w14:paraId="64DF04FC">
      <w:pPr>
        <w:spacing w:before="178" w:line="216" w:lineRule="auto"/>
        <w:ind w:left="3432"/>
        <w:rPr>
          <w:rFonts w:ascii="FangSong_GB2312" w:hAnsi="FangSong_GB2312" w:eastAsia="FangSong_GB2312" w:cs="FangSong_GB2312"/>
          <w:sz w:val="30"/>
          <w:szCs w:val="30"/>
        </w:rPr>
      </w:pPr>
      <w:r>
        <w:rPr>
          <w:rFonts w:ascii="FangSong_GB2312" w:hAnsi="FangSong_GB2312" w:eastAsia="FangSong_GB2312" w:cs="FangSong_GB2312"/>
          <w:spacing w:val="-4"/>
          <w:sz w:val="30"/>
          <w:szCs w:val="30"/>
        </w:rPr>
        <w:t>排水及绿化</w:t>
      </w:r>
    </w:p>
    <w:p w14:paraId="1DDA6597">
      <w:pPr>
        <w:spacing w:line="216" w:lineRule="auto"/>
        <w:rPr>
          <w:rFonts w:ascii="FangSong_GB2312" w:hAnsi="FangSong_GB2312" w:eastAsia="FangSong_GB2312" w:cs="FangSong_GB2312"/>
          <w:sz w:val="30"/>
          <w:szCs w:val="30"/>
        </w:rPr>
        <w:sectPr>
          <w:pgSz w:w="11906" w:h="16839"/>
          <w:pgMar w:top="1327" w:right="1785" w:bottom="400" w:left="1785" w:header="0" w:footer="0" w:gutter="0"/>
          <w:cols w:space="720" w:num="1"/>
        </w:sectPr>
      </w:pPr>
    </w:p>
    <w:p w14:paraId="76FC6B90">
      <w:pPr>
        <w:spacing w:line="5025" w:lineRule="exact"/>
      </w:pPr>
      <w:r>
        <w:rPr>
          <w:position w:val="-100"/>
        </w:rPr>
        <w:drawing>
          <wp:inline distT="0" distB="0" distL="0" distR="0">
            <wp:extent cx="5671820" cy="31908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5"/>
                    <a:stretch>
                      <a:fillRect/>
                    </a:stretch>
                  </pic:blipFill>
                  <pic:spPr>
                    <a:xfrm>
                      <a:off x="0" y="0"/>
                      <a:ext cx="5672327" cy="3191256"/>
                    </a:xfrm>
                    <a:prstGeom prst="rect">
                      <a:avLst/>
                    </a:prstGeom>
                  </pic:spPr>
                </pic:pic>
              </a:graphicData>
            </a:graphic>
          </wp:inline>
        </w:drawing>
      </w:r>
    </w:p>
    <w:p w14:paraId="080AF25D">
      <w:pPr>
        <w:spacing w:before="61" w:line="210" w:lineRule="auto"/>
        <w:ind w:left="4016"/>
        <w:rPr>
          <w:rFonts w:ascii="FangSong_GB2312" w:hAnsi="FangSong_GB2312" w:eastAsia="FangSong_GB2312" w:cs="FangSong_GB2312"/>
          <w:sz w:val="30"/>
          <w:szCs w:val="30"/>
        </w:rPr>
      </w:pPr>
      <w:r>
        <w:rPr>
          <w:rFonts w:ascii="FangSong_GB2312" w:hAnsi="FangSong_GB2312" w:eastAsia="FangSong_GB2312" w:cs="FangSong_GB2312"/>
          <w:spacing w:val="-10"/>
          <w:sz w:val="30"/>
          <w:szCs w:val="30"/>
        </w:rPr>
        <w:t>雨水井</w:t>
      </w:r>
    </w:p>
    <w:p w14:paraId="352C40BA">
      <w:pPr>
        <w:spacing w:line="5018" w:lineRule="exact"/>
      </w:pPr>
      <w:r>
        <w:rPr>
          <w:position w:val="-100"/>
        </w:rPr>
        <w:drawing>
          <wp:inline distT="0" distB="0" distL="0" distR="0">
            <wp:extent cx="5664200" cy="31864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6"/>
                    <a:stretch>
                      <a:fillRect/>
                    </a:stretch>
                  </pic:blipFill>
                  <pic:spPr>
                    <a:xfrm>
                      <a:off x="0" y="0"/>
                      <a:ext cx="5664708" cy="3186683"/>
                    </a:xfrm>
                    <a:prstGeom prst="rect">
                      <a:avLst/>
                    </a:prstGeom>
                  </pic:spPr>
                </pic:pic>
              </a:graphicData>
            </a:graphic>
          </wp:inline>
        </w:drawing>
      </w:r>
    </w:p>
    <w:p w14:paraId="4F852E58">
      <w:pPr>
        <w:spacing w:before="68" w:line="216" w:lineRule="auto"/>
        <w:ind w:left="4162"/>
        <w:rPr>
          <w:rFonts w:ascii="FangSong_GB2312" w:hAnsi="FangSong_GB2312" w:eastAsia="FangSong_GB2312" w:cs="FangSong_GB2312"/>
          <w:sz w:val="30"/>
          <w:szCs w:val="30"/>
        </w:rPr>
      </w:pPr>
      <w:r>
        <w:rPr>
          <w:rFonts w:ascii="FangSong_GB2312" w:hAnsi="FangSong_GB2312" w:eastAsia="FangSong_GB2312" w:cs="FangSong_GB2312"/>
          <w:spacing w:val="-13"/>
          <w:sz w:val="30"/>
          <w:szCs w:val="30"/>
        </w:rPr>
        <w:t>绿化</w:t>
      </w:r>
    </w:p>
    <w:p w14:paraId="703B429A">
      <w:pPr>
        <w:spacing w:line="216" w:lineRule="auto"/>
        <w:rPr>
          <w:rFonts w:ascii="FangSong_GB2312" w:hAnsi="FangSong_GB2312" w:eastAsia="FangSong_GB2312" w:cs="FangSong_GB2312"/>
          <w:sz w:val="30"/>
          <w:szCs w:val="30"/>
        </w:rPr>
        <w:sectPr>
          <w:pgSz w:w="11906" w:h="16839"/>
          <w:pgMar w:top="1327" w:right="1458" w:bottom="400" w:left="1514" w:header="0" w:footer="0" w:gutter="0"/>
          <w:cols w:space="720" w:num="1"/>
        </w:sectPr>
      </w:pPr>
    </w:p>
    <w:p w14:paraId="1EE49A0E">
      <w:pPr>
        <w:pStyle w:val="2"/>
        <w:spacing w:line="262" w:lineRule="auto"/>
      </w:pPr>
    </w:p>
    <w:p w14:paraId="48DC0B14">
      <w:pPr>
        <w:pStyle w:val="2"/>
        <w:spacing w:line="262" w:lineRule="auto"/>
      </w:pPr>
    </w:p>
    <w:p w14:paraId="4EA9D13D">
      <w:pPr>
        <w:pStyle w:val="2"/>
        <w:spacing w:line="263" w:lineRule="auto"/>
      </w:pPr>
    </w:p>
    <w:p w14:paraId="04840ADD">
      <w:pPr>
        <w:spacing w:before="140" w:line="222" w:lineRule="auto"/>
        <w:ind w:left="1485"/>
        <w:rPr>
          <w:rFonts w:ascii="宋体" w:hAnsi="宋体" w:eastAsia="宋体" w:cs="宋体"/>
          <w:sz w:val="43"/>
          <w:szCs w:val="43"/>
        </w:rPr>
      </w:pPr>
      <w:r>
        <w:rPr>
          <w:rFonts w:ascii="宋体" w:hAnsi="宋体" w:eastAsia="宋体" w:cs="宋体"/>
          <w:b/>
          <w:bCs/>
          <w:spacing w:val="-45"/>
          <w:w w:val="94"/>
          <w:sz w:val="43"/>
          <w:szCs w:val="43"/>
        </w:rPr>
        <w:t>剑阁县义兴镇干部职工周转房建设项目</w:t>
      </w:r>
    </w:p>
    <w:p w14:paraId="29169D17">
      <w:pPr>
        <w:spacing w:before="52" w:line="222" w:lineRule="auto"/>
        <w:ind w:left="2931"/>
        <w:rPr>
          <w:rFonts w:ascii="宋体" w:hAnsi="宋体" w:eastAsia="宋体" w:cs="宋体"/>
          <w:sz w:val="43"/>
          <w:szCs w:val="43"/>
        </w:rPr>
      </w:pPr>
      <w:r>
        <w:rPr>
          <w:rFonts w:ascii="宋体" w:hAnsi="宋体" w:eastAsia="宋体" w:cs="宋体"/>
          <w:b/>
          <w:bCs/>
          <w:spacing w:val="-32"/>
          <w:w w:val="92"/>
          <w:sz w:val="43"/>
          <w:szCs w:val="43"/>
        </w:rPr>
        <w:t>水土保持方案报告表</w:t>
      </w:r>
    </w:p>
    <w:p w14:paraId="3A31BBBD">
      <w:pPr>
        <w:spacing w:before="55" w:line="223" w:lineRule="auto"/>
        <w:ind w:left="4020"/>
        <w:rPr>
          <w:rFonts w:ascii="宋体" w:hAnsi="宋体" w:eastAsia="宋体" w:cs="宋体"/>
          <w:sz w:val="43"/>
          <w:szCs w:val="43"/>
        </w:rPr>
      </w:pPr>
      <w:r>
        <w:rPr>
          <w:rFonts w:ascii="宋体" w:hAnsi="宋体" w:eastAsia="宋体" w:cs="宋体"/>
          <w:b/>
          <w:bCs/>
          <w:spacing w:val="-50"/>
          <w:sz w:val="43"/>
          <w:szCs w:val="43"/>
        </w:rPr>
        <w:t>责任页</w:t>
      </w:r>
    </w:p>
    <w:p w14:paraId="579892E5">
      <w:pPr>
        <w:spacing w:before="51" w:line="223" w:lineRule="auto"/>
        <w:ind w:left="1480"/>
        <w:rPr>
          <w:rFonts w:ascii="宋体" w:hAnsi="宋体" w:eastAsia="宋体" w:cs="宋体"/>
          <w:sz w:val="43"/>
          <w:szCs w:val="43"/>
        </w:rPr>
      </w:pPr>
      <w:r>
        <w:rPr>
          <w:rFonts w:ascii="宋体" w:hAnsi="宋体" w:eastAsia="宋体" w:cs="宋体"/>
          <w:b/>
          <w:bCs/>
          <w:spacing w:val="-48"/>
          <w:w w:val="95"/>
          <w:sz w:val="43"/>
          <w:szCs w:val="43"/>
        </w:rPr>
        <w:t>（剑阁县绿森林业勘察设计有限公司）</w:t>
      </w:r>
    </w:p>
    <w:p w14:paraId="468EE201">
      <w:pPr>
        <w:pStyle w:val="2"/>
        <w:spacing w:line="410" w:lineRule="auto"/>
      </w:pPr>
      <w:r>
        <w:drawing>
          <wp:anchor distT="0" distB="0" distL="0" distR="0" simplePos="0" relativeHeight="251659264" behindDoc="0" locked="0" layoutInCell="1" allowOverlap="1">
            <wp:simplePos x="0" y="0"/>
            <wp:positionH relativeFrom="column">
              <wp:posOffset>3799205</wp:posOffset>
            </wp:positionH>
            <wp:positionV relativeFrom="paragraph">
              <wp:posOffset>102870</wp:posOffset>
            </wp:positionV>
            <wp:extent cx="702310" cy="154368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7"/>
                    <a:stretch>
                      <a:fillRect/>
                    </a:stretch>
                  </pic:blipFill>
                  <pic:spPr>
                    <a:xfrm>
                      <a:off x="0" y="0"/>
                      <a:ext cx="702563" cy="1543811"/>
                    </a:xfrm>
                    <a:prstGeom prst="rect">
                      <a:avLst/>
                    </a:prstGeom>
                  </pic:spPr>
                </pic:pic>
              </a:graphicData>
            </a:graphic>
          </wp:anchor>
        </w:drawing>
      </w:r>
    </w:p>
    <w:p w14:paraId="3CB4D1D7">
      <w:pPr>
        <w:spacing w:before="98" w:line="222" w:lineRule="auto"/>
        <w:ind w:left="64"/>
        <w:rPr>
          <w:rFonts w:ascii="黑体" w:hAnsi="黑体" w:eastAsia="黑体" w:cs="黑体"/>
          <w:sz w:val="30"/>
          <w:szCs w:val="30"/>
        </w:rPr>
      </w:pPr>
      <w:r>
        <w:rPr>
          <w:rFonts w:ascii="黑体" w:hAnsi="黑体" w:eastAsia="黑体" w:cs="黑体"/>
          <w:spacing w:val="-3"/>
          <w:sz w:val="30"/>
          <w:szCs w:val="30"/>
        </w:rPr>
        <w:t>批      准：郑</w:t>
      </w:r>
      <w:r>
        <w:rPr>
          <w:rFonts w:ascii="黑体" w:hAnsi="黑体" w:eastAsia="黑体" w:cs="黑体"/>
          <w:spacing w:val="17"/>
          <w:sz w:val="30"/>
          <w:szCs w:val="30"/>
        </w:rPr>
        <w:t xml:space="preserve">  </w:t>
      </w:r>
      <w:r>
        <w:rPr>
          <w:rFonts w:ascii="黑体" w:hAnsi="黑体" w:eastAsia="黑体" w:cs="黑体"/>
          <w:spacing w:val="-3"/>
          <w:sz w:val="30"/>
          <w:szCs w:val="30"/>
        </w:rPr>
        <w:t>雪（工程师）</w:t>
      </w:r>
    </w:p>
    <w:p w14:paraId="12B1ADAB">
      <w:pPr>
        <w:spacing w:before="222" w:line="222" w:lineRule="auto"/>
        <w:ind w:left="62"/>
        <w:rPr>
          <w:rFonts w:ascii="黑体" w:hAnsi="黑体" w:eastAsia="黑体" w:cs="黑体"/>
          <w:sz w:val="30"/>
          <w:szCs w:val="30"/>
        </w:rPr>
      </w:pPr>
      <w:r>
        <w:rPr>
          <w:rFonts w:ascii="黑体" w:hAnsi="黑体" w:eastAsia="黑体" w:cs="黑体"/>
          <w:spacing w:val="-1"/>
          <w:sz w:val="30"/>
          <w:szCs w:val="30"/>
        </w:rPr>
        <w:t>核      定：母升磊（工程师）</w:t>
      </w:r>
    </w:p>
    <w:p w14:paraId="5ACBF97F">
      <w:pPr>
        <w:spacing w:before="222" w:line="222" w:lineRule="auto"/>
        <w:ind w:left="72"/>
        <w:rPr>
          <w:rFonts w:ascii="黑体" w:hAnsi="黑体" w:eastAsia="黑体" w:cs="黑体"/>
          <w:sz w:val="30"/>
          <w:szCs w:val="30"/>
        </w:rPr>
      </w:pPr>
      <w:r>
        <w:rPr>
          <w:rFonts w:ascii="黑体" w:hAnsi="黑体" w:eastAsia="黑体" w:cs="黑体"/>
          <w:spacing w:val="-2"/>
          <w:sz w:val="30"/>
          <w:szCs w:val="30"/>
        </w:rPr>
        <w:t>审      查：李恒斌（工程师）</w:t>
      </w:r>
    </w:p>
    <w:p w14:paraId="655E1668">
      <w:pPr>
        <w:spacing w:before="225" w:line="222" w:lineRule="auto"/>
        <w:ind w:left="62"/>
        <w:rPr>
          <w:rFonts w:ascii="黑体" w:hAnsi="黑体" w:eastAsia="黑体" w:cs="黑体"/>
          <w:sz w:val="30"/>
          <w:szCs w:val="30"/>
        </w:rPr>
      </w:pPr>
      <w:r>
        <w:drawing>
          <wp:anchor distT="0" distB="0" distL="0" distR="0" simplePos="0" relativeHeight="251660288" behindDoc="0" locked="0" layoutInCell="1" allowOverlap="1">
            <wp:simplePos x="0" y="0"/>
            <wp:positionH relativeFrom="column">
              <wp:posOffset>3799205</wp:posOffset>
            </wp:positionH>
            <wp:positionV relativeFrom="paragraph">
              <wp:posOffset>473075</wp:posOffset>
            </wp:positionV>
            <wp:extent cx="704215" cy="39624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8"/>
                    <a:stretch>
                      <a:fillRect/>
                    </a:stretch>
                  </pic:blipFill>
                  <pic:spPr>
                    <a:xfrm>
                      <a:off x="0" y="0"/>
                      <a:ext cx="704088" cy="396240"/>
                    </a:xfrm>
                    <a:prstGeom prst="rect">
                      <a:avLst/>
                    </a:prstGeom>
                  </pic:spPr>
                </pic:pic>
              </a:graphicData>
            </a:graphic>
          </wp:anchor>
        </w:drawing>
      </w:r>
      <w:r>
        <w:rPr>
          <w:rFonts w:ascii="黑体" w:hAnsi="黑体" w:eastAsia="黑体" w:cs="黑体"/>
          <w:spacing w:val="-1"/>
          <w:sz w:val="30"/>
          <w:szCs w:val="30"/>
        </w:rPr>
        <w:t>校      核：左小婷（工程师）</w:t>
      </w:r>
    </w:p>
    <w:p w14:paraId="6C6CAA44">
      <w:pPr>
        <w:spacing w:before="223" w:line="221" w:lineRule="auto"/>
        <w:ind w:left="64"/>
        <w:rPr>
          <w:rFonts w:ascii="黑体" w:hAnsi="黑体" w:eastAsia="黑体" w:cs="黑体"/>
          <w:sz w:val="30"/>
          <w:szCs w:val="30"/>
        </w:rPr>
      </w:pPr>
      <w:r>
        <w:rPr>
          <w:rFonts w:ascii="黑体" w:hAnsi="黑体" w:eastAsia="黑体" w:cs="黑体"/>
          <w:spacing w:val="-1"/>
          <w:sz w:val="30"/>
          <w:szCs w:val="30"/>
        </w:rPr>
        <w:t>项目负责人：黄建华（工程师）</w:t>
      </w:r>
    </w:p>
    <w:p w14:paraId="7D3532FB">
      <w:pPr>
        <w:pStyle w:val="2"/>
        <w:spacing w:line="245" w:lineRule="auto"/>
      </w:pPr>
    </w:p>
    <w:p w14:paraId="58A6BB9A">
      <w:pPr>
        <w:spacing w:before="98" w:line="221" w:lineRule="auto"/>
        <w:ind w:left="62"/>
        <w:rPr>
          <w:rFonts w:ascii="黑体" w:hAnsi="黑体" w:eastAsia="黑体" w:cs="黑体"/>
          <w:sz w:val="30"/>
          <w:szCs w:val="30"/>
        </w:rPr>
      </w:pPr>
      <w:r>
        <w:rPr>
          <w:rFonts w:ascii="黑体" w:hAnsi="黑体" w:eastAsia="黑体" w:cs="黑体"/>
          <w:spacing w:val="-12"/>
          <w:sz w:val="30"/>
          <w:szCs w:val="30"/>
        </w:rPr>
        <w:t>编</w:t>
      </w:r>
      <w:r>
        <w:rPr>
          <w:rFonts w:ascii="黑体" w:hAnsi="黑体" w:eastAsia="黑体" w:cs="黑体"/>
          <w:spacing w:val="4"/>
          <w:sz w:val="30"/>
          <w:szCs w:val="30"/>
        </w:rPr>
        <w:t xml:space="preserve">      </w:t>
      </w:r>
      <w:r>
        <w:rPr>
          <w:rFonts w:ascii="黑体" w:hAnsi="黑体" w:eastAsia="黑体" w:cs="黑体"/>
          <w:spacing w:val="-12"/>
          <w:sz w:val="30"/>
          <w:szCs w:val="30"/>
        </w:rPr>
        <w:t>写：</w:t>
      </w:r>
    </w:p>
    <w:p w14:paraId="61524E7D">
      <w:pPr>
        <w:spacing w:before="58"/>
      </w:pPr>
    </w:p>
    <w:tbl>
      <w:tblPr>
        <w:tblStyle w:val="6"/>
        <w:tblW w:w="9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4"/>
        <w:gridCol w:w="4793"/>
        <w:gridCol w:w="1626"/>
        <w:gridCol w:w="1516"/>
      </w:tblGrid>
      <w:tr w14:paraId="787C7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04" w:type="dxa"/>
            <w:tcBorders>
              <w:top w:val="single" w:color="000000" w:sz="10" w:space="0"/>
              <w:left w:val="single" w:color="000000" w:sz="10" w:space="0"/>
            </w:tcBorders>
            <w:vAlign w:val="top"/>
          </w:tcPr>
          <w:p w14:paraId="1E6A14BD">
            <w:pPr>
              <w:pStyle w:val="7"/>
              <w:spacing w:before="134" w:line="219" w:lineRule="auto"/>
              <w:ind w:left="183"/>
            </w:pPr>
            <w:r>
              <w:rPr>
                <w:spacing w:val="-5"/>
              </w:rPr>
              <w:t>姓</w:t>
            </w:r>
            <w:r>
              <w:rPr>
                <w:spacing w:val="6"/>
              </w:rPr>
              <w:t xml:space="preserve">  </w:t>
            </w:r>
            <w:r>
              <w:rPr>
                <w:spacing w:val="-5"/>
              </w:rPr>
              <w:t>名</w:t>
            </w:r>
          </w:p>
        </w:tc>
        <w:tc>
          <w:tcPr>
            <w:tcW w:w="4793" w:type="dxa"/>
            <w:tcBorders>
              <w:top w:val="single" w:color="000000" w:sz="10" w:space="0"/>
            </w:tcBorders>
            <w:vAlign w:val="top"/>
          </w:tcPr>
          <w:p w14:paraId="740D8688">
            <w:pPr>
              <w:pStyle w:val="7"/>
              <w:spacing w:before="133" w:line="220" w:lineRule="auto"/>
              <w:ind w:left="2044"/>
            </w:pPr>
            <w:r>
              <w:rPr>
                <w:spacing w:val="-7"/>
              </w:rPr>
              <w:t>分</w:t>
            </w:r>
            <w:r>
              <w:rPr>
                <w:spacing w:val="6"/>
              </w:rPr>
              <w:t xml:space="preserve">  </w:t>
            </w:r>
            <w:r>
              <w:rPr>
                <w:spacing w:val="-7"/>
              </w:rPr>
              <w:t>工</w:t>
            </w:r>
          </w:p>
        </w:tc>
        <w:tc>
          <w:tcPr>
            <w:tcW w:w="1626" w:type="dxa"/>
            <w:tcBorders>
              <w:top w:val="single" w:color="000000" w:sz="10" w:space="0"/>
            </w:tcBorders>
            <w:vAlign w:val="top"/>
          </w:tcPr>
          <w:p w14:paraId="5192F10B">
            <w:pPr>
              <w:pStyle w:val="7"/>
              <w:spacing w:before="134" w:line="219" w:lineRule="auto"/>
              <w:ind w:left="314"/>
            </w:pPr>
            <w:r>
              <w:rPr>
                <w:spacing w:val="-3"/>
              </w:rPr>
              <w:t>职务</w:t>
            </w:r>
            <w:r>
              <w:rPr>
                <w:rFonts w:ascii="Times New Roman" w:hAnsi="Times New Roman" w:eastAsia="Times New Roman" w:cs="Times New Roman"/>
                <w:spacing w:val="-3"/>
              </w:rPr>
              <w:t>/</w:t>
            </w:r>
            <w:r>
              <w:rPr>
                <w:spacing w:val="-3"/>
              </w:rPr>
              <w:t>职称</w:t>
            </w:r>
          </w:p>
        </w:tc>
        <w:tc>
          <w:tcPr>
            <w:tcW w:w="1516" w:type="dxa"/>
            <w:tcBorders>
              <w:top w:val="single" w:color="000000" w:sz="10" w:space="0"/>
              <w:right w:val="single" w:color="000000" w:sz="10" w:space="0"/>
            </w:tcBorders>
            <w:vAlign w:val="top"/>
          </w:tcPr>
          <w:p w14:paraId="77EF2A7B">
            <w:pPr>
              <w:pStyle w:val="7"/>
              <w:spacing w:before="134" w:line="219" w:lineRule="auto"/>
              <w:ind w:left="528"/>
            </w:pPr>
            <w:r>
              <w:rPr>
                <w:spacing w:val="-5"/>
              </w:rPr>
              <w:t>签字</w:t>
            </w:r>
          </w:p>
        </w:tc>
      </w:tr>
      <w:tr w14:paraId="394BF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104" w:type="dxa"/>
            <w:tcBorders>
              <w:left w:val="single" w:color="000000" w:sz="10" w:space="0"/>
            </w:tcBorders>
            <w:vAlign w:val="top"/>
          </w:tcPr>
          <w:p w14:paraId="6EB3C646">
            <w:pPr>
              <w:spacing w:line="289" w:lineRule="auto"/>
              <w:rPr>
                <w:rFonts w:ascii="Arial"/>
                <w:sz w:val="21"/>
              </w:rPr>
            </w:pPr>
          </w:p>
          <w:p w14:paraId="2CDE0DF7">
            <w:pPr>
              <w:spacing w:before="78" w:line="222" w:lineRule="auto"/>
              <w:ind w:left="184"/>
              <w:rPr>
                <w:rFonts w:ascii="黑体" w:hAnsi="黑体" w:eastAsia="黑体" w:cs="黑体"/>
                <w:sz w:val="24"/>
                <w:szCs w:val="24"/>
              </w:rPr>
            </w:pPr>
            <w:r>
              <w:rPr>
                <w:rFonts w:ascii="黑体" w:hAnsi="黑体" w:eastAsia="黑体" w:cs="黑体"/>
                <w:spacing w:val="-6"/>
                <w:sz w:val="24"/>
                <w:szCs w:val="24"/>
              </w:rPr>
              <w:t>郑</w:t>
            </w:r>
            <w:r>
              <w:rPr>
                <w:rFonts w:ascii="黑体" w:hAnsi="黑体" w:eastAsia="黑体" w:cs="黑体"/>
                <w:spacing w:val="10"/>
                <w:sz w:val="24"/>
                <w:szCs w:val="24"/>
              </w:rPr>
              <w:t xml:space="preserve">  </w:t>
            </w:r>
            <w:r>
              <w:rPr>
                <w:rFonts w:ascii="黑体" w:hAnsi="黑体" w:eastAsia="黑体" w:cs="黑体"/>
                <w:spacing w:val="-6"/>
                <w:sz w:val="24"/>
                <w:szCs w:val="24"/>
              </w:rPr>
              <w:t>雪</w:t>
            </w:r>
          </w:p>
        </w:tc>
        <w:tc>
          <w:tcPr>
            <w:tcW w:w="4793" w:type="dxa"/>
            <w:vAlign w:val="top"/>
          </w:tcPr>
          <w:p w14:paraId="350D7288">
            <w:pPr>
              <w:spacing w:line="289" w:lineRule="auto"/>
              <w:rPr>
                <w:rFonts w:ascii="Arial"/>
                <w:sz w:val="21"/>
              </w:rPr>
            </w:pPr>
          </w:p>
          <w:p w14:paraId="4431D8F6">
            <w:pPr>
              <w:pStyle w:val="7"/>
              <w:spacing w:before="78" w:line="219" w:lineRule="auto"/>
              <w:ind w:left="1924"/>
            </w:pPr>
            <w:r>
              <w:rPr>
                <w:spacing w:val="-4"/>
              </w:rPr>
              <w:t>综合说明</w:t>
            </w:r>
          </w:p>
        </w:tc>
        <w:tc>
          <w:tcPr>
            <w:tcW w:w="1626" w:type="dxa"/>
            <w:vAlign w:val="top"/>
          </w:tcPr>
          <w:p w14:paraId="1282A8EE">
            <w:pPr>
              <w:spacing w:line="289" w:lineRule="auto"/>
              <w:rPr>
                <w:rFonts w:ascii="Arial"/>
                <w:sz w:val="21"/>
              </w:rPr>
            </w:pPr>
          </w:p>
          <w:p w14:paraId="0D926F34">
            <w:pPr>
              <w:pStyle w:val="7"/>
              <w:spacing w:before="78" w:line="219" w:lineRule="auto"/>
              <w:ind w:left="467"/>
            </w:pPr>
            <w:r>
              <w:rPr>
                <w:spacing w:val="-5"/>
              </w:rPr>
              <w:t>工程师</w:t>
            </w:r>
          </w:p>
        </w:tc>
        <w:tc>
          <w:tcPr>
            <w:tcW w:w="1516" w:type="dxa"/>
            <w:tcBorders>
              <w:right w:val="single" w:color="000000" w:sz="10" w:space="0"/>
            </w:tcBorders>
            <w:vAlign w:val="top"/>
          </w:tcPr>
          <w:p w14:paraId="6A92535C">
            <w:pPr>
              <w:spacing w:before="125" w:line="614" w:lineRule="exact"/>
              <w:ind w:firstLine="223"/>
            </w:pPr>
            <w:r>
              <w:rPr>
                <w:position w:val="-12"/>
              </w:rPr>
              <w:drawing>
                <wp:inline distT="0" distB="0" distL="0" distR="0">
                  <wp:extent cx="656590" cy="38989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9"/>
                          <a:stretch>
                            <a:fillRect/>
                          </a:stretch>
                        </pic:blipFill>
                        <pic:spPr>
                          <a:xfrm>
                            <a:off x="0" y="0"/>
                            <a:ext cx="656844" cy="390144"/>
                          </a:xfrm>
                          <a:prstGeom prst="rect">
                            <a:avLst/>
                          </a:prstGeom>
                        </pic:spPr>
                      </pic:pic>
                    </a:graphicData>
                  </a:graphic>
                </wp:inline>
              </w:drawing>
            </w:r>
          </w:p>
        </w:tc>
      </w:tr>
      <w:tr w14:paraId="0F3C8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104" w:type="dxa"/>
            <w:tcBorders>
              <w:left w:val="single" w:color="000000" w:sz="10" w:space="0"/>
            </w:tcBorders>
            <w:vAlign w:val="top"/>
          </w:tcPr>
          <w:p w14:paraId="0780EC3C">
            <w:pPr>
              <w:spacing w:line="320" w:lineRule="auto"/>
              <w:rPr>
                <w:rFonts w:ascii="Arial"/>
                <w:sz w:val="21"/>
              </w:rPr>
            </w:pPr>
          </w:p>
          <w:p w14:paraId="0F0F5DD2">
            <w:pPr>
              <w:spacing w:before="78" w:line="222" w:lineRule="auto"/>
              <w:ind w:left="186"/>
              <w:rPr>
                <w:rFonts w:ascii="黑体" w:hAnsi="黑体" w:eastAsia="黑体" w:cs="黑体"/>
                <w:sz w:val="24"/>
                <w:szCs w:val="24"/>
              </w:rPr>
            </w:pPr>
            <w:r>
              <w:rPr>
                <w:rFonts w:ascii="黑体" w:hAnsi="黑体" w:eastAsia="黑体" w:cs="黑体"/>
                <w:spacing w:val="-5"/>
                <w:sz w:val="24"/>
                <w:szCs w:val="24"/>
              </w:rPr>
              <w:t>母升磊</w:t>
            </w:r>
          </w:p>
        </w:tc>
        <w:tc>
          <w:tcPr>
            <w:tcW w:w="4793" w:type="dxa"/>
            <w:vAlign w:val="top"/>
          </w:tcPr>
          <w:p w14:paraId="02DDBE88">
            <w:pPr>
              <w:pStyle w:val="7"/>
              <w:spacing w:before="243" w:line="218" w:lineRule="auto"/>
              <w:ind w:left="108"/>
            </w:pPr>
            <w:r>
              <w:rPr>
                <w:spacing w:val="-4"/>
              </w:rPr>
              <w:t>项目概况、项目水土保持评价、</w:t>
            </w:r>
            <w:r>
              <w:rPr>
                <w:spacing w:val="-27"/>
              </w:rPr>
              <w:t xml:space="preserve"> </w:t>
            </w:r>
            <w:r>
              <w:rPr>
                <w:spacing w:val="-4"/>
              </w:rPr>
              <w:t>水土流失分</w:t>
            </w:r>
          </w:p>
          <w:p w14:paraId="1DF0D63E">
            <w:pPr>
              <w:pStyle w:val="7"/>
              <w:spacing w:before="28" w:line="220" w:lineRule="auto"/>
              <w:ind w:left="1563"/>
            </w:pPr>
            <w:r>
              <w:rPr>
                <w:spacing w:val="-2"/>
              </w:rPr>
              <w:t>析、调查与预测</w:t>
            </w:r>
          </w:p>
        </w:tc>
        <w:tc>
          <w:tcPr>
            <w:tcW w:w="1626" w:type="dxa"/>
            <w:vAlign w:val="top"/>
          </w:tcPr>
          <w:p w14:paraId="56F40A47">
            <w:pPr>
              <w:spacing w:line="320" w:lineRule="auto"/>
              <w:rPr>
                <w:rFonts w:ascii="Arial"/>
                <w:sz w:val="21"/>
              </w:rPr>
            </w:pPr>
          </w:p>
          <w:p w14:paraId="0CE0CD7F">
            <w:pPr>
              <w:pStyle w:val="7"/>
              <w:spacing w:before="78" w:line="219" w:lineRule="auto"/>
              <w:ind w:left="467"/>
            </w:pPr>
            <w:r>
              <w:rPr>
                <w:spacing w:val="-5"/>
              </w:rPr>
              <w:t>工程师</w:t>
            </w:r>
          </w:p>
        </w:tc>
        <w:tc>
          <w:tcPr>
            <w:tcW w:w="1516" w:type="dxa"/>
            <w:tcBorders>
              <w:right w:val="single" w:color="000000" w:sz="10" w:space="0"/>
            </w:tcBorders>
            <w:vAlign w:val="top"/>
          </w:tcPr>
          <w:p w14:paraId="04271140">
            <w:pPr>
              <w:spacing w:before="144" w:line="820" w:lineRule="exact"/>
              <w:ind w:firstLine="286"/>
            </w:pPr>
            <w:r>
              <w:rPr>
                <w:position w:val="-16"/>
              </w:rPr>
              <w:drawing>
                <wp:inline distT="0" distB="0" distL="0" distR="0">
                  <wp:extent cx="522605" cy="5207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0"/>
                          <a:stretch>
                            <a:fillRect/>
                          </a:stretch>
                        </pic:blipFill>
                        <pic:spPr>
                          <a:xfrm>
                            <a:off x="0" y="0"/>
                            <a:ext cx="522732" cy="521208"/>
                          </a:xfrm>
                          <a:prstGeom prst="rect">
                            <a:avLst/>
                          </a:prstGeom>
                        </pic:spPr>
                      </pic:pic>
                    </a:graphicData>
                  </a:graphic>
                </wp:inline>
              </w:drawing>
            </w:r>
          </w:p>
        </w:tc>
      </w:tr>
      <w:tr w14:paraId="304C9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104" w:type="dxa"/>
            <w:tcBorders>
              <w:left w:val="single" w:color="000000" w:sz="10" w:space="0"/>
            </w:tcBorders>
            <w:vAlign w:val="top"/>
          </w:tcPr>
          <w:p w14:paraId="4385F636">
            <w:pPr>
              <w:spacing w:line="301" w:lineRule="auto"/>
              <w:rPr>
                <w:rFonts w:ascii="Arial"/>
                <w:sz w:val="21"/>
              </w:rPr>
            </w:pPr>
          </w:p>
          <w:p w14:paraId="7FECB4F6">
            <w:pPr>
              <w:spacing w:before="78" w:line="222" w:lineRule="auto"/>
              <w:ind w:left="184"/>
              <w:rPr>
                <w:rFonts w:ascii="黑体" w:hAnsi="黑体" w:eastAsia="黑体" w:cs="黑体"/>
                <w:sz w:val="24"/>
                <w:szCs w:val="24"/>
              </w:rPr>
            </w:pPr>
            <w:r>
              <w:rPr>
                <w:rFonts w:ascii="黑体" w:hAnsi="黑体" w:eastAsia="黑体" w:cs="黑体"/>
                <w:spacing w:val="-4"/>
                <w:sz w:val="24"/>
                <w:szCs w:val="24"/>
              </w:rPr>
              <w:t>李恒斌</w:t>
            </w:r>
          </w:p>
        </w:tc>
        <w:tc>
          <w:tcPr>
            <w:tcW w:w="4793" w:type="dxa"/>
            <w:vAlign w:val="top"/>
          </w:tcPr>
          <w:p w14:paraId="4D74D5AB">
            <w:pPr>
              <w:spacing w:line="302" w:lineRule="auto"/>
              <w:rPr>
                <w:rFonts w:ascii="Arial"/>
                <w:sz w:val="21"/>
              </w:rPr>
            </w:pPr>
          </w:p>
          <w:p w14:paraId="7537E897">
            <w:pPr>
              <w:pStyle w:val="7"/>
              <w:spacing w:before="78" w:line="219" w:lineRule="auto"/>
              <w:ind w:left="844"/>
            </w:pPr>
            <w:r>
              <w:rPr>
                <w:spacing w:val="-1"/>
              </w:rPr>
              <w:t>水土保持措施、水土保持监测</w:t>
            </w:r>
          </w:p>
        </w:tc>
        <w:tc>
          <w:tcPr>
            <w:tcW w:w="1626" w:type="dxa"/>
            <w:vAlign w:val="top"/>
          </w:tcPr>
          <w:p w14:paraId="16A49C3E">
            <w:pPr>
              <w:spacing w:line="302" w:lineRule="auto"/>
              <w:rPr>
                <w:rFonts w:ascii="Arial"/>
                <w:sz w:val="21"/>
              </w:rPr>
            </w:pPr>
          </w:p>
          <w:p w14:paraId="1F7C4167">
            <w:pPr>
              <w:pStyle w:val="7"/>
              <w:spacing w:before="78" w:line="219" w:lineRule="auto"/>
              <w:ind w:left="467"/>
            </w:pPr>
            <w:r>
              <w:rPr>
                <w:spacing w:val="-5"/>
              </w:rPr>
              <w:t>工程师</w:t>
            </w:r>
          </w:p>
        </w:tc>
        <w:tc>
          <w:tcPr>
            <w:tcW w:w="1516" w:type="dxa"/>
            <w:tcBorders>
              <w:right w:val="single" w:color="000000" w:sz="10" w:space="0"/>
            </w:tcBorders>
            <w:vAlign w:val="top"/>
          </w:tcPr>
          <w:p w14:paraId="2D5557F5">
            <w:pPr>
              <w:spacing w:before="130" w:line="694" w:lineRule="exact"/>
              <w:ind w:firstLine="391"/>
            </w:pPr>
            <w:r>
              <w:rPr>
                <w:position w:val="-13"/>
              </w:rPr>
              <w:drawing>
                <wp:inline distT="0" distB="0" distL="0" distR="0">
                  <wp:extent cx="627380" cy="44005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1"/>
                          <a:stretch>
                            <a:fillRect/>
                          </a:stretch>
                        </pic:blipFill>
                        <pic:spPr>
                          <a:xfrm>
                            <a:off x="0" y="0"/>
                            <a:ext cx="627887" cy="440435"/>
                          </a:xfrm>
                          <a:prstGeom prst="rect">
                            <a:avLst/>
                          </a:prstGeom>
                        </pic:spPr>
                      </pic:pic>
                    </a:graphicData>
                  </a:graphic>
                </wp:inline>
              </w:drawing>
            </w:r>
          </w:p>
        </w:tc>
      </w:tr>
      <w:tr w14:paraId="2D241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104" w:type="dxa"/>
            <w:tcBorders>
              <w:left w:val="single" w:color="000000" w:sz="10" w:space="0"/>
            </w:tcBorders>
            <w:vAlign w:val="top"/>
          </w:tcPr>
          <w:p w14:paraId="6929A237">
            <w:pPr>
              <w:spacing w:line="369" w:lineRule="auto"/>
              <w:rPr>
                <w:rFonts w:ascii="Arial"/>
                <w:sz w:val="21"/>
              </w:rPr>
            </w:pPr>
          </w:p>
          <w:p w14:paraId="18C4C501">
            <w:pPr>
              <w:spacing w:before="78" w:line="224" w:lineRule="auto"/>
              <w:ind w:left="181"/>
              <w:rPr>
                <w:rFonts w:ascii="黑体" w:hAnsi="黑体" w:eastAsia="黑体" w:cs="黑体"/>
                <w:sz w:val="24"/>
                <w:szCs w:val="24"/>
              </w:rPr>
            </w:pPr>
            <w:r>
              <w:rPr>
                <w:rFonts w:ascii="黑体" w:hAnsi="黑体" w:eastAsia="黑体" w:cs="黑体"/>
                <w:spacing w:val="-3"/>
                <w:sz w:val="24"/>
                <w:szCs w:val="24"/>
              </w:rPr>
              <w:t>左小婷</w:t>
            </w:r>
          </w:p>
        </w:tc>
        <w:tc>
          <w:tcPr>
            <w:tcW w:w="4793" w:type="dxa"/>
            <w:vAlign w:val="top"/>
          </w:tcPr>
          <w:p w14:paraId="1A5B5FC8">
            <w:pPr>
              <w:pStyle w:val="7"/>
              <w:spacing w:before="293" w:line="218" w:lineRule="auto"/>
              <w:ind w:left="107"/>
            </w:pPr>
            <w:r>
              <w:t>水土保持投资估算及效益分析、水土保持管</w:t>
            </w:r>
          </w:p>
          <w:p w14:paraId="59554F7B">
            <w:pPr>
              <w:pStyle w:val="7"/>
              <w:spacing w:before="29" w:line="229" w:lineRule="auto"/>
              <w:ind w:left="2284"/>
            </w:pPr>
            <w:r>
              <w:t>理</w:t>
            </w:r>
          </w:p>
        </w:tc>
        <w:tc>
          <w:tcPr>
            <w:tcW w:w="1626" w:type="dxa"/>
            <w:vAlign w:val="top"/>
          </w:tcPr>
          <w:p w14:paraId="02124E6D">
            <w:pPr>
              <w:spacing w:line="369" w:lineRule="auto"/>
              <w:rPr>
                <w:rFonts w:ascii="Arial"/>
                <w:sz w:val="21"/>
              </w:rPr>
            </w:pPr>
          </w:p>
          <w:p w14:paraId="75194A79">
            <w:pPr>
              <w:pStyle w:val="7"/>
              <w:spacing w:before="78" w:line="219" w:lineRule="auto"/>
              <w:ind w:left="467"/>
            </w:pPr>
            <w:r>
              <w:rPr>
                <w:spacing w:val="-5"/>
              </w:rPr>
              <w:t>工程师</w:t>
            </w:r>
          </w:p>
        </w:tc>
        <w:tc>
          <w:tcPr>
            <w:tcW w:w="1516" w:type="dxa"/>
            <w:tcBorders>
              <w:right w:val="single" w:color="000000" w:sz="10" w:space="0"/>
            </w:tcBorders>
            <w:vAlign w:val="top"/>
          </w:tcPr>
          <w:p w14:paraId="3161A9BB">
            <w:pPr>
              <w:spacing w:line="355" w:lineRule="auto"/>
              <w:rPr>
                <w:rFonts w:ascii="Arial"/>
                <w:sz w:val="21"/>
              </w:rPr>
            </w:pPr>
          </w:p>
          <w:p w14:paraId="1CC5CEEC">
            <w:pPr>
              <w:spacing w:line="420" w:lineRule="exact"/>
              <w:ind w:firstLine="226"/>
            </w:pPr>
            <w:r>
              <w:rPr>
                <w:position w:val="-8"/>
              </w:rPr>
              <w:drawing>
                <wp:inline distT="0" distB="0" distL="0" distR="0">
                  <wp:extent cx="636905" cy="2667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2"/>
                          <a:stretch>
                            <a:fillRect/>
                          </a:stretch>
                        </pic:blipFill>
                        <pic:spPr>
                          <a:xfrm>
                            <a:off x="0" y="0"/>
                            <a:ext cx="637032" cy="266700"/>
                          </a:xfrm>
                          <a:prstGeom prst="rect">
                            <a:avLst/>
                          </a:prstGeom>
                        </pic:spPr>
                      </pic:pic>
                    </a:graphicData>
                  </a:graphic>
                </wp:inline>
              </w:drawing>
            </w:r>
          </w:p>
        </w:tc>
      </w:tr>
      <w:tr w14:paraId="22141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1104" w:type="dxa"/>
            <w:tcBorders>
              <w:left w:val="single" w:color="000000" w:sz="10" w:space="0"/>
              <w:bottom w:val="single" w:color="000000" w:sz="10" w:space="0"/>
            </w:tcBorders>
            <w:vAlign w:val="top"/>
          </w:tcPr>
          <w:p w14:paraId="40A42330">
            <w:pPr>
              <w:spacing w:line="307" w:lineRule="auto"/>
              <w:rPr>
                <w:rFonts w:ascii="Arial"/>
                <w:sz w:val="21"/>
              </w:rPr>
            </w:pPr>
          </w:p>
          <w:p w14:paraId="5767222C">
            <w:pPr>
              <w:spacing w:before="78" w:line="222" w:lineRule="auto"/>
              <w:ind w:left="184"/>
              <w:rPr>
                <w:rFonts w:ascii="黑体" w:hAnsi="黑体" w:eastAsia="黑体" w:cs="黑体"/>
                <w:sz w:val="24"/>
                <w:szCs w:val="24"/>
              </w:rPr>
            </w:pPr>
            <w:r>
              <w:rPr>
                <w:rFonts w:ascii="黑体" w:hAnsi="黑体" w:eastAsia="黑体" w:cs="黑体"/>
                <w:spacing w:val="-4"/>
                <w:sz w:val="24"/>
                <w:szCs w:val="24"/>
              </w:rPr>
              <w:t>黄建华</w:t>
            </w:r>
          </w:p>
        </w:tc>
        <w:tc>
          <w:tcPr>
            <w:tcW w:w="4793" w:type="dxa"/>
            <w:tcBorders>
              <w:bottom w:val="single" w:color="000000" w:sz="10" w:space="0"/>
            </w:tcBorders>
            <w:vAlign w:val="top"/>
          </w:tcPr>
          <w:p w14:paraId="7D34F249">
            <w:pPr>
              <w:spacing w:line="307" w:lineRule="auto"/>
              <w:rPr>
                <w:rFonts w:ascii="Arial"/>
                <w:sz w:val="21"/>
              </w:rPr>
            </w:pPr>
          </w:p>
          <w:p w14:paraId="6F542C09">
            <w:pPr>
              <w:pStyle w:val="7"/>
              <w:spacing w:before="78" w:line="219" w:lineRule="auto"/>
              <w:ind w:left="1820"/>
            </w:pPr>
            <w:r>
              <w:rPr>
                <w:spacing w:val="-6"/>
              </w:rPr>
              <w:t>附件、附图</w:t>
            </w:r>
          </w:p>
        </w:tc>
        <w:tc>
          <w:tcPr>
            <w:tcW w:w="1626" w:type="dxa"/>
            <w:tcBorders>
              <w:bottom w:val="single" w:color="000000" w:sz="10" w:space="0"/>
            </w:tcBorders>
            <w:vAlign w:val="top"/>
          </w:tcPr>
          <w:p w14:paraId="26DB15AF">
            <w:pPr>
              <w:spacing w:line="308" w:lineRule="auto"/>
              <w:rPr>
                <w:rFonts w:ascii="Arial"/>
                <w:sz w:val="21"/>
              </w:rPr>
            </w:pPr>
          </w:p>
          <w:p w14:paraId="0C20CA24">
            <w:pPr>
              <w:pStyle w:val="7"/>
              <w:spacing w:before="78" w:line="219" w:lineRule="auto"/>
              <w:ind w:left="467"/>
            </w:pPr>
            <w:r>
              <w:rPr>
                <w:spacing w:val="-5"/>
              </w:rPr>
              <w:t>工程师</w:t>
            </w:r>
          </w:p>
        </w:tc>
        <w:tc>
          <w:tcPr>
            <w:tcW w:w="1516" w:type="dxa"/>
            <w:tcBorders>
              <w:bottom w:val="single" w:color="000000" w:sz="10" w:space="0"/>
              <w:right w:val="single" w:color="000000" w:sz="10" w:space="0"/>
            </w:tcBorders>
            <w:vAlign w:val="top"/>
          </w:tcPr>
          <w:p w14:paraId="5AADD1A4">
            <w:pPr>
              <w:spacing w:before="103" w:line="624" w:lineRule="exact"/>
              <w:ind w:firstLine="173"/>
            </w:pPr>
            <w:r>
              <w:rPr>
                <w:position w:val="-12"/>
              </w:rPr>
              <w:drawing>
                <wp:inline distT="0" distB="0" distL="0" distR="0">
                  <wp:extent cx="703580" cy="3956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8"/>
                          <a:stretch>
                            <a:fillRect/>
                          </a:stretch>
                        </pic:blipFill>
                        <pic:spPr>
                          <a:xfrm>
                            <a:off x="0" y="0"/>
                            <a:ext cx="704088" cy="396239"/>
                          </a:xfrm>
                          <a:prstGeom prst="rect">
                            <a:avLst/>
                          </a:prstGeom>
                        </pic:spPr>
                      </pic:pic>
                    </a:graphicData>
                  </a:graphic>
                </wp:inline>
              </w:drawing>
            </w:r>
          </w:p>
        </w:tc>
      </w:tr>
    </w:tbl>
    <w:p w14:paraId="52B2D153">
      <w:pPr>
        <w:pStyle w:val="2"/>
        <w:spacing w:line="260" w:lineRule="auto"/>
      </w:pPr>
    </w:p>
    <w:p w14:paraId="7E0AD711">
      <w:pPr>
        <w:pStyle w:val="2"/>
        <w:spacing w:line="261" w:lineRule="auto"/>
      </w:pPr>
    </w:p>
    <w:p w14:paraId="023E67D2">
      <w:pPr>
        <w:pStyle w:val="2"/>
        <w:spacing w:line="261" w:lineRule="auto"/>
      </w:pPr>
    </w:p>
    <w:p w14:paraId="7E30B80B">
      <w:pPr>
        <w:spacing w:before="65" w:line="229" w:lineRule="auto"/>
        <w:ind w:left="5878"/>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剑阁县绿森林业勘察设计有限公司</w:t>
      </w:r>
    </w:p>
    <w:p w14:paraId="382BB410">
      <w:pPr>
        <w:spacing w:line="229" w:lineRule="auto"/>
        <w:rPr>
          <w:rFonts w:ascii="FangSong_GB2312" w:hAnsi="FangSong_GB2312" w:eastAsia="FangSong_GB2312" w:cs="FangSong_GB2312"/>
          <w:sz w:val="20"/>
          <w:szCs w:val="20"/>
        </w:rPr>
        <w:sectPr>
          <w:headerReference r:id="rId7" w:type="default"/>
          <w:pgSz w:w="11906" w:h="16839"/>
          <w:pgMar w:top="1167" w:right="1420" w:bottom="400" w:left="1420" w:header="830" w:footer="0" w:gutter="0"/>
          <w:cols w:space="720" w:num="1"/>
        </w:sectPr>
      </w:pPr>
    </w:p>
    <w:p w14:paraId="7042ED86">
      <w:pPr>
        <w:spacing w:before="27"/>
      </w:pPr>
    </w:p>
    <w:p w14:paraId="2117009E">
      <w:pPr>
        <w:spacing w:before="27"/>
      </w:pPr>
    </w:p>
    <w:p w14:paraId="2CA47B3D">
      <w:pPr>
        <w:spacing w:before="27"/>
      </w:pPr>
    </w:p>
    <w:p w14:paraId="50BC3D16">
      <w:pPr>
        <w:spacing w:before="26"/>
      </w:pPr>
    </w:p>
    <w:tbl>
      <w:tblPr>
        <w:tblStyle w:val="6"/>
        <w:tblW w:w="8583" w:type="dxa"/>
        <w:tblInd w:w="1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8583"/>
      </w:tblGrid>
      <w:tr w14:paraId="1B8B1FFF">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2531" w:hRule="atLeast"/>
        </w:trPr>
        <w:tc>
          <w:tcPr>
            <w:tcW w:w="8583" w:type="dxa"/>
            <w:vAlign w:val="top"/>
          </w:tcPr>
          <w:p w14:paraId="78109D21">
            <w:pPr>
              <w:spacing w:line="416" w:lineRule="auto"/>
              <w:rPr>
                <w:rFonts w:ascii="Arial"/>
                <w:sz w:val="21"/>
              </w:rPr>
            </w:pPr>
          </w:p>
          <w:p w14:paraId="03BF9CE0">
            <w:pPr>
              <w:spacing w:before="101" w:line="219" w:lineRule="auto"/>
              <w:ind w:left="1729"/>
              <w:rPr>
                <w:rFonts w:ascii="FangSong_GB2312" w:hAnsi="FangSong_GB2312" w:eastAsia="FangSong_GB2312" w:cs="FangSong_GB2312"/>
                <w:sz w:val="31"/>
                <w:szCs w:val="31"/>
              </w:rPr>
            </w:pPr>
            <w:r>
              <w:rPr>
                <w:rFonts w:ascii="FangSong_GB2312" w:hAnsi="FangSong_GB2312" w:eastAsia="FangSong_GB2312" w:cs="FangSong_GB2312"/>
                <w:b/>
                <w:bCs/>
                <w:spacing w:val="6"/>
                <w:sz w:val="31"/>
                <w:szCs w:val="31"/>
              </w:rPr>
              <w:t>剑阁县义兴镇干部职工周转房建设项目</w:t>
            </w:r>
          </w:p>
          <w:p w14:paraId="1B5BC862">
            <w:pPr>
              <w:spacing w:before="253" w:line="220" w:lineRule="auto"/>
              <w:ind w:left="2843"/>
              <w:rPr>
                <w:rFonts w:ascii="FangSong_GB2312" w:hAnsi="FangSong_GB2312" w:eastAsia="FangSong_GB2312" w:cs="FangSong_GB2312"/>
                <w:sz w:val="31"/>
                <w:szCs w:val="31"/>
              </w:rPr>
            </w:pPr>
            <w:r>
              <w:rPr>
                <w:rFonts w:ascii="FangSong_GB2312" w:hAnsi="FangSong_GB2312" w:eastAsia="FangSong_GB2312" w:cs="FangSong_GB2312"/>
                <w:b/>
                <w:bCs/>
                <w:spacing w:val="6"/>
                <w:sz w:val="31"/>
                <w:szCs w:val="31"/>
              </w:rPr>
              <w:t>水土保持方案报告表</w:t>
            </w:r>
          </w:p>
          <w:p w14:paraId="2EDC80AE">
            <w:pPr>
              <w:spacing w:line="264" w:lineRule="auto"/>
              <w:rPr>
                <w:rFonts w:ascii="Arial"/>
                <w:sz w:val="21"/>
              </w:rPr>
            </w:pPr>
          </w:p>
          <w:p w14:paraId="2E4E62F0">
            <w:pPr>
              <w:spacing w:line="265" w:lineRule="auto"/>
              <w:rPr>
                <w:rFonts w:ascii="Arial"/>
                <w:sz w:val="21"/>
              </w:rPr>
            </w:pPr>
          </w:p>
          <w:p w14:paraId="1375BB61">
            <w:pPr>
              <w:spacing w:line="265" w:lineRule="auto"/>
              <w:rPr>
                <w:rFonts w:ascii="Arial"/>
                <w:sz w:val="21"/>
              </w:rPr>
            </w:pPr>
          </w:p>
          <w:p w14:paraId="3CE8AC43">
            <w:pPr>
              <w:spacing w:before="91" w:line="214" w:lineRule="auto"/>
              <w:ind w:left="391"/>
              <w:rPr>
                <w:rFonts w:ascii="仿宋" w:hAnsi="仿宋" w:eastAsia="仿宋" w:cs="仿宋"/>
                <w:sz w:val="28"/>
                <w:szCs w:val="28"/>
              </w:rPr>
            </w:pPr>
            <w:r>
              <w:rPr>
                <w:rFonts w:ascii="FangSong_GB2312" w:hAnsi="FangSong_GB2312" w:eastAsia="FangSong_GB2312" w:cs="FangSong_GB2312"/>
                <w:b/>
                <w:bCs/>
                <w:spacing w:val="-5"/>
                <w:sz w:val="28"/>
                <w:szCs w:val="28"/>
              </w:rPr>
              <w:t>项</w:t>
            </w:r>
            <w:r>
              <w:rPr>
                <w:rFonts w:ascii="FangSong_GB2312" w:hAnsi="FangSong_GB2312" w:eastAsia="FangSong_GB2312" w:cs="FangSong_GB2312"/>
                <w:spacing w:val="38"/>
                <w:sz w:val="28"/>
                <w:szCs w:val="28"/>
              </w:rPr>
              <w:t xml:space="preserve">  </w:t>
            </w:r>
            <w:r>
              <w:rPr>
                <w:rFonts w:ascii="FangSong_GB2312" w:hAnsi="FangSong_GB2312" w:eastAsia="FangSong_GB2312" w:cs="FangSong_GB2312"/>
                <w:b/>
                <w:bCs/>
                <w:spacing w:val="-5"/>
                <w:sz w:val="28"/>
                <w:szCs w:val="28"/>
              </w:rPr>
              <w:t>目</w:t>
            </w:r>
            <w:r>
              <w:rPr>
                <w:rFonts w:ascii="FangSong_GB2312" w:hAnsi="FangSong_GB2312" w:eastAsia="FangSong_GB2312" w:cs="FangSong_GB2312"/>
                <w:spacing w:val="-5"/>
                <w:sz w:val="28"/>
                <w:szCs w:val="28"/>
              </w:rPr>
              <w:t xml:space="preserve">  </w:t>
            </w:r>
            <w:r>
              <w:rPr>
                <w:rFonts w:ascii="FangSong_GB2312" w:hAnsi="FangSong_GB2312" w:eastAsia="FangSong_GB2312" w:cs="FangSong_GB2312"/>
                <w:b/>
                <w:bCs/>
                <w:spacing w:val="-5"/>
                <w:sz w:val="28"/>
                <w:szCs w:val="28"/>
              </w:rPr>
              <w:t>名</w:t>
            </w:r>
            <w:r>
              <w:rPr>
                <w:rFonts w:ascii="FangSong_GB2312" w:hAnsi="FangSong_GB2312" w:eastAsia="FangSong_GB2312" w:cs="FangSong_GB2312"/>
                <w:spacing w:val="-5"/>
                <w:sz w:val="28"/>
                <w:szCs w:val="28"/>
              </w:rPr>
              <w:t xml:space="preserve">  </w:t>
            </w:r>
            <w:r>
              <w:rPr>
                <w:rFonts w:ascii="FangSong_GB2312" w:hAnsi="FangSong_GB2312" w:eastAsia="FangSong_GB2312" w:cs="FangSong_GB2312"/>
                <w:b/>
                <w:bCs/>
                <w:spacing w:val="-5"/>
                <w:sz w:val="28"/>
                <w:szCs w:val="28"/>
              </w:rPr>
              <w:t>称：</w:t>
            </w:r>
            <w:r>
              <w:rPr>
                <w:rFonts w:ascii="FangSong_GB2312" w:hAnsi="FangSong_GB2312" w:eastAsia="FangSong_GB2312" w:cs="FangSong_GB2312"/>
                <w:spacing w:val="46"/>
                <w:sz w:val="28"/>
                <w:szCs w:val="28"/>
              </w:rPr>
              <w:t xml:space="preserve"> </w:t>
            </w:r>
            <w:r>
              <w:rPr>
                <w:rFonts w:ascii="仿宋" w:hAnsi="仿宋" w:eastAsia="仿宋" w:cs="仿宋"/>
                <w:spacing w:val="-5"/>
                <w:sz w:val="28"/>
                <w:szCs w:val="28"/>
                <w:u w:val="single" w:color="auto"/>
              </w:rPr>
              <w:t xml:space="preserve">   剑阁县义兴镇干部职工周转房建设项目</w:t>
            </w:r>
            <w:r>
              <w:rPr>
                <w:rFonts w:ascii="仿宋" w:hAnsi="仿宋" w:eastAsia="仿宋" w:cs="仿宋"/>
                <w:sz w:val="28"/>
                <w:szCs w:val="28"/>
                <w:u w:val="single" w:color="auto"/>
              </w:rPr>
              <w:t xml:space="preserve">  </w:t>
            </w:r>
          </w:p>
          <w:p w14:paraId="484B8BEF">
            <w:pPr>
              <w:spacing w:line="317" w:lineRule="auto"/>
              <w:rPr>
                <w:rFonts w:ascii="Arial"/>
                <w:sz w:val="21"/>
              </w:rPr>
            </w:pPr>
          </w:p>
          <w:p w14:paraId="37676033">
            <w:pPr>
              <w:spacing w:line="318" w:lineRule="auto"/>
              <w:rPr>
                <w:rFonts w:ascii="Arial"/>
                <w:sz w:val="21"/>
              </w:rPr>
            </w:pPr>
          </w:p>
          <w:p w14:paraId="163E6BA1">
            <w:pPr>
              <w:spacing w:line="318" w:lineRule="auto"/>
              <w:rPr>
                <w:rFonts w:ascii="Arial"/>
                <w:sz w:val="21"/>
              </w:rPr>
            </w:pPr>
          </w:p>
          <w:p w14:paraId="0F8C4461">
            <w:pPr>
              <w:spacing w:before="91" w:line="214" w:lineRule="auto"/>
              <w:ind w:left="426"/>
              <w:rPr>
                <w:rFonts w:ascii="仿宋" w:hAnsi="仿宋" w:eastAsia="仿宋" w:cs="仿宋"/>
                <w:sz w:val="28"/>
                <w:szCs w:val="28"/>
              </w:rPr>
            </w:pPr>
            <w:r>
              <w:rPr>
                <w:rFonts w:ascii="FangSong_GB2312" w:hAnsi="FangSong_GB2312" w:eastAsia="FangSong_GB2312" w:cs="FangSong_GB2312"/>
                <w:b/>
                <w:bCs/>
                <w:spacing w:val="-4"/>
                <w:sz w:val="28"/>
                <w:szCs w:val="28"/>
              </w:rPr>
              <w:t>建</w:t>
            </w:r>
            <w:r>
              <w:rPr>
                <w:rFonts w:ascii="FangSong_GB2312" w:hAnsi="FangSong_GB2312" w:eastAsia="FangSong_GB2312" w:cs="FangSong_GB2312"/>
                <w:spacing w:val="-4"/>
                <w:sz w:val="28"/>
                <w:szCs w:val="28"/>
              </w:rPr>
              <w:t xml:space="preserve">  </w:t>
            </w:r>
            <w:r>
              <w:rPr>
                <w:rFonts w:ascii="FangSong_GB2312" w:hAnsi="FangSong_GB2312" w:eastAsia="FangSong_GB2312" w:cs="FangSong_GB2312"/>
                <w:b/>
                <w:bCs/>
                <w:spacing w:val="-4"/>
                <w:sz w:val="28"/>
                <w:szCs w:val="28"/>
              </w:rPr>
              <w:t>设</w:t>
            </w:r>
            <w:r>
              <w:rPr>
                <w:rFonts w:ascii="FangSong_GB2312" w:hAnsi="FangSong_GB2312" w:eastAsia="FangSong_GB2312" w:cs="FangSong_GB2312"/>
                <w:spacing w:val="-4"/>
                <w:sz w:val="28"/>
                <w:szCs w:val="28"/>
              </w:rPr>
              <w:t xml:space="preserve">  </w:t>
            </w:r>
            <w:r>
              <w:rPr>
                <w:rFonts w:ascii="FangSong_GB2312" w:hAnsi="FangSong_GB2312" w:eastAsia="FangSong_GB2312" w:cs="FangSong_GB2312"/>
                <w:b/>
                <w:bCs/>
                <w:spacing w:val="-4"/>
                <w:sz w:val="28"/>
                <w:szCs w:val="28"/>
              </w:rPr>
              <w:t>单</w:t>
            </w:r>
            <w:r>
              <w:rPr>
                <w:rFonts w:ascii="FangSong_GB2312" w:hAnsi="FangSong_GB2312" w:eastAsia="FangSong_GB2312" w:cs="FangSong_GB2312"/>
                <w:spacing w:val="12"/>
                <w:sz w:val="28"/>
                <w:szCs w:val="28"/>
              </w:rPr>
              <w:t xml:space="preserve">  </w:t>
            </w:r>
            <w:r>
              <w:rPr>
                <w:rFonts w:ascii="FangSong_GB2312" w:hAnsi="FangSong_GB2312" w:eastAsia="FangSong_GB2312" w:cs="FangSong_GB2312"/>
                <w:b/>
                <w:bCs/>
                <w:spacing w:val="-4"/>
                <w:sz w:val="28"/>
                <w:szCs w:val="28"/>
              </w:rPr>
              <w:t>位：</w:t>
            </w:r>
            <w:r>
              <w:rPr>
                <w:rFonts w:ascii="FangSong_GB2312" w:hAnsi="FangSong_GB2312" w:eastAsia="FangSong_GB2312" w:cs="FangSong_GB2312"/>
                <w:spacing w:val="18"/>
                <w:sz w:val="28"/>
                <w:szCs w:val="28"/>
              </w:rPr>
              <w:t xml:space="preserve"> </w:t>
            </w:r>
            <w:r>
              <w:rPr>
                <w:rFonts w:ascii="仿宋" w:hAnsi="仿宋" w:eastAsia="仿宋" w:cs="仿宋"/>
                <w:spacing w:val="-4"/>
                <w:sz w:val="28"/>
                <w:szCs w:val="28"/>
                <w:u w:val="single" w:color="auto"/>
              </w:rPr>
              <w:t xml:space="preserve">      剑阁县义兴镇人民政府            </w:t>
            </w:r>
          </w:p>
          <w:p w14:paraId="3F5FE3B9">
            <w:pPr>
              <w:spacing w:line="314" w:lineRule="auto"/>
              <w:rPr>
                <w:rFonts w:ascii="Arial"/>
                <w:sz w:val="21"/>
              </w:rPr>
            </w:pPr>
          </w:p>
          <w:p w14:paraId="7B0E3CBC">
            <w:pPr>
              <w:spacing w:line="315" w:lineRule="auto"/>
              <w:rPr>
                <w:rFonts w:ascii="Arial"/>
                <w:sz w:val="21"/>
              </w:rPr>
            </w:pPr>
          </w:p>
          <w:p w14:paraId="2A6E9C6F">
            <w:pPr>
              <w:spacing w:before="91" w:line="214" w:lineRule="auto"/>
              <w:ind w:left="387"/>
              <w:rPr>
                <w:rFonts w:ascii="仿宋" w:hAnsi="仿宋" w:eastAsia="仿宋" w:cs="仿宋"/>
                <w:sz w:val="28"/>
                <w:szCs w:val="28"/>
              </w:rPr>
            </w:pPr>
            <w:r>
              <w:rPr>
                <w:rFonts w:ascii="FangSong_GB2312" w:hAnsi="FangSong_GB2312" w:eastAsia="FangSong_GB2312" w:cs="FangSong_GB2312"/>
                <w:b/>
                <w:bCs/>
                <w:spacing w:val="-13"/>
                <w:sz w:val="28"/>
                <w:szCs w:val="28"/>
              </w:rPr>
              <w:t>联</w:t>
            </w:r>
            <w:r>
              <w:rPr>
                <w:rFonts w:ascii="FangSong_GB2312" w:hAnsi="FangSong_GB2312" w:eastAsia="FangSong_GB2312" w:cs="FangSong_GB2312"/>
                <w:spacing w:val="7"/>
                <w:sz w:val="28"/>
                <w:szCs w:val="28"/>
              </w:rPr>
              <w:t xml:space="preserve">    </w:t>
            </w:r>
            <w:r>
              <w:rPr>
                <w:rFonts w:ascii="FangSong_GB2312" w:hAnsi="FangSong_GB2312" w:eastAsia="FangSong_GB2312" w:cs="FangSong_GB2312"/>
                <w:b/>
                <w:bCs/>
                <w:spacing w:val="-13"/>
                <w:sz w:val="28"/>
                <w:szCs w:val="28"/>
              </w:rPr>
              <w:t>系</w:t>
            </w:r>
            <w:r>
              <w:rPr>
                <w:rFonts w:ascii="FangSong_GB2312" w:hAnsi="FangSong_GB2312" w:eastAsia="FangSong_GB2312" w:cs="FangSong_GB2312"/>
                <w:spacing w:val="3"/>
                <w:sz w:val="28"/>
                <w:szCs w:val="28"/>
              </w:rPr>
              <w:t xml:space="preserve">    </w:t>
            </w:r>
            <w:r>
              <w:rPr>
                <w:rFonts w:ascii="FangSong_GB2312" w:hAnsi="FangSong_GB2312" w:eastAsia="FangSong_GB2312" w:cs="FangSong_GB2312"/>
                <w:b/>
                <w:bCs/>
                <w:spacing w:val="-13"/>
                <w:sz w:val="28"/>
                <w:szCs w:val="28"/>
              </w:rPr>
              <w:t>人：</w:t>
            </w:r>
            <w:r>
              <w:rPr>
                <w:rFonts w:ascii="FangSong_GB2312" w:hAnsi="FangSong_GB2312" w:eastAsia="FangSong_GB2312" w:cs="FangSong_GB2312"/>
                <w:spacing w:val="52"/>
                <w:sz w:val="28"/>
                <w:szCs w:val="28"/>
              </w:rPr>
              <w:t xml:space="preserve"> </w:t>
            </w:r>
            <w:r>
              <w:rPr>
                <w:rFonts w:ascii="仿宋" w:hAnsi="仿宋" w:eastAsia="仿宋" w:cs="仿宋"/>
                <w:spacing w:val="9"/>
                <w:sz w:val="28"/>
                <w:szCs w:val="28"/>
                <w:u w:val="single" w:color="auto"/>
              </w:rPr>
              <w:t xml:space="preserve">             </w:t>
            </w:r>
            <w:r>
              <w:rPr>
                <w:rFonts w:ascii="仿宋" w:hAnsi="仿宋" w:eastAsia="仿宋" w:cs="仿宋"/>
                <w:spacing w:val="-13"/>
                <w:sz w:val="28"/>
                <w:szCs w:val="28"/>
                <w:u w:val="single" w:color="auto"/>
              </w:rPr>
              <w:t>张继生</w:t>
            </w:r>
            <w:r>
              <w:rPr>
                <w:rFonts w:ascii="仿宋" w:hAnsi="仿宋" w:eastAsia="仿宋" w:cs="仿宋"/>
                <w:sz w:val="28"/>
                <w:szCs w:val="28"/>
                <w:u w:val="single" w:color="auto"/>
              </w:rPr>
              <w:t xml:space="preserve">                  </w:t>
            </w:r>
          </w:p>
          <w:p w14:paraId="476DBD0D">
            <w:pPr>
              <w:spacing w:line="294" w:lineRule="auto"/>
              <w:rPr>
                <w:rFonts w:ascii="Arial"/>
                <w:sz w:val="21"/>
              </w:rPr>
            </w:pPr>
          </w:p>
          <w:p w14:paraId="73C99C8B">
            <w:pPr>
              <w:spacing w:line="294" w:lineRule="auto"/>
              <w:rPr>
                <w:rFonts w:ascii="Arial"/>
                <w:sz w:val="21"/>
              </w:rPr>
            </w:pPr>
          </w:p>
          <w:p w14:paraId="0FF50755">
            <w:pPr>
              <w:spacing w:before="91" w:line="218" w:lineRule="auto"/>
              <w:ind w:left="391"/>
              <w:rPr>
                <w:rFonts w:ascii="仿宋" w:hAnsi="仿宋" w:eastAsia="仿宋" w:cs="仿宋"/>
                <w:sz w:val="28"/>
                <w:szCs w:val="28"/>
              </w:rPr>
            </w:pPr>
            <w:r>
              <w:rPr>
                <w:rFonts w:ascii="FangSong_GB2312" w:hAnsi="FangSong_GB2312" w:eastAsia="FangSong_GB2312" w:cs="FangSong_GB2312"/>
                <w:b/>
                <w:bCs/>
                <w:spacing w:val="-5"/>
                <w:sz w:val="28"/>
                <w:szCs w:val="28"/>
              </w:rPr>
              <w:t>项</w:t>
            </w:r>
            <w:r>
              <w:rPr>
                <w:rFonts w:ascii="FangSong_GB2312" w:hAnsi="FangSong_GB2312" w:eastAsia="FangSong_GB2312" w:cs="FangSong_GB2312"/>
                <w:spacing w:val="31"/>
                <w:sz w:val="28"/>
                <w:szCs w:val="28"/>
              </w:rPr>
              <w:t xml:space="preserve">  </w:t>
            </w:r>
            <w:r>
              <w:rPr>
                <w:rFonts w:ascii="FangSong_GB2312" w:hAnsi="FangSong_GB2312" w:eastAsia="FangSong_GB2312" w:cs="FangSong_GB2312"/>
                <w:b/>
                <w:bCs/>
                <w:spacing w:val="-5"/>
                <w:sz w:val="28"/>
                <w:szCs w:val="28"/>
              </w:rPr>
              <w:t>目</w:t>
            </w:r>
            <w:r>
              <w:rPr>
                <w:rFonts w:ascii="FangSong_GB2312" w:hAnsi="FangSong_GB2312" w:eastAsia="FangSong_GB2312" w:cs="FangSong_GB2312"/>
                <w:spacing w:val="-5"/>
                <w:sz w:val="28"/>
                <w:szCs w:val="28"/>
              </w:rPr>
              <w:t xml:space="preserve">  </w:t>
            </w:r>
            <w:r>
              <w:rPr>
                <w:rFonts w:ascii="FangSong_GB2312" w:hAnsi="FangSong_GB2312" w:eastAsia="FangSong_GB2312" w:cs="FangSong_GB2312"/>
                <w:b/>
                <w:bCs/>
                <w:spacing w:val="-5"/>
                <w:sz w:val="28"/>
                <w:szCs w:val="28"/>
              </w:rPr>
              <w:t>地</w:t>
            </w:r>
            <w:r>
              <w:rPr>
                <w:rFonts w:ascii="FangSong_GB2312" w:hAnsi="FangSong_GB2312" w:eastAsia="FangSong_GB2312" w:cs="FangSong_GB2312"/>
                <w:spacing w:val="-5"/>
                <w:sz w:val="28"/>
                <w:szCs w:val="28"/>
              </w:rPr>
              <w:t xml:space="preserve">  </w:t>
            </w:r>
            <w:r>
              <w:rPr>
                <w:rFonts w:ascii="FangSong_GB2312" w:hAnsi="FangSong_GB2312" w:eastAsia="FangSong_GB2312" w:cs="FangSong_GB2312"/>
                <w:b/>
                <w:bCs/>
                <w:spacing w:val="-5"/>
                <w:sz w:val="28"/>
                <w:szCs w:val="28"/>
              </w:rPr>
              <w:t>址：</w:t>
            </w:r>
            <w:r>
              <w:rPr>
                <w:rFonts w:ascii="FangSong_GB2312" w:hAnsi="FangSong_GB2312" w:eastAsia="FangSong_GB2312" w:cs="FangSong_GB2312"/>
                <w:spacing w:val="69"/>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5"/>
                <w:sz w:val="28"/>
                <w:szCs w:val="28"/>
                <w:u w:val="single" w:color="auto"/>
              </w:rPr>
              <w:t xml:space="preserve">剑阁县义兴镇人民政府西北侧     </w:t>
            </w:r>
          </w:p>
          <w:p w14:paraId="22DA0A78">
            <w:pPr>
              <w:spacing w:line="290" w:lineRule="auto"/>
              <w:rPr>
                <w:rFonts w:ascii="Arial"/>
                <w:sz w:val="21"/>
              </w:rPr>
            </w:pPr>
          </w:p>
          <w:p w14:paraId="1A37046E">
            <w:pPr>
              <w:spacing w:line="290" w:lineRule="auto"/>
              <w:rPr>
                <w:rFonts w:ascii="Arial"/>
                <w:sz w:val="21"/>
              </w:rPr>
            </w:pPr>
          </w:p>
          <w:p w14:paraId="070FCACE">
            <w:pPr>
              <w:spacing w:before="91" w:line="220" w:lineRule="auto"/>
              <w:ind w:left="420"/>
              <w:rPr>
                <w:rFonts w:ascii="Times New Roman" w:hAnsi="Times New Roman" w:eastAsia="Times New Roman" w:cs="Times New Roman"/>
                <w:sz w:val="28"/>
                <w:szCs w:val="28"/>
              </w:rPr>
            </w:pPr>
            <w:r>
              <w:rPr>
                <w:rFonts w:ascii="FangSong_GB2312" w:hAnsi="FangSong_GB2312" w:eastAsia="FangSong_GB2312" w:cs="FangSong_GB2312"/>
                <w:b/>
                <w:bCs/>
                <w:spacing w:val="-3"/>
                <w:sz w:val="28"/>
                <w:szCs w:val="28"/>
              </w:rPr>
              <w:t>电</w:t>
            </w:r>
            <w:r>
              <w:rPr>
                <w:rFonts w:ascii="FangSong_GB2312" w:hAnsi="FangSong_GB2312" w:eastAsia="FangSong_GB2312" w:cs="FangSong_GB2312"/>
                <w:spacing w:val="1"/>
                <w:sz w:val="28"/>
                <w:szCs w:val="28"/>
              </w:rPr>
              <w:t xml:space="preserve">          </w:t>
            </w:r>
            <w:r>
              <w:rPr>
                <w:rFonts w:ascii="FangSong_GB2312" w:hAnsi="FangSong_GB2312" w:eastAsia="FangSong_GB2312" w:cs="FangSong_GB2312"/>
                <w:b/>
                <w:bCs/>
                <w:spacing w:val="-3"/>
                <w:sz w:val="28"/>
                <w:szCs w:val="28"/>
              </w:rPr>
              <w:t>话：</w:t>
            </w:r>
            <w:r>
              <w:rPr>
                <w:rFonts w:ascii="FangSong_GB2312" w:hAnsi="FangSong_GB2312" w:eastAsia="FangSong_GB2312" w:cs="FangSong_GB2312"/>
                <w:spacing w:val="-3"/>
                <w:sz w:val="28"/>
                <w:szCs w:val="28"/>
              </w:rPr>
              <w:t xml:space="preserve"> </w:t>
            </w:r>
            <w:r>
              <w:rPr>
                <w:rFonts w:ascii="Times New Roman" w:hAnsi="Times New Roman" w:eastAsia="Times New Roman" w:cs="Times New Roman"/>
                <w:sz w:val="28"/>
                <w:szCs w:val="28"/>
                <w:u w:val="single" w:color="auto"/>
              </w:rPr>
              <w:t xml:space="preserve">                        </w:t>
            </w:r>
            <w:r>
              <w:rPr>
                <w:rFonts w:ascii="Times New Roman" w:hAnsi="Times New Roman" w:eastAsia="Times New Roman" w:cs="Times New Roman"/>
                <w:spacing w:val="-3"/>
                <w:sz w:val="28"/>
                <w:szCs w:val="28"/>
                <w:u w:val="single" w:color="auto"/>
              </w:rPr>
              <w:t xml:space="preserve">0839-6376002                      </w:t>
            </w:r>
            <w:r>
              <w:rPr>
                <w:rFonts w:ascii="Times New Roman" w:hAnsi="Times New Roman" w:eastAsia="Times New Roman" w:cs="Times New Roman"/>
                <w:spacing w:val="-4"/>
                <w:sz w:val="28"/>
                <w:szCs w:val="28"/>
                <w:u w:val="single" w:color="auto"/>
              </w:rPr>
              <w:t xml:space="preserve">     </w:t>
            </w:r>
          </w:p>
          <w:p w14:paraId="12A905E6">
            <w:pPr>
              <w:spacing w:line="246" w:lineRule="auto"/>
              <w:rPr>
                <w:rFonts w:ascii="Arial"/>
                <w:sz w:val="21"/>
              </w:rPr>
            </w:pPr>
          </w:p>
          <w:p w14:paraId="589A9A53">
            <w:pPr>
              <w:spacing w:line="246" w:lineRule="auto"/>
              <w:rPr>
                <w:rFonts w:ascii="Arial"/>
                <w:sz w:val="21"/>
              </w:rPr>
            </w:pPr>
          </w:p>
          <w:p w14:paraId="43D50420">
            <w:pPr>
              <w:spacing w:line="247" w:lineRule="auto"/>
              <w:rPr>
                <w:rFonts w:ascii="Arial"/>
                <w:sz w:val="21"/>
              </w:rPr>
            </w:pPr>
          </w:p>
          <w:p w14:paraId="5A9B8180">
            <w:pPr>
              <w:spacing w:before="92" w:line="214" w:lineRule="auto"/>
              <w:ind w:left="387"/>
              <w:rPr>
                <w:rFonts w:ascii="仿宋" w:hAnsi="仿宋" w:eastAsia="仿宋" w:cs="仿宋"/>
                <w:sz w:val="28"/>
                <w:szCs w:val="28"/>
              </w:rPr>
            </w:pPr>
            <w:r>
              <w:rPr>
                <w:rFonts w:ascii="FangSong_GB2312" w:hAnsi="FangSong_GB2312" w:eastAsia="FangSong_GB2312" w:cs="FangSong_GB2312"/>
                <w:b/>
                <w:bCs/>
                <w:spacing w:val="-2"/>
                <w:sz w:val="28"/>
                <w:szCs w:val="28"/>
              </w:rPr>
              <w:t>编</w:t>
            </w:r>
            <w:r>
              <w:rPr>
                <w:rFonts w:ascii="FangSong_GB2312" w:hAnsi="FangSong_GB2312" w:eastAsia="FangSong_GB2312" w:cs="FangSong_GB2312"/>
                <w:spacing w:val="-2"/>
                <w:sz w:val="28"/>
                <w:szCs w:val="28"/>
              </w:rPr>
              <w:t xml:space="preserve">  </w:t>
            </w:r>
            <w:r>
              <w:rPr>
                <w:rFonts w:ascii="FangSong_GB2312" w:hAnsi="FangSong_GB2312" w:eastAsia="FangSong_GB2312" w:cs="FangSong_GB2312"/>
                <w:b/>
                <w:bCs/>
                <w:spacing w:val="-2"/>
                <w:sz w:val="28"/>
                <w:szCs w:val="28"/>
              </w:rPr>
              <w:t>制</w:t>
            </w:r>
            <w:r>
              <w:rPr>
                <w:rFonts w:ascii="FangSong_GB2312" w:hAnsi="FangSong_GB2312" w:eastAsia="FangSong_GB2312" w:cs="FangSong_GB2312"/>
                <w:spacing w:val="-2"/>
                <w:sz w:val="28"/>
                <w:szCs w:val="28"/>
              </w:rPr>
              <w:t xml:space="preserve">  </w:t>
            </w:r>
            <w:r>
              <w:rPr>
                <w:rFonts w:ascii="FangSong_GB2312" w:hAnsi="FangSong_GB2312" w:eastAsia="FangSong_GB2312" w:cs="FangSong_GB2312"/>
                <w:b/>
                <w:bCs/>
                <w:spacing w:val="-2"/>
                <w:sz w:val="28"/>
                <w:szCs w:val="28"/>
              </w:rPr>
              <w:t>单</w:t>
            </w:r>
            <w:r>
              <w:rPr>
                <w:rFonts w:ascii="FangSong_GB2312" w:hAnsi="FangSong_GB2312" w:eastAsia="FangSong_GB2312" w:cs="FangSong_GB2312"/>
                <w:spacing w:val="-2"/>
                <w:sz w:val="28"/>
                <w:szCs w:val="28"/>
              </w:rPr>
              <w:t xml:space="preserve">  </w:t>
            </w:r>
            <w:r>
              <w:rPr>
                <w:rFonts w:ascii="FangSong_GB2312" w:hAnsi="FangSong_GB2312" w:eastAsia="FangSong_GB2312" w:cs="FangSong_GB2312"/>
                <w:b/>
                <w:bCs/>
                <w:spacing w:val="-2"/>
                <w:sz w:val="28"/>
                <w:szCs w:val="28"/>
              </w:rPr>
              <w:t>位：</w:t>
            </w:r>
            <w:r>
              <w:rPr>
                <w:rFonts w:ascii="FangSong_GB2312" w:hAnsi="FangSong_GB2312" w:eastAsia="FangSong_GB2312" w:cs="FangSong_GB2312"/>
                <w:spacing w:val="41"/>
                <w:sz w:val="28"/>
                <w:szCs w:val="28"/>
              </w:rPr>
              <w:t xml:space="preserve"> </w:t>
            </w:r>
            <w:r>
              <w:rPr>
                <w:rFonts w:ascii="仿宋" w:hAnsi="仿宋" w:eastAsia="仿宋" w:cs="仿宋"/>
                <w:spacing w:val="-2"/>
                <w:sz w:val="28"/>
                <w:szCs w:val="28"/>
                <w:u w:val="single" w:color="auto"/>
              </w:rPr>
              <w:t xml:space="preserve">     剑阁县绿森林业勘察设计有限公司</w:t>
            </w:r>
            <w:r>
              <w:rPr>
                <w:rFonts w:ascii="仿宋" w:hAnsi="仿宋" w:eastAsia="仿宋" w:cs="仿宋"/>
                <w:sz w:val="28"/>
                <w:szCs w:val="28"/>
                <w:u w:val="single" w:color="auto"/>
              </w:rPr>
              <w:t xml:space="preserve">   </w:t>
            </w:r>
          </w:p>
          <w:p w14:paraId="631A25E6">
            <w:pPr>
              <w:spacing w:line="255" w:lineRule="auto"/>
              <w:rPr>
                <w:rFonts w:ascii="Arial"/>
                <w:sz w:val="21"/>
              </w:rPr>
            </w:pPr>
          </w:p>
          <w:p w14:paraId="71A1D1B5">
            <w:pPr>
              <w:spacing w:line="256" w:lineRule="auto"/>
              <w:rPr>
                <w:rFonts w:ascii="Arial"/>
                <w:sz w:val="21"/>
              </w:rPr>
            </w:pPr>
          </w:p>
          <w:p w14:paraId="04920CD5">
            <w:pPr>
              <w:spacing w:line="256" w:lineRule="auto"/>
              <w:rPr>
                <w:rFonts w:ascii="Arial"/>
                <w:sz w:val="21"/>
              </w:rPr>
            </w:pPr>
          </w:p>
          <w:p w14:paraId="1F326B46">
            <w:pPr>
              <w:spacing w:before="92" w:line="214" w:lineRule="auto"/>
              <w:ind w:left="387"/>
              <w:rPr>
                <w:rFonts w:ascii="仿宋" w:hAnsi="仿宋" w:eastAsia="仿宋" w:cs="仿宋"/>
                <w:sz w:val="28"/>
                <w:szCs w:val="28"/>
              </w:rPr>
            </w:pPr>
            <w:r>
              <w:rPr>
                <w:rFonts w:ascii="FangSong_GB2312" w:hAnsi="FangSong_GB2312" w:eastAsia="FangSong_GB2312" w:cs="FangSong_GB2312"/>
                <w:b/>
                <w:bCs/>
                <w:spacing w:val="-10"/>
                <w:sz w:val="28"/>
                <w:szCs w:val="28"/>
              </w:rPr>
              <w:t>联</w:t>
            </w:r>
            <w:r>
              <w:rPr>
                <w:rFonts w:ascii="FangSong_GB2312" w:hAnsi="FangSong_GB2312" w:eastAsia="FangSong_GB2312" w:cs="FangSong_GB2312"/>
                <w:spacing w:val="6"/>
                <w:sz w:val="28"/>
                <w:szCs w:val="28"/>
              </w:rPr>
              <w:t xml:space="preserve">    </w:t>
            </w:r>
            <w:r>
              <w:rPr>
                <w:rFonts w:ascii="FangSong_GB2312" w:hAnsi="FangSong_GB2312" w:eastAsia="FangSong_GB2312" w:cs="FangSong_GB2312"/>
                <w:b/>
                <w:bCs/>
                <w:spacing w:val="-10"/>
                <w:sz w:val="28"/>
                <w:szCs w:val="28"/>
              </w:rPr>
              <w:t>系</w:t>
            </w:r>
            <w:r>
              <w:rPr>
                <w:rFonts w:ascii="FangSong_GB2312" w:hAnsi="FangSong_GB2312" w:eastAsia="FangSong_GB2312" w:cs="FangSong_GB2312"/>
                <w:spacing w:val="3"/>
                <w:sz w:val="28"/>
                <w:szCs w:val="28"/>
              </w:rPr>
              <w:t xml:space="preserve">    </w:t>
            </w:r>
            <w:r>
              <w:rPr>
                <w:rFonts w:ascii="FangSong_GB2312" w:hAnsi="FangSong_GB2312" w:eastAsia="FangSong_GB2312" w:cs="FangSong_GB2312"/>
                <w:b/>
                <w:bCs/>
                <w:spacing w:val="-10"/>
                <w:sz w:val="28"/>
                <w:szCs w:val="28"/>
              </w:rPr>
              <w:t>人：</w:t>
            </w:r>
            <w:r>
              <w:rPr>
                <w:rFonts w:ascii="FangSong_GB2312" w:hAnsi="FangSong_GB2312" w:eastAsia="FangSong_GB2312" w:cs="FangSong_GB2312"/>
                <w:spacing w:val="35"/>
                <w:sz w:val="28"/>
                <w:szCs w:val="28"/>
              </w:rPr>
              <w:t xml:space="preserve"> </w:t>
            </w:r>
            <w:r>
              <w:rPr>
                <w:rFonts w:ascii="仿宋" w:hAnsi="仿宋" w:eastAsia="仿宋" w:cs="仿宋"/>
                <w:spacing w:val="8"/>
                <w:sz w:val="28"/>
                <w:szCs w:val="28"/>
                <w:u w:val="single" w:color="auto"/>
              </w:rPr>
              <w:t xml:space="preserve">              </w:t>
            </w:r>
            <w:r>
              <w:rPr>
                <w:rFonts w:ascii="仿宋" w:hAnsi="仿宋" w:eastAsia="仿宋" w:cs="仿宋"/>
                <w:spacing w:val="-10"/>
                <w:sz w:val="28"/>
                <w:szCs w:val="28"/>
                <w:u w:val="single" w:color="auto"/>
              </w:rPr>
              <w:t>邓文章</w:t>
            </w:r>
            <w:r>
              <w:rPr>
                <w:rFonts w:ascii="仿宋" w:hAnsi="仿宋" w:eastAsia="仿宋" w:cs="仿宋"/>
                <w:sz w:val="28"/>
                <w:szCs w:val="28"/>
                <w:u w:val="single" w:color="auto"/>
              </w:rPr>
              <w:t xml:space="preserve">                 </w:t>
            </w:r>
          </w:p>
          <w:p w14:paraId="54F8E79B">
            <w:pPr>
              <w:spacing w:line="294" w:lineRule="auto"/>
              <w:rPr>
                <w:rFonts w:ascii="Arial"/>
                <w:sz w:val="21"/>
              </w:rPr>
            </w:pPr>
          </w:p>
          <w:p w14:paraId="1DBE14A1">
            <w:pPr>
              <w:spacing w:line="294" w:lineRule="auto"/>
              <w:rPr>
                <w:rFonts w:ascii="Arial"/>
                <w:sz w:val="21"/>
              </w:rPr>
            </w:pPr>
          </w:p>
          <w:p w14:paraId="1C8DC20F">
            <w:pPr>
              <w:spacing w:before="92" w:line="220" w:lineRule="auto"/>
              <w:ind w:left="420"/>
              <w:rPr>
                <w:rFonts w:ascii="Times New Roman" w:hAnsi="Times New Roman" w:eastAsia="Times New Roman" w:cs="Times New Roman"/>
                <w:sz w:val="28"/>
                <w:szCs w:val="28"/>
              </w:rPr>
            </w:pPr>
            <w:r>
              <w:rPr>
                <w:rFonts w:ascii="FangSong_GB2312" w:hAnsi="FangSong_GB2312" w:eastAsia="FangSong_GB2312" w:cs="FangSong_GB2312"/>
                <w:b/>
                <w:bCs/>
                <w:spacing w:val="-2"/>
                <w:sz w:val="28"/>
                <w:szCs w:val="28"/>
              </w:rPr>
              <w:t>电</w:t>
            </w:r>
            <w:r>
              <w:rPr>
                <w:rFonts w:ascii="FangSong_GB2312" w:hAnsi="FangSong_GB2312" w:eastAsia="FangSong_GB2312" w:cs="FangSong_GB2312"/>
                <w:spacing w:val="1"/>
                <w:sz w:val="28"/>
                <w:szCs w:val="28"/>
              </w:rPr>
              <w:t xml:space="preserve">          </w:t>
            </w:r>
            <w:r>
              <w:rPr>
                <w:rFonts w:ascii="FangSong_GB2312" w:hAnsi="FangSong_GB2312" w:eastAsia="FangSong_GB2312" w:cs="FangSong_GB2312"/>
                <w:b/>
                <w:bCs/>
                <w:spacing w:val="-2"/>
                <w:sz w:val="28"/>
                <w:szCs w:val="28"/>
              </w:rPr>
              <w:t>话：</w:t>
            </w:r>
            <w:r>
              <w:rPr>
                <w:rFonts w:ascii="FangSong_GB2312" w:hAnsi="FangSong_GB2312" w:eastAsia="FangSong_GB2312" w:cs="FangSong_GB2312"/>
                <w:spacing w:val="27"/>
                <w:sz w:val="28"/>
                <w:szCs w:val="28"/>
              </w:rPr>
              <w:t xml:space="preserve"> </w:t>
            </w:r>
            <w:r>
              <w:rPr>
                <w:rFonts w:ascii="Times New Roman" w:hAnsi="Times New Roman" w:eastAsia="Times New Roman" w:cs="Times New Roman"/>
                <w:spacing w:val="-2"/>
                <w:sz w:val="28"/>
                <w:szCs w:val="28"/>
                <w:u w:val="single" w:color="auto"/>
              </w:rPr>
              <w:t xml:space="preserve">                        0839-6602199      </w:t>
            </w:r>
            <w:r>
              <w:rPr>
                <w:rFonts w:ascii="Times New Roman" w:hAnsi="Times New Roman" w:eastAsia="Times New Roman" w:cs="Times New Roman"/>
                <w:spacing w:val="-3"/>
                <w:sz w:val="28"/>
                <w:szCs w:val="28"/>
                <w:u w:val="single" w:color="auto"/>
              </w:rPr>
              <w:t xml:space="preserve">                        </w:t>
            </w:r>
          </w:p>
          <w:p w14:paraId="7C41F65A">
            <w:pPr>
              <w:spacing w:line="289" w:lineRule="auto"/>
              <w:rPr>
                <w:rFonts w:ascii="Arial"/>
                <w:sz w:val="21"/>
              </w:rPr>
            </w:pPr>
          </w:p>
          <w:p w14:paraId="2DDAECDE">
            <w:pPr>
              <w:spacing w:line="290" w:lineRule="auto"/>
              <w:rPr>
                <w:rFonts w:ascii="Arial"/>
                <w:sz w:val="21"/>
              </w:rPr>
            </w:pPr>
          </w:p>
          <w:p w14:paraId="166DD979">
            <w:pPr>
              <w:spacing w:before="91" w:line="215" w:lineRule="auto"/>
              <w:ind w:left="396"/>
              <w:rPr>
                <w:rFonts w:ascii="仿宋" w:hAnsi="仿宋" w:eastAsia="仿宋" w:cs="仿宋"/>
                <w:sz w:val="28"/>
                <w:szCs w:val="28"/>
              </w:rPr>
            </w:pPr>
            <w:r>
              <w:rPr>
                <w:rFonts w:ascii="FangSong_GB2312" w:hAnsi="FangSong_GB2312" w:eastAsia="FangSong_GB2312" w:cs="FangSong_GB2312"/>
                <w:b/>
                <w:bCs/>
                <w:spacing w:val="-8"/>
                <w:sz w:val="28"/>
                <w:szCs w:val="28"/>
              </w:rPr>
              <w:t>报</w:t>
            </w:r>
            <w:r>
              <w:rPr>
                <w:rFonts w:ascii="FangSong_GB2312" w:hAnsi="FangSong_GB2312" w:eastAsia="FangSong_GB2312" w:cs="FangSong_GB2312"/>
                <w:spacing w:val="9"/>
                <w:sz w:val="28"/>
                <w:szCs w:val="28"/>
              </w:rPr>
              <w:t xml:space="preserve">  </w:t>
            </w:r>
            <w:r>
              <w:rPr>
                <w:rFonts w:ascii="FangSong_GB2312" w:hAnsi="FangSong_GB2312" w:eastAsia="FangSong_GB2312" w:cs="FangSong_GB2312"/>
                <w:b/>
                <w:bCs/>
                <w:spacing w:val="-8"/>
                <w:sz w:val="28"/>
                <w:szCs w:val="28"/>
              </w:rPr>
              <w:t>送</w:t>
            </w:r>
            <w:r>
              <w:rPr>
                <w:rFonts w:ascii="FangSong_GB2312" w:hAnsi="FangSong_GB2312" w:eastAsia="FangSong_GB2312" w:cs="FangSong_GB2312"/>
                <w:spacing w:val="19"/>
                <w:sz w:val="28"/>
                <w:szCs w:val="28"/>
              </w:rPr>
              <w:t xml:space="preserve">  </w:t>
            </w:r>
            <w:r>
              <w:rPr>
                <w:rFonts w:ascii="FangSong_GB2312" w:hAnsi="FangSong_GB2312" w:eastAsia="FangSong_GB2312" w:cs="FangSong_GB2312"/>
                <w:b/>
                <w:bCs/>
                <w:spacing w:val="-8"/>
                <w:sz w:val="28"/>
                <w:szCs w:val="28"/>
              </w:rPr>
              <w:t>时</w:t>
            </w:r>
            <w:r>
              <w:rPr>
                <w:rFonts w:ascii="FangSong_GB2312" w:hAnsi="FangSong_GB2312" w:eastAsia="FangSong_GB2312" w:cs="FangSong_GB2312"/>
                <w:spacing w:val="19"/>
                <w:sz w:val="28"/>
                <w:szCs w:val="28"/>
              </w:rPr>
              <w:t xml:space="preserve">  </w:t>
            </w:r>
            <w:r>
              <w:rPr>
                <w:rFonts w:ascii="FangSong_GB2312" w:hAnsi="FangSong_GB2312" w:eastAsia="FangSong_GB2312" w:cs="FangSong_GB2312"/>
                <w:b/>
                <w:bCs/>
                <w:spacing w:val="-8"/>
                <w:sz w:val="28"/>
                <w:szCs w:val="28"/>
              </w:rPr>
              <w:t>间：</w:t>
            </w:r>
            <w:r>
              <w:rPr>
                <w:rFonts w:ascii="FangSong_GB2312" w:hAnsi="FangSong_GB2312" w:eastAsia="FangSong_GB2312" w:cs="FangSong_GB2312"/>
                <w:spacing w:val="42"/>
                <w:sz w:val="28"/>
                <w:szCs w:val="28"/>
              </w:rPr>
              <w:t xml:space="preserve"> </w:t>
            </w:r>
            <w:r>
              <w:rPr>
                <w:rFonts w:ascii="Times New Roman" w:hAnsi="Times New Roman" w:eastAsia="Times New Roman" w:cs="Times New Roman"/>
                <w:spacing w:val="-8"/>
                <w:sz w:val="28"/>
                <w:szCs w:val="28"/>
                <w:u w:val="single" w:color="auto"/>
              </w:rPr>
              <w:t xml:space="preserve">                         2</w:t>
            </w:r>
            <w:r>
              <w:rPr>
                <w:rFonts w:ascii="Times New Roman" w:hAnsi="Times New Roman" w:eastAsia="Times New Roman" w:cs="Times New Roman"/>
                <w:spacing w:val="-9"/>
                <w:sz w:val="28"/>
                <w:szCs w:val="28"/>
                <w:u w:val="single" w:color="auto"/>
              </w:rPr>
              <w:t>025</w:t>
            </w:r>
            <w:r>
              <w:rPr>
                <w:rFonts w:ascii="Times New Roman" w:hAnsi="Times New Roman" w:eastAsia="Times New Roman" w:cs="Times New Roman"/>
                <w:spacing w:val="12"/>
                <w:sz w:val="28"/>
                <w:szCs w:val="28"/>
                <w:u w:val="single" w:color="auto"/>
              </w:rPr>
              <w:t xml:space="preserve"> </w:t>
            </w:r>
            <w:r>
              <w:rPr>
                <w:rFonts w:ascii="仿宋" w:hAnsi="仿宋" w:eastAsia="仿宋" w:cs="仿宋"/>
                <w:spacing w:val="-9"/>
                <w:sz w:val="28"/>
                <w:szCs w:val="28"/>
                <w:u w:val="single" w:color="auto"/>
              </w:rPr>
              <w:t>年</w:t>
            </w:r>
            <w:r>
              <w:rPr>
                <w:rFonts w:ascii="仿宋" w:hAnsi="仿宋" w:eastAsia="仿宋" w:cs="仿宋"/>
                <w:spacing w:val="-37"/>
                <w:sz w:val="28"/>
                <w:szCs w:val="28"/>
                <w:u w:val="single" w:color="auto"/>
              </w:rPr>
              <w:t xml:space="preserve"> </w:t>
            </w:r>
            <w:r>
              <w:rPr>
                <w:rFonts w:ascii="Times New Roman" w:hAnsi="Times New Roman" w:eastAsia="Times New Roman" w:cs="Times New Roman"/>
                <w:spacing w:val="-9"/>
                <w:sz w:val="28"/>
                <w:szCs w:val="28"/>
                <w:u w:val="single" w:color="auto"/>
              </w:rPr>
              <w:t>1</w:t>
            </w:r>
            <w:r>
              <w:rPr>
                <w:rFonts w:hint="eastAsia" w:ascii="Times New Roman" w:hAnsi="Times New Roman" w:eastAsia="宋体" w:cs="Times New Roman"/>
                <w:spacing w:val="-9"/>
                <w:sz w:val="28"/>
                <w:szCs w:val="28"/>
                <w:u w:val="single" w:color="auto"/>
                <w:lang w:val="en-US" w:eastAsia="zh-CN"/>
              </w:rPr>
              <w:t>0</w:t>
            </w:r>
            <w:r>
              <w:rPr>
                <w:rFonts w:ascii="Times New Roman" w:hAnsi="Times New Roman" w:eastAsia="Times New Roman" w:cs="Times New Roman"/>
                <w:spacing w:val="21"/>
                <w:sz w:val="28"/>
                <w:szCs w:val="28"/>
                <w:u w:val="single" w:color="auto"/>
              </w:rPr>
              <w:t xml:space="preserve"> </w:t>
            </w:r>
            <w:r>
              <w:rPr>
                <w:rFonts w:ascii="仿宋" w:hAnsi="仿宋" w:eastAsia="仿宋" w:cs="仿宋"/>
                <w:spacing w:val="-9"/>
                <w:sz w:val="28"/>
                <w:szCs w:val="28"/>
                <w:u w:val="single" w:color="auto"/>
              </w:rPr>
              <w:t>月</w:t>
            </w:r>
            <w:r>
              <w:rPr>
                <w:rFonts w:ascii="仿宋" w:hAnsi="仿宋" w:eastAsia="仿宋" w:cs="仿宋"/>
                <w:sz w:val="28"/>
                <w:szCs w:val="28"/>
                <w:u w:val="single" w:color="auto"/>
              </w:rPr>
              <w:t xml:space="preserve">               </w:t>
            </w:r>
          </w:p>
        </w:tc>
      </w:tr>
    </w:tbl>
    <w:p w14:paraId="5EA519C0">
      <w:pPr>
        <w:pStyle w:val="2"/>
      </w:pPr>
    </w:p>
    <w:p w14:paraId="38FC3B50">
      <w:pPr>
        <w:sectPr>
          <w:headerReference r:id="rId8" w:type="default"/>
          <w:footerReference r:id="rId9" w:type="default"/>
          <w:pgSz w:w="11906" w:h="16839"/>
          <w:pgMar w:top="400" w:right="1516" w:bottom="1574" w:left="1659" w:header="0" w:footer="1324" w:gutter="0"/>
          <w:cols w:space="720" w:num="1"/>
        </w:sectPr>
      </w:pPr>
    </w:p>
    <w:p w14:paraId="6157EB8B">
      <w:pPr>
        <w:pStyle w:val="2"/>
        <w:spacing w:line="391" w:lineRule="auto"/>
      </w:pPr>
    </w:p>
    <w:p w14:paraId="70AAD165">
      <w:pPr>
        <w:spacing w:before="114" w:line="219" w:lineRule="auto"/>
        <w:ind w:left="1584"/>
        <w:rPr>
          <w:rFonts w:ascii="FangSong_GB2312" w:hAnsi="FangSong_GB2312" w:eastAsia="FangSong_GB2312" w:cs="FangSong_GB2312"/>
          <w:sz w:val="35"/>
          <w:szCs w:val="35"/>
        </w:rPr>
      </w:pPr>
      <w:r>
        <w:rPr>
          <w:rFonts w:ascii="FangSong_GB2312" w:hAnsi="FangSong_GB2312" w:eastAsia="FangSong_GB2312" w:cs="FangSong_GB2312"/>
          <w:b/>
          <w:bCs/>
          <w:spacing w:val="6"/>
          <w:sz w:val="35"/>
          <w:szCs w:val="35"/>
          <w:u w:val="single" w:color="auto"/>
        </w:rPr>
        <w:t>剑阁县义兴镇干部职工周转房建设项目</w:t>
      </w:r>
    </w:p>
    <w:p w14:paraId="2691A068">
      <w:pPr>
        <w:spacing w:before="234" w:line="220" w:lineRule="auto"/>
        <w:ind w:left="3019"/>
        <w:rPr>
          <w:rFonts w:ascii="FangSong_GB2312" w:hAnsi="FangSong_GB2312" w:eastAsia="FangSong_GB2312" w:cs="FangSong_GB2312"/>
          <w:sz w:val="35"/>
          <w:szCs w:val="35"/>
        </w:rPr>
      </w:pPr>
      <w:r>
        <w:rPr>
          <w:rFonts w:ascii="FangSong_GB2312" w:hAnsi="FangSong_GB2312" w:eastAsia="FangSong_GB2312" w:cs="FangSong_GB2312"/>
          <w:b/>
          <w:bCs/>
          <w:spacing w:val="6"/>
          <w:sz w:val="35"/>
          <w:szCs w:val="35"/>
        </w:rPr>
        <w:t>水土保持方案报告表</w:t>
      </w:r>
    </w:p>
    <w:p w14:paraId="54CECDA8">
      <w:pPr>
        <w:spacing w:line="89" w:lineRule="exact"/>
      </w:pPr>
    </w:p>
    <w:tbl>
      <w:tblPr>
        <w:tblStyle w:val="6"/>
        <w:tblW w:w="9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690"/>
        <w:gridCol w:w="1592"/>
        <w:gridCol w:w="1466"/>
        <w:gridCol w:w="1551"/>
        <w:gridCol w:w="2289"/>
      </w:tblGrid>
      <w:tr w14:paraId="27AB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76" w:type="dxa"/>
            <w:vMerge w:val="restart"/>
            <w:tcBorders>
              <w:bottom w:val="nil"/>
            </w:tcBorders>
            <w:textDirection w:val="tbRlV"/>
            <w:vAlign w:val="top"/>
          </w:tcPr>
          <w:p w14:paraId="0EDC36A4">
            <w:pPr>
              <w:spacing w:before="232" w:line="207" w:lineRule="auto"/>
              <w:ind w:left="2082"/>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项</w:t>
            </w:r>
            <w:r>
              <w:rPr>
                <w:rFonts w:ascii="FangSong_GB2312" w:hAnsi="FangSong_GB2312" w:eastAsia="FangSong_GB2312" w:cs="FangSong_GB2312"/>
                <w:spacing w:val="21"/>
                <w:sz w:val="20"/>
                <w:szCs w:val="20"/>
              </w:rPr>
              <w:t xml:space="preserve"> </w:t>
            </w:r>
            <w:r>
              <w:rPr>
                <w:rFonts w:ascii="FangSong_GB2312" w:hAnsi="FangSong_GB2312" w:eastAsia="FangSong_GB2312" w:cs="FangSong_GB2312"/>
                <w:spacing w:val="7"/>
                <w:position w:val="1"/>
                <w:sz w:val="20"/>
                <w:szCs w:val="20"/>
              </w:rPr>
              <w:t>目</w:t>
            </w:r>
            <w:r>
              <w:rPr>
                <w:rFonts w:ascii="FangSong_GB2312" w:hAnsi="FangSong_GB2312" w:eastAsia="FangSong_GB2312" w:cs="FangSong_GB2312"/>
                <w:spacing w:val="16"/>
                <w:position w:val="1"/>
                <w:sz w:val="20"/>
                <w:szCs w:val="20"/>
              </w:rPr>
              <w:t xml:space="preserve"> </w:t>
            </w:r>
            <w:r>
              <w:rPr>
                <w:rFonts w:ascii="FangSong_GB2312" w:hAnsi="FangSong_GB2312" w:eastAsia="FangSong_GB2312" w:cs="FangSong_GB2312"/>
                <w:spacing w:val="7"/>
                <w:sz w:val="20"/>
                <w:szCs w:val="20"/>
              </w:rPr>
              <w:t>概</w:t>
            </w:r>
            <w:r>
              <w:rPr>
                <w:rFonts w:ascii="FangSong_GB2312" w:hAnsi="FangSong_GB2312" w:eastAsia="FangSong_GB2312" w:cs="FangSong_GB2312"/>
                <w:spacing w:val="18"/>
                <w:sz w:val="20"/>
                <w:szCs w:val="20"/>
              </w:rPr>
              <w:t xml:space="preserve"> </w:t>
            </w:r>
            <w:r>
              <w:rPr>
                <w:rFonts w:ascii="FangSong_GB2312" w:hAnsi="FangSong_GB2312" w:eastAsia="FangSong_GB2312" w:cs="FangSong_GB2312"/>
                <w:spacing w:val="7"/>
                <w:sz w:val="20"/>
                <w:szCs w:val="20"/>
              </w:rPr>
              <w:t>况</w:t>
            </w:r>
          </w:p>
        </w:tc>
        <w:tc>
          <w:tcPr>
            <w:tcW w:w="1690" w:type="dxa"/>
            <w:vAlign w:val="top"/>
          </w:tcPr>
          <w:p w14:paraId="4F04CB88">
            <w:pPr>
              <w:spacing w:before="64" w:line="222" w:lineRule="auto"/>
              <w:ind w:left="63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位置</w:t>
            </w:r>
          </w:p>
        </w:tc>
        <w:tc>
          <w:tcPr>
            <w:tcW w:w="6898" w:type="dxa"/>
            <w:gridSpan w:val="4"/>
            <w:vAlign w:val="top"/>
          </w:tcPr>
          <w:p w14:paraId="1D71B96B">
            <w:pPr>
              <w:spacing w:before="64" w:line="222" w:lineRule="auto"/>
              <w:ind w:left="148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四川省广元市剑阁县义兴镇人民政府西北侧</w:t>
            </w:r>
          </w:p>
        </w:tc>
      </w:tr>
      <w:tr w14:paraId="35A1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1" w:hRule="atLeast"/>
        </w:trPr>
        <w:tc>
          <w:tcPr>
            <w:tcW w:w="676" w:type="dxa"/>
            <w:vMerge w:val="continue"/>
            <w:tcBorders>
              <w:top w:val="nil"/>
              <w:bottom w:val="nil"/>
            </w:tcBorders>
            <w:textDirection w:val="tbRlV"/>
            <w:vAlign w:val="top"/>
          </w:tcPr>
          <w:p w14:paraId="54D30A52">
            <w:pPr>
              <w:rPr>
                <w:rFonts w:ascii="Arial"/>
                <w:sz w:val="21"/>
              </w:rPr>
            </w:pPr>
          </w:p>
        </w:tc>
        <w:tc>
          <w:tcPr>
            <w:tcW w:w="1690" w:type="dxa"/>
            <w:vAlign w:val="top"/>
          </w:tcPr>
          <w:p w14:paraId="37F3334E">
            <w:pPr>
              <w:spacing w:line="285" w:lineRule="auto"/>
              <w:rPr>
                <w:rFonts w:ascii="Arial"/>
                <w:sz w:val="21"/>
              </w:rPr>
            </w:pPr>
          </w:p>
          <w:p w14:paraId="5258B71E">
            <w:pPr>
              <w:spacing w:line="285" w:lineRule="auto"/>
              <w:rPr>
                <w:rFonts w:ascii="Arial"/>
                <w:sz w:val="21"/>
              </w:rPr>
            </w:pPr>
          </w:p>
          <w:p w14:paraId="6D33E239">
            <w:pPr>
              <w:spacing w:before="65" w:line="222" w:lineRule="auto"/>
              <w:ind w:left="11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建设内容及规模</w:t>
            </w:r>
          </w:p>
        </w:tc>
        <w:tc>
          <w:tcPr>
            <w:tcW w:w="6898" w:type="dxa"/>
            <w:gridSpan w:val="4"/>
            <w:vAlign w:val="top"/>
          </w:tcPr>
          <w:p w14:paraId="15FD3F9D">
            <w:pPr>
              <w:spacing w:before="141" w:line="406" w:lineRule="auto"/>
              <w:ind w:left="122" w:right="110" w:firstLine="424"/>
              <w:jc w:val="both"/>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总用地面积</w:t>
            </w:r>
            <w:r>
              <w:rPr>
                <w:rFonts w:ascii="FangSong_GB2312" w:hAnsi="FangSong_GB2312" w:eastAsia="FangSong_GB2312" w:cs="FangSong_GB2312"/>
                <w:spacing w:val="-39"/>
                <w:sz w:val="20"/>
                <w:szCs w:val="20"/>
              </w:rPr>
              <w:t xml:space="preserve"> </w:t>
            </w:r>
            <w:r>
              <w:rPr>
                <w:rFonts w:ascii="Times New Roman" w:hAnsi="Times New Roman" w:eastAsia="Times New Roman" w:cs="Times New Roman"/>
                <w:spacing w:val="5"/>
                <w:sz w:val="20"/>
                <w:szCs w:val="20"/>
              </w:rPr>
              <w:t>0.05</w:t>
            </w:r>
            <w:r>
              <w:rPr>
                <w:rFonts w:ascii="Times New Roman" w:hAnsi="Times New Roman" w:eastAsia="Times New Roman" w:cs="Times New Roman"/>
                <w:sz w:val="20"/>
                <w:szCs w:val="20"/>
              </w:rPr>
              <w:t>hm</w:t>
            </w:r>
            <w:r>
              <w:rPr>
                <w:rFonts w:ascii="Times New Roman" w:hAnsi="Times New Roman" w:eastAsia="Times New Roman" w:cs="Times New Roman"/>
                <w:spacing w:val="5"/>
                <w:position w:val="6"/>
                <w:sz w:val="13"/>
                <w:szCs w:val="13"/>
              </w:rPr>
              <w:t>2</w:t>
            </w:r>
            <w:r>
              <w:rPr>
                <w:rFonts w:ascii="FangSong_GB2312" w:hAnsi="FangSong_GB2312" w:eastAsia="FangSong_GB2312" w:cs="FangSong_GB2312"/>
                <w:spacing w:val="5"/>
                <w:sz w:val="20"/>
                <w:szCs w:val="20"/>
              </w:rPr>
              <w:t>（</w:t>
            </w:r>
            <w:r>
              <w:rPr>
                <w:rFonts w:ascii="Times New Roman" w:hAnsi="Times New Roman" w:eastAsia="Times New Roman" w:cs="Times New Roman"/>
                <w:spacing w:val="5"/>
                <w:sz w:val="20"/>
                <w:szCs w:val="20"/>
              </w:rPr>
              <w:t>493.23m</w:t>
            </w:r>
            <w:r>
              <w:rPr>
                <w:rFonts w:ascii="Times New Roman" w:hAnsi="Times New Roman" w:eastAsia="Times New Roman" w:cs="Times New Roman"/>
                <w:spacing w:val="5"/>
                <w:position w:val="6"/>
                <w:sz w:val="13"/>
                <w:szCs w:val="13"/>
              </w:rPr>
              <w:t>2</w:t>
            </w:r>
            <w:r>
              <w:rPr>
                <w:rFonts w:ascii="FangSong_GB2312" w:hAnsi="FangSong_GB2312" w:eastAsia="FangSong_GB2312" w:cs="FangSong_GB2312"/>
                <w:spacing w:val="12"/>
                <w:sz w:val="20"/>
                <w:szCs w:val="20"/>
              </w:rPr>
              <w:t>），</w:t>
            </w:r>
            <w:r>
              <w:rPr>
                <w:rFonts w:ascii="FangSong_GB2312" w:hAnsi="FangSong_GB2312" w:eastAsia="FangSong_GB2312" w:cs="FangSong_GB2312"/>
                <w:spacing w:val="5"/>
                <w:sz w:val="20"/>
                <w:szCs w:val="20"/>
              </w:rPr>
              <w:t>建筑面积</w:t>
            </w:r>
            <w:r>
              <w:rPr>
                <w:rFonts w:ascii="FangSong_GB2312" w:hAnsi="FangSong_GB2312" w:eastAsia="FangSong_GB2312" w:cs="FangSong_GB2312"/>
                <w:spacing w:val="-21"/>
                <w:sz w:val="20"/>
                <w:szCs w:val="20"/>
              </w:rPr>
              <w:t xml:space="preserve"> </w:t>
            </w:r>
            <w:r>
              <w:rPr>
                <w:rFonts w:ascii="Times New Roman" w:hAnsi="Times New Roman" w:eastAsia="Times New Roman" w:cs="Times New Roman"/>
                <w:spacing w:val="5"/>
                <w:sz w:val="20"/>
                <w:szCs w:val="20"/>
              </w:rPr>
              <w:t>1330m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position w:val="6"/>
                <w:sz w:val="13"/>
                <w:szCs w:val="13"/>
              </w:rPr>
              <w:t xml:space="preserve"> </w:t>
            </w:r>
            <w:r>
              <w:rPr>
                <w:rFonts w:ascii="FangSong_GB2312" w:hAnsi="FangSong_GB2312" w:eastAsia="FangSong_GB2312" w:cs="FangSong_GB2312"/>
                <w:spacing w:val="5"/>
                <w:sz w:val="20"/>
                <w:szCs w:val="20"/>
              </w:rPr>
              <w:t>，均为地上建筑面积，容积率</w:t>
            </w:r>
            <w:r>
              <w:rPr>
                <w:rFonts w:ascii="FangSong_GB2312" w:hAnsi="FangSong_GB2312" w:eastAsia="FangSong_GB2312" w:cs="FangSong_GB2312"/>
                <w:spacing w:val="-43"/>
                <w:sz w:val="20"/>
                <w:szCs w:val="20"/>
              </w:rPr>
              <w:t xml:space="preserve"> </w:t>
            </w:r>
            <w:r>
              <w:rPr>
                <w:rFonts w:ascii="Times New Roman" w:hAnsi="Times New Roman" w:eastAsia="Times New Roman" w:cs="Times New Roman"/>
                <w:spacing w:val="5"/>
                <w:sz w:val="20"/>
                <w:szCs w:val="20"/>
              </w:rPr>
              <w:t>2.70</w:t>
            </w:r>
            <w:r>
              <w:rPr>
                <w:rFonts w:ascii="Times New Roman" w:hAnsi="Times New Roman" w:eastAsia="Times New Roman" w:cs="Times New Roman"/>
                <w:spacing w:val="-20"/>
                <w:sz w:val="20"/>
                <w:szCs w:val="20"/>
              </w:rPr>
              <w:t xml:space="preserve"> </w:t>
            </w:r>
            <w:r>
              <w:rPr>
                <w:rFonts w:ascii="FangSong_GB2312" w:hAnsi="FangSong_GB2312" w:eastAsia="FangSong_GB2312" w:cs="FangSong_GB2312"/>
                <w:spacing w:val="5"/>
                <w:sz w:val="20"/>
                <w:szCs w:val="20"/>
              </w:rPr>
              <w:t>，建筑密度</w:t>
            </w:r>
            <w:r>
              <w:rPr>
                <w:rFonts w:ascii="FangSong_GB2312" w:hAnsi="FangSong_GB2312" w:eastAsia="FangSong_GB2312" w:cs="FangSong_GB2312"/>
                <w:spacing w:val="-37"/>
                <w:sz w:val="20"/>
                <w:szCs w:val="20"/>
              </w:rPr>
              <w:t xml:space="preserve"> </w:t>
            </w:r>
            <w:r>
              <w:rPr>
                <w:rFonts w:ascii="Times New Roman" w:hAnsi="Times New Roman" w:eastAsia="Times New Roman" w:cs="Times New Roman"/>
                <w:spacing w:val="5"/>
                <w:sz w:val="20"/>
                <w:szCs w:val="20"/>
              </w:rPr>
              <w:t>53.40%</w:t>
            </w:r>
            <w:r>
              <w:rPr>
                <w:rFonts w:ascii="Times New Roman" w:hAnsi="Times New Roman" w:eastAsia="Times New Roman" w:cs="Times New Roman"/>
                <w:spacing w:val="-20"/>
                <w:sz w:val="20"/>
                <w:szCs w:val="20"/>
              </w:rPr>
              <w:t xml:space="preserve"> </w:t>
            </w:r>
            <w:r>
              <w:rPr>
                <w:rFonts w:ascii="FangSong_GB2312" w:hAnsi="FangSong_GB2312" w:eastAsia="FangSong_GB2312" w:cs="FangSong_GB2312"/>
                <w:spacing w:val="5"/>
                <w:sz w:val="20"/>
                <w:szCs w:val="20"/>
              </w:rPr>
              <w:t>，绿地率</w:t>
            </w:r>
            <w:r>
              <w:rPr>
                <w:rFonts w:ascii="FangSong_GB2312" w:hAnsi="FangSong_GB2312" w:eastAsia="FangSong_GB2312" w:cs="FangSong_GB2312"/>
                <w:spacing w:val="-41"/>
                <w:sz w:val="20"/>
                <w:szCs w:val="20"/>
              </w:rPr>
              <w:t xml:space="preserve"> </w:t>
            </w:r>
            <w:r>
              <w:rPr>
                <w:rFonts w:ascii="Times New Roman" w:hAnsi="Times New Roman" w:eastAsia="Times New Roman" w:cs="Times New Roman"/>
                <w:spacing w:val="5"/>
                <w:sz w:val="20"/>
                <w:szCs w:val="20"/>
              </w:rPr>
              <w:t>20%</w:t>
            </w:r>
            <w:r>
              <w:rPr>
                <w:rFonts w:ascii="Times New Roman" w:hAnsi="Times New Roman" w:eastAsia="Times New Roman" w:cs="Times New Roman"/>
                <w:spacing w:val="-29"/>
                <w:sz w:val="20"/>
                <w:szCs w:val="20"/>
              </w:rPr>
              <w:t xml:space="preserve"> </w:t>
            </w:r>
            <w:r>
              <w:rPr>
                <w:rFonts w:ascii="FangSong_GB2312" w:hAnsi="FangSong_GB2312" w:eastAsia="FangSong_GB2312" w:cs="FangSong_GB2312"/>
                <w:spacing w:val="5"/>
                <w:sz w:val="20"/>
                <w:szCs w:val="20"/>
              </w:rPr>
              <w:t>。建设内容包括</w:t>
            </w:r>
            <w:r>
              <w:rPr>
                <w:rFonts w:ascii="FangSong_GB2312" w:hAnsi="FangSong_GB2312" w:eastAsia="FangSong_GB2312" w:cs="FangSong_GB2312"/>
                <w:spacing w:val="4"/>
                <w:sz w:val="20"/>
                <w:szCs w:val="20"/>
              </w:rPr>
              <w:t>新建</w:t>
            </w:r>
            <w:r>
              <w:rPr>
                <w:rFonts w:ascii="FangSong_GB2312" w:hAnsi="FangSong_GB2312" w:eastAsia="FangSong_GB2312" w:cs="FangSong_GB2312"/>
                <w:spacing w:val="6"/>
                <w:sz w:val="20"/>
                <w:szCs w:val="20"/>
              </w:rPr>
              <w:t>干部周转房</w:t>
            </w:r>
            <w:r>
              <w:rPr>
                <w:rFonts w:ascii="FangSong_GB2312" w:hAnsi="FangSong_GB2312" w:eastAsia="FangSong_GB2312" w:cs="FangSong_GB2312"/>
                <w:spacing w:val="30"/>
                <w:sz w:val="20"/>
                <w:szCs w:val="20"/>
              </w:rPr>
              <w:t xml:space="preserve"> </w:t>
            </w:r>
            <w:r>
              <w:rPr>
                <w:rFonts w:ascii="Times New Roman" w:hAnsi="Times New Roman" w:eastAsia="Times New Roman" w:cs="Times New Roman"/>
                <w:spacing w:val="6"/>
                <w:sz w:val="20"/>
                <w:szCs w:val="20"/>
              </w:rPr>
              <w:t xml:space="preserve">1  </w:t>
            </w:r>
            <w:r>
              <w:rPr>
                <w:rFonts w:ascii="FangSong_GB2312" w:hAnsi="FangSong_GB2312" w:eastAsia="FangSong_GB2312" w:cs="FangSong_GB2312"/>
                <w:spacing w:val="6"/>
                <w:sz w:val="20"/>
                <w:szCs w:val="20"/>
              </w:rPr>
              <w:t>栋（</w:t>
            </w:r>
            <w:r>
              <w:rPr>
                <w:rFonts w:ascii="Times New Roman" w:hAnsi="Times New Roman" w:eastAsia="Times New Roman" w:cs="Times New Roman"/>
                <w:spacing w:val="6"/>
                <w:sz w:val="20"/>
                <w:szCs w:val="20"/>
              </w:rPr>
              <w:t xml:space="preserve">38 </w:t>
            </w:r>
            <w:r>
              <w:rPr>
                <w:rFonts w:ascii="FangSong_GB2312" w:hAnsi="FangSong_GB2312" w:eastAsia="FangSong_GB2312" w:cs="FangSong_GB2312"/>
                <w:spacing w:val="6"/>
                <w:sz w:val="20"/>
                <w:szCs w:val="20"/>
              </w:rPr>
              <w:t>套</w:t>
            </w:r>
            <w:r>
              <w:rPr>
                <w:rFonts w:ascii="FangSong_GB2312" w:hAnsi="FangSong_GB2312" w:eastAsia="FangSong_GB2312" w:cs="FangSong_GB2312"/>
                <w:spacing w:val="26"/>
                <w:sz w:val="20"/>
                <w:szCs w:val="20"/>
              </w:rPr>
              <w:t>），</w:t>
            </w:r>
            <w:r>
              <w:rPr>
                <w:rFonts w:ascii="FangSong_GB2312" w:hAnsi="FangSong_GB2312" w:eastAsia="FangSong_GB2312" w:cs="FangSong_GB2312"/>
                <w:spacing w:val="6"/>
                <w:sz w:val="20"/>
                <w:szCs w:val="20"/>
              </w:rPr>
              <w:t>配套附属设施建设及居住设备购置</w:t>
            </w:r>
          </w:p>
        </w:tc>
      </w:tr>
      <w:tr w14:paraId="60F12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676" w:type="dxa"/>
            <w:vMerge w:val="continue"/>
            <w:tcBorders>
              <w:top w:val="nil"/>
              <w:bottom w:val="nil"/>
            </w:tcBorders>
            <w:textDirection w:val="tbRlV"/>
            <w:vAlign w:val="top"/>
          </w:tcPr>
          <w:p w14:paraId="11C3087B">
            <w:pPr>
              <w:rPr>
                <w:rFonts w:ascii="Arial"/>
                <w:sz w:val="21"/>
              </w:rPr>
            </w:pPr>
          </w:p>
        </w:tc>
        <w:tc>
          <w:tcPr>
            <w:tcW w:w="1690" w:type="dxa"/>
            <w:vAlign w:val="top"/>
          </w:tcPr>
          <w:p w14:paraId="7021E99D">
            <w:pPr>
              <w:spacing w:before="142" w:line="222" w:lineRule="auto"/>
              <w:ind w:left="426"/>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建设性质</w:t>
            </w:r>
          </w:p>
        </w:tc>
        <w:tc>
          <w:tcPr>
            <w:tcW w:w="3058" w:type="dxa"/>
            <w:gridSpan w:val="2"/>
            <w:vAlign w:val="top"/>
          </w:tcPr>
          <w:p w14:paraId="4959D391">
            <w:pPr>
              <w:spacing w:before="142" w:line="221" w:lineRule="auto"/>
              <w:ind w:left="101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新建建设类</w:t>
            </w:r>
          </w:p>
        </w:tc>
        <w:tc>
          <w:tcPr>
            <w:tcW w:w="1551" w:type="dxa"/>
            <w:vAlign w:val="top"/>
          </w:tcPr>
          <w:p w14:paraId="2E7D924A">
            <w:pPr>
              <w:spacing w:before="142" w:line="222" w:lineRule="auto"/>
              <w:ind w:right="3"/>
              <w:jc w:val="right"/>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总投资（万元）</w:t>
            </w:r>
          </w:p>
        </w:tc>
        <w:tc>
          <w:tcPr>
            <w:tcW w:w="2289" w:type="dxa"/>
            <w:vAlign w:val="top"/>
          </w:tcPr>
          <w:p w14:paraId="0B9A12EF">
            <w:pPr>
              <w:spacing w:before="177"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480.70</w:t>
            </w:r>
          </w:p>
        </w:tc>
      </w:tr>
      <w:tr w14:paraId="7B84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6" w:type="dxa"/>
            <w:vMerge w:val="continue"/>
            <w:tcBorders>
              <w:top w:val="nil"/>
              <w:bottom w:val="nil"/>
            </w:tcBorders>
            <w:textDirection w:val="tbRlV"/>
            <w:vAlign w:val="top"/>
          </w:tcPr>
          <w:p w14:paraId="56D3E990">
            <w:pPr>
              <w:rPr>
                <w:rFonts w:ascii="Arial"/>
                <w:sz w:val="21"/>
              </w:rPr>
            </w:pPr>
          </w:p>
        </w:tc>
        <w:tc>
          <w:tcPr>
            <w:tcW w:w="1690" w:type="dxa"/>
            <w:vMerge w:val="restart"/>
            <w:tcBorders>
              <w:bottom w:val="nil"/>
            </w:tcBorders>
            <w:vAlign w:val="top"/>
          </w:tcPr>
          <w:p w14:paraId="0836457B">
            <w:pPr>
              <w:spacing w:before="192" w:line="222" w:lineRule="auto"/>
              <w:ind w:right="6"/>
              <w:jc w:val="right"/>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土建投资（万元）</w:t>
            </w:r>
          </w:p>
        </w:tc>
        <w:tc>
          <w:tcPr>
            <w:tcW w:w="3058" w:type="dxa"/>
            <w:gridSpan w:val="2"/>
            <w:vMerge w:val="restart"/>
            <w:tcBorders>
              <w:bottom w:val="nil"/>
            </w:tcBorders>
            <w:vAlign w:val="top"/>
          </w:tcPr>
          <w:p w14:paraId="19F070D0">
            <w:pPr>
              <w:spacing w:before="228" w:line="195" w:lineRule="auto"/>
              <w:ind w:left="1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382.18</w:t>
            </w:r>
          </w:p>
        </w:tc>
        <w:tc>
          <w:tcPr>
            <w:tcW w:w="1551" w:type="dxa"/>
            <w:vMerge w:val="restart"/>
            <w:tcBorders>
              <w:bottom w:val="nil"/>
            </w:tcBorders>
            <w:vAlign w:val="top"/>
          </w:tcPr>
          <w:p w14:paraId="1F87DC19">
            <w:pPr>
              <w:spacing w:before="51" w:line="237" w:lineRule="auto"/>
              <w:ind w:left="401" w:right="353" w:hanging="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占地面积</w:t>
            </w:r>
            <w:r>
              <w:rPr>
                <w:rFonts w:ascii="FangSong_GB2312" w:hAnsi="FangSong_GB2312" w:eastAsia="FangSong_GB2312" w:cs="FangSong_GB2312"/>
                <w:spacing w:val="8"/>
                <w:sz w:val="20"/>
                <w:szCs w:val="20"/>
              </w:rPr>
              <w:t>（</w:t>
            </w:r>
            <w:r>
              <w:rPr>
                <w:rFonts w:ascii="Times New Roman" w:hAnsi="Times New Roman" w:eastAsia="Times New Roman" w:cs="Times New Roman"/>
                <w:sz w:val="20"/>
                <w:szCs w:val="20"/>
              </w:rPr>
              <w:t>hm</w:t>
            </w:r>
            <w:r>
              <w:rPr>
                <w:rFonts w:ascii="Times New Roman" w:hAnsi="Times New Roman" w:eastAsia="Times New Roman" w:cs="Times New Roman"/>
                <w:spacing w:val="8"/>
                <w:position w:val="6"/>
                <w:sz w:val="13"/>
                <w:szCs w:val="13"/>
              </w:rPr>
              <w:t>2</w:t>
            </w:r>
            <w:r>
              <w:rPr>
                <w:rFonts w:ascii="FangSong_GB2312" w:hAnsi="FangSong_GB2312" w:eastAsia="FangSong_GB2312" w:cs="FangSong_GB2312"/>
                <w:spacing w:val="8"/>
                <w:sz w:val="20"/>
                <w:szCs w:val="20"/>
              </w:rPr>
              <w:t>）</w:t>
            </w:r>
          </w:p>
        </w:tc>
        <w:tc>
          <w:tcPr>
            <w:tcW w:w="2289" w:type="dxa"/>
            <w:vAlign w:val="top"/>
          </w:tcPr>
          <w:p w14:paraId="1D737352">
            <w:pPr>
              <w:spacing w:before="46" w:line="211" w:lineRule="auto"/>
              <w:ind w:left="655"/>
              <w:rPr>
                <w:rFonts w:ascii="Times New Roman" w:hAnsi="Times New Roman" w:eastAsia="Times New Roman" w:cs="Times New Roman"/>
                <w:sz w:val="20"/>
                <w:szCs w:val="20"/>
              </w:rPr>
            </w:pPr>
            <w:r>
              <w:rPr>
                <w:rFonts w:ascii="FangSong_GB2312" w:hAnsi="FangSong_GB2312" w:eastAsia="FangSong_GB2312" w:cs="FangSong_GB2312"/>
                <w:spacing w:val="5"/>
                <w:sz w:val="20"/>
                <w:szCs w:val="20"/>
              </w:rPr>
              <w:t>永久：</w:t>
            </w:r>
            <w:r>
              <w:rPr>
                <w:rFonts w:ascii="Times New Roman" w:hAnsi="Times New Roman" w:eastAsia="Times New Roman" w:cs="Times New Roman"/>
                <w:spacing w:val="5"/>
                <w:sz w:val="20"/>
                <w:szCs w:val="20"/>
              </w:rPr>
              <w:t>0.05</w:t>
            </w:r>
          </w:p>
        </w:tc>
      </w:tr>
      <w:tr w14:paraId="1676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76" w:type="dxa"/>
            <w:vMerge w:val="continue"/>
            <w:tcBorders>
              <w:top w:val="nil"/>
              <w:bottom w:val="nil"/>
            </w:tcBorders>
            <w:textDirection w:val="tbRlV"/>
            <w:vAlign w:val="top"/>
          </w:tcPr>
          <w:p w14:paraId="6D7FEE00">
            <w:pPr>
              <w:rPr>
                <w:rFonts w:ascii="Arial"/>
                <w:sz w:val="21"/>
              </w:rPr>
            </w:pPr>
          </w:p>
        </w:tc>
        <w:tc>
          <w:tcPr>
            <w:tcW w:w="1690" w:type="dxa"/>
            <w:vMerge w:val="continue"/>
            <w:tcBorders>
              <w:top w:val="nil"/>
            </w:tcBorders>
            <w:vAlign w:val="top"/>
          </w:tcPr>
          <w:p w14:paraId="1D45471A">
            <w:pPr>
              <w:rPr>
                <w:rFonts w:ascii="Arial"/>
                <w:sz w:val="21"/>
              </w:rPr>
            </w:pPr>
          </w:p>
        </w:tc>
        <w:tc>
          <w:tcPr>
            <w:tcW w:w="3058" w:type="dxa"/>
            <w:gridSpan w:val="2"/>
            <w:vMerge w:val="continue"/>
            <w:tcBorders>
              <w:top w:val="nil"/>
            </w:tcBorders>
            <w:vAlign w:val="top"/>
          </w:tcPr>
          <w:p w14:paraId="6EDE7B36">
            <w:pPr>
              <w:rPr>
                <w:rFonts w:ascii="Arial"/>
                <w:sz w:val="21"/>
              </w:rPr>
            </w:pPr>
          </w:p>
        </w:tc>
        <w:tc>
          <w:tcPr>
            <w:tcW w:w="1551" w:type="dxa"/>
            <w:vMerge w:val="continue"/>
            <w:tcBorders>
              <w:top w:val="nil"/>
            </w:tcBorders>
            <w:vAlign w:val="top"/>
          </w:tcPr>
          <w:p w14:paraId="7E4E80F9">
            <w:pPr>
              <w:rPr>
                <w:rFonts w:ascii="Arial"/>
                <w:sz w:val="21"/>
              </w:rPr>
            </w:pPr>
          </w:p>
        </w:tc>
        <w:tc>
          <w:tcPr>
            <w:tcW w:w="2289" w:type="dxa"/>
            <w:vAlign w:val="top"/>
          </w:tcPr>
          <w:p w14:paraId="3477C567">
            <w:pPr>
              <w:spacing w:before="47" w:line="210" w:lineRule="auto"/>
              <w:ind w:left="818"/>
              <w:rPr>
                <w:rFonts w:ascii="Times New Roman" w:hAnsi="Times New Roman" w:eastAsia="Times New Roman" w:cs="Times New Roman"/>
                <w:sz w:val="20"/>
                <w:szCs w:val="20"/>
              </w:rPr>
            </w:pPr>
            <w:r>
              <w:rPr>
                <w:rFonts w:ascii="FangSong_GB2312" w:hAnsi="FangSong_GB2312" w:eastAsia="FangSong_GB2312" w:cs="FangSong_GB2312"/>
                <w:spacing w:val="2"/>
                <w:sz w:val="20"/>
                <w:szCs w:val="20"/>
              </w:rPr>
              <w:t>临时：</w:t>
            </w:r>
            <w:r>
              <w:rPr>
                <w:rFonts w:ascii="Times New Roman" w:hAnsi="Times New Roman" w:eastAsia="Times New Roman" w:cs="Times New Roman"/>
                <w:spacing w:val="2"/>
                <w:sz w:val="20"/>
                <w:szCs w:val="20"/>
              </w:rPr>
              <w:t>/</w:t>
            </w:r>
          </w:p>
        </w:tc>
      </w:tr>
      <w:tr w14:paraId="2B67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76" w:type="dxa"/>
            <w:vMerge w:val="continue"/>
            <w:tcBorders>
              <w:top w:val="nil"/>
              <w:bottom w:val="nil"/>
            </w:tcBorders>
            <w:textDirection w:val="tbRlV"/>
            <w:vAlign w:val="top"/>
          </w:tcPr>
          <w:p w14:paraId="3A7A8CEF">
            <w:pPr>
              <w:rPr>
                <w:rFonts w:ascii="Arial"/>
                <w:sz w:val="21"/>
              </w:rPr>
            </w:pPr>
          </w:p>
        </w:tc>
        <w:tc>
          <w:tcPr>
            <w:tcW w:w="1690" w:type="dxa"/>
            <w:vAlign w:val="top"/>
          </w:tcPr>
          <w:p w14:paraId="22520798">
            <w:pPr>
              <w:spacing w:before="117" w:line="223" w:lineRule="auto"/>
              <w:ind w:left="439"/>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动工时间</w:t>
            </w:r>
          </w:p>
        </w:tc>
        <w:tc>
          <w:tcPr>
            <w:tcW w:w="3058" w:type="dxa"/>
            <w:gridSpan w:val="2"/>
            <w:vAlign w:val="top"/>
          </w:tcPr>
          <w:p w14:paraId="08F36F89">
            <w:pPr>
              <w:spacing w:before="117" w:line="223" w:lineRule="auto"/>
              <w:ind w:left="978"/>
              <w:rPr>
                <w:rFonts w:ascii="FangSong_GB2312" w:hAnsi="FangSong_GB2312" w:eastAsia="FangSong_GB2312" w:cs="FangSong_GB2312"/>
                <w:sz w:val="20"/>
                <w:szCs w:val="20"/>
              </w:rPr>
            </w:pPr>
            <w:r>
              <w:rPr>
                <w:rFonts w:ascii="Times New Roman" w:hAnsi="Times New Roman" w:eastAsia="Times New Roman" w:cs="Times New Roman"/>
                <w:spacing w:val="1"/>
                <w:sz w:val="20"/>
                <w:szCs w:val="20"/>
              </w:rPr>
              <w:t>2022</w:t>
            </w:r>
            <w:r>
              <w:rPr>
                <w:rFonts w:ascii="Times New Roman" w:hAnsi="Times New Roman" w:eastAsia="Times New Roman" w:cs="Times New Roman"/>
                <w:spacing w:val="16"/>
                <w:sz w:val="20"/>
                <w:szCs w:val="20"/>
              </w:rPr>
              <w:t xml:space="preserve"> </w:t>
            </w:r>
            <w:r>
              <w:rPr>
                <w:rFonts w:ascii="FangSong_GB2312" w:hAnsi="FangSong_GB2312" w:eastAsia="FangSong_GB2312" w:cs="FangSong_GB2312"/>
                <w:spacing w:val="1"/>
                <w:sz w:val="20"/>
                <w:szCs w:val="20"/>
              </w:rPr>
              <w:t>年</w:t>
            </w:r>
            <w:r>
              <w:rPr>
                <w:rFonts w:ascii="FangSong_GB2312" w:hAnsi="FangSong_GB2312" w:eastAsia="FangSong_GB2312" w:cs="FangSong_GB2312"/>
                <w:spacing w:val="-38"/>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21"/>
                <w:sz w:val="20"/>
                <w:szCs w:val="20"/>
              </w:rPr>
              <w:t xml:space="preserve"> </w:t>
            </w:r>
            <w:r>
              <w:rPr>
                <w:rFonts w:ascii="FangSong_GB2312" w:hAnsi="FangSong_GB2312" w:eastAsia="FangSong_GB2312" w:cs="FangSong_GB2312"/>
                <w:spacing w:val="1"/>
                <w:sz w:val="20"/>
                <w:szCs w:val="20"/>
              </w:rPr>
              <w:t>月</w:t>
            </w:r>
          </w:p>
        </w:tc>
        <w:tc>
          <w:tcPr>
            <w:tcW w:w="1551" w:type="dxa"/>
            <w:vAlign w:val="top"/>
          </w:tcPr>
          <w:p w14:paraId="061464A7">
            <w:pPr>
              <w:spacing w:before="117" w:line="223" w:lineRule="auto"/>
              <w:ind w:left="374"/>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完工时间</w:t>
            </w:r>
          </w:p>
        </w:tc>
        <w:tc>
          <w:tcPr>
            <w:tcW w:w="2289" w:type="dxa"/>
            <w:vAlign w:val="top"/>
          </w:tcPr>
          <w:p w14:paraId="1D160330">
            <w:pPr>
              <w:spacing w:before="117" w:line="223" w:lineRule="auto"/>
              <w:ind w:left="595"/>
              <w:rPr>
                <w:rFonts w:ascii="FangSong_GB2312" w:hAnsi="FangSong_GB2312" w:eastAsia="FangSong_GB2312" w:cs="FangSong_GB2312"/>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18"/>
                <w:sz w:val="20"/>
                <w:szCs w:val="20"/>
              </w:rPr>
              <w:t xml:space="preserve"> </w:t>
            </w:r>
            <w:r>
              <w:rPr>
                <w:rFonts w:ascii="FangSong_GB2312" w:hAnsi="FangSong_GB2312" w:eastAsia="FangSong_GB2312" w:cs="FangSong_GB2312"/>
                <w:spacing w:val="-2"/>
                <w:sz w:val="20"/>
                <w:szCs w:val="20"/>
              </w:rPr>
              <w:t>年</w:t>
            </w:r>
            <w:r>
              <w:rPr>
                <w:rFonts w:ascii="FangSong_GB2312" w:hAnsi="FangSong_GB2312" w:eastAsia="FangSong_GB2312" w:cs="FangSong_GB2312"/>
                <w:spacing w:val="-21"/>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0"/>
                <w:w w:val="101"/>
                <w:sz w:val="20"/>
                <w:szCs w:val="20"/>
              </w:rPr>
              <w:t xml:space="preserve"> </w:t>
            </w:r>
            <w:r>
              <w:rPr>
                <w:rFonts w:ascii="FangSong_GB2312" w:hAnsi="FangSong_GB2312" w:eastAsia="FangSong_GB2312" w:cs="FangSong_GB2312"/>
                <w:spacing w:val="-2"/>
                <w:sz w:val="20"/>
                <w:szCs w:val="20"/>
              </w:rPr>
              <w:t>月</w:t>
            </w:r>
          </w:p>
        </w:tc>
      </w:tr>
      <w:tr w14:paraId="00E48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76" w:type="dxa"/>
            <w:vMerge w:val="continue"/>
            <w:tcBorders>
              <w:top w:val="nil"/>
              <w:bottom w:val="nil"/>
            </w:tcBorders>
            <w:textDirection w:val="tbRlV"/>
            <w:vAlign w:val="top"/>
          </w:tcPr>
          <w:p w14:paraId="597929F6">
            <w:pPr>
              <w:rPr>
                <w:rFonts w:ascii="Arial"/>
                <w:sz w:val="21"/>
              </w:rPr>
            </w:pPr>
          </w:p>
        </w:tc>
        <w:tc>
          <w:tcPr>
            <w:tcW w:w="1690" w:type="dxa"/>
            <w:vMerge w:val="restart"/>
            <w:tcBorders>
              <w:bottom w:val="nil"/>
            </w:tcBorders>
            <w:vAlign w:val="top"/>
          </w:tcPr>
          <w:p w14:paraId="33870A46">
            <w:pPr>
              <w:spacing w:before="192" w:line="303" w:lineRule="auto"/>
              <w:ind w:left="388" w:right="393" w:firstLine="42"/>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土石方量</w:t>
            </w:r>
            <w:r>
              <w:rPr>
                <w:rFonts w:ascii="FangSong_GB2312" w:hAnsi="FangSong_GB2312" w:eastAsia="FangSong_GB2312" w:cs="FangSong_GB2312"/>
                <w:spacing w:val="5"/>
                <w:sz w:val="20"/>
                <w:szCs w:val="20"/>
              </w:rPr>
              <w:t>（万</w:t>
            </w:r>
            <w:r>
              <w:rPr>
                <w:rFonts w:ascii="FangSong_GB2312" w:hAnsi="FangSong_GB2312" w:eastAsia="FangSong_GB2312" w:cs="FangSong_GB2312"/>
                <w:spacing w:val="-44"/>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FangSong_GB2312" w:hAnsi="FangSong_GB2312" w:eastAsia="FangSong_GB2312" w:cs="FangSong_GB2312"/>
                <w:spacing w:val="5"/>
                <w:sz w:val="20"/>
                <w:szCs w:val="20"/>
              </w:rPr>
              <w:t>）</w:t>
            </w:r>
          </w:p>
        </w:tc>
        <w:tc>
          <w:tcPr>
            <w:tcW w:w="1592" w:type="dxa"/>
            <w:vAlign w:val="top"/>
          </w:tcPr>
          <w:p w14:paraId="2AFB13DD">
            <w:pPr>
              <w:spacing w:before="107" w:line="224" w:lineRule="auto"/>
              <w:ind w:left="593"/>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挖方</w:t>
            </w:r>
          </w:p>
        </w:tc>
        <w:tc>
          <w:tcPr>
            <w:tcW w:w="1466" w:type="dxa"/>
            <w:vAlign w:val="top"/>
          </w:tcPr>
          <w:p w14:paraId="3E83AF5F">
            <w:pPr>
              <w:spacing w:before="107" w:line="224" w:lineRule="auto"/>
              <w:ind w:left="527"/>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填方</w:t>
            </w:r>
          </w:p>
        </w:tc>
        <w:tc>
          <w:tcPr>
            <w:tcW w:w="1551" w:type="dxa"/>
            <w:vAlign w:val="top"/>
          </w:tcPr>
          <w:p w14:paraId="011D05D9">
            <w:pPr>
              <w:spacing w:before="106" w:line="228" w:lineRule="auto"/>
              <w:ind w:left="57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借方</w:t>
            </w:r>
          </w:p>
        </w:tc>
        <w:tc>
          <w:tcPr>
            <w:tcW w:w="2289" w:type="dxa"/>
            <w:vAlign w:val="top"/>
          </w:tcPr>
          <w:p w14:paraId="3EDFE56B">
            <w:pPr>
              <w:spacing w:before="107" w:line="223" w:lineRule="auto"/>
              <w:ind w:left="940"/>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余方</w:t>
            </w:r>
          </w:p>
        </w:tc>
      </w:tr>
      <w:tr w14:paraId="68747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76" w:type="dxa"/>
            <w:vMerge w:val="continue"/>
            <w:tcBorders>
              <w:top w:val="nil"/>
              <w:bottom w:val="nil"/>
            </w:tcBorders>
            <w:textDirection w:val="tbRlV"/>
            <w:vAlign w:val="top"/>
          </w:tcPr>
          <w:p w14:paraId="5A631596">
            <w:pPr>
              <w:rPr>
                <w:rFonts w:ascii="Arial"/>
                <w:sz w:val="21"/>
              </w:rPr>
            </w:pPr>
          </w:p>
        </w:tc>
        <w:tc>
          <w:tcPr>
            <w:tcW w:w="1690" w:type="dxa"/>
            <w:vMerge w:val="continue"/>
            <w:tcBorders>
              <w:top w:val="nil"/>
            </w:tcBorders>
            <w:vAlign w:val="top"/>
          </w:tcPr>
          <w:p w14:paraId="5F966C8B">
            <w:pPr>
              <w:rPr>
                <w:rFonts w:ascii="Arial"/>
                <w:sz w:val="21"/>
              </w:rPr>
            </w:pPr>
          </w:p>
        </w:tc>
        <w:tc>
          <w:tcPr>
            <w:tcW w:w="1592" w:type="dxa"/>
            <w:vAlign w:val="top"/>
          </w:tcPr>
          <w:p w14:paraId="541CC50A">
            <w:pPr>
              <w:spacing w:before="176"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466" w:type="dxa"/>
            <w:vAlign w:val="top"/>
          </w:tcPr>
          <w:p w14:paraId="699C01F1">
            <w:pPr>
              <w:spacing w:before="176"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551" w:type="dxa"/>
            <w:vAlign w:val="top"/>
          </w:tcPr>
          <w:p w14:paraId="128DB641">
            <w:pPr>
              <w:spacing w:before="172" w:line="199"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89" w:type="dxa"/>
            <w:vAlign w:val="top"/>
          </w:tcPr>
          <w:p w14:paraId="354F26E0">
            <w:pPr>
              <w:spacing w:before="172"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8688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6" w:type="dxa"/>
            <w:vMerge w:val="continue"/>
            <w:tcBorders>
              <w:top w:val="nil"/>
              <w:bottom w:val="nil"/>
            </w:tcBorders>
            <w:textDirection w:val="tbRlV"/>
            <w:vAlign w:val="top"/>
          </w:tcPr>
          <w:p w14:paraId="22A1F782">
            <w:pPr>
              <w:rPr>
                <w:rFonts w:ascii="Arial"/>
                <w:sz w:val="21"/>
              </w:rPr>
            </w:pPr>
          </w:p>
        </w:tc>
        <w:tc>
          <w:tcPr>
            <w:tcW w:w="1690" w:type="dxa"/>
            <w:vAlign w:val="top"/>
          </w:tcPr>
          <w:p w14:paraId="335DA147">
            <w:pPr>
              <w:spacing w:before="47" w:line="234" w:lineRule="auto"/>
              <w:ind w:left="743" w:right="114" w:hanging="627"/>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取土（石、砂）</w:t>
            </w:r>
            <w:r>
              <w:rPr>
                <w:rFonts w:ascii="FangSong_GB2312" w:hAnsi="FangSong_GB2312" w:eastAsia="FangSong_GB2312" w:cs="FangSong_GB2312"/>
                <w:spacing w:val="1"/>
                <w:sz w:val="20"/>
                <w:szCs w:val="20"/>
              </w:rPr>
              <w:t>场</w:t>
            </w:r>
          </w:p>
        </w:tc>
        <w:tc>
          <w:tcPr>
            <w:tcW w:w="6898" w:type="dxa"/>
            <w:gridSpan w:val="4"/>
            <w:vAlign w:val="top"/>
          </w:tcPr>
          <w:p w14:paraId="17A2ECD7">
            <w:pPr>
              <w:spacing w:before="187" w:line="224" w:lineRule="auto"/>
              <w:ind w:left="2932"/>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不设取土场</w:t>
            </w:r>
          </w:p>
        </w:tc>
      </w:tr>
      <w:tr w14:paraId="12E05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6" w:type="dxa"/>
            <w:vMerge w:val="continue"/>
            <w:tcBorders>
              <w:top w:val="nil"/>
            </w:tcBorders>
            <w:textDirection w:val="tbRlV"/>
            <w:vAlign w:val="top"/>
          </w:tcPr>
          <w:p w14:paraId="5435F2F0">
            <w:pPr>
              <w:rPr>
                <w:rFonts w:ascii="Arial"/>
                <w:sz w:val="21"/>
              </w:rPr>
            </w:pPr>
          </w:p>
        </w:tc>
        <w:tc>
          <w:tcPr>
            <w:tcW w:w="1690" w:type="dxa"/>
            <w:vAlign w:val="top"/>
          </w:tcPr>
          <w:p w14:paraId="248AE767">
            <w:pPr>
              <w:spacing w:before="45" w:line="235" w:lineRule="auto"/>
              <w:ind w:left="743" w:right="114" w:hanging="621"/>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弃土（石、渣）</w:t>
            </w:r>
            <w:r>
              <w:rPr>
                <w:rFonts w:ascii="FangSong_GB2312" w:hAnsi="FangSong_GB2312" w:eastAsia="FangSong_GB2312" w:cs="FangSong_GB2312"/>
                <w:spacing w:val="1"/>
                <w:sz w:val="20"/>
                <w:szCs w:val="20"/>
              </w:rPr>
              <w:t>场</w:t>
            </w:r>
          </w:p>
        </w:tc>
        <w:tc>
          <w:tcPr>
            <w:tcW w:w="6898" w:type="dxa"/>
            <w:gridSpan w:val="4"/>
            <w:vAlign w:val="top"/>
          </w:tcPr>
          <w:p w14:paraId="2AC4FC13">
            <w:pPr>
              <w:spacing w:before="186" w:line="224" w:lineRule="auto"/>
              <w:ind w:left="2932"/>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不设弃渣场</w:t>
            </w:r>
          </w:p>
        </w:tc>
      </w:tr>
      <w:tr w14:paraId="24920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6" w:type="dxa"/>
            <w:vMerge w:val="restart"/>
            <w:tcBorders>
              <w:bottom w:val="nil"/>
            </w:tcBorders>
            <w:vAlign w:val="top"/>
          </w:tcPr>
          <w:p w14:paraId="63FD21DF">
            <w:pPr>
              <w:spacing w:before="137" w:line="225" w:lineRule="auto"/>
              <w:ind w:left="137"/>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项目</w:t>
            </w:r>
          </w:p>
          <w:p w14:paraId="78586B4E">
            <w:pPr>
              <w:spacing w:before="81" w:line="305" w:lineRule="auto"/>
              <w:ind w:left="244" w:right="126" w:hanging="81"/>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区概</w:t>
            </w:r>
            <w:r>
              <w:rPr>
                <w:rFonts w:ascii="FangSong_GB2312" w:hAnsi="FangSong_GB2312" w:eastAsia="FangSong_GB2312" w:cs="FangSong_GB2312"/>
                <w:sz w:val="20"/>
                <w:szCs w:val="20"/>
              </w:rPr>
              <w:t>况</w:t>
            </w:r>
          </w:p>
        </w:tc>
        <w:tc>
          <w:tcPr>
            <w:tcW w:w="1690" w:type="dxa"/>
            <w:vAlign w:val="top"/>
          </w:tcPr>
          <w:p w14:paraId="324A43EB">
            <w:pPr>
              <w:spacing w:before="47" w:line="234" w:lineRule="auto"/>
              <w:ind w:left="646" w:right="110" w:hanging="52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涉及重点防治区</w:t>
            </w:r>
            <w:r>
              <w:rPr>
                <w:rFonts w:ascii="FangSong_GB2312" w:hAnsi="FangSong_GB2312" w:eastAsia="FangSong_GB2312" w:cs="FangSong_GB2312"/>
                <w:sz w:val="20"/>
                <w:szCs w:val="20"/>
              </w:rPr>
              <w:t>情况</w:t>
            </w:r>
          </w:p>
        </w:tc>
        <w:tc>
          <w:tcPr>
            <w:tcW w:w="3058" w:type="dxa"/>
            <w:gridSpan w:val="2"/>
            <w:vAlign w:val="top"/>
          </w:tcPr>
          <w:p w14:paraId="388C2AD1">
            <w:pPr>
              <w:spacing w:before="47" w:line="234" w:lineRule="auto"/>
              <w:ind w:left="695" w:right="161" w:hanging="51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嘉陵江及沱江中下游国家级水土流失重点治理区</w:t>
            </w:r>
          </w:p>
        </w:tc>
        <w:tc>
          <w:tcPr>
            <w:tcW w:w="1551" w:type="dxa"/>
            <w:vAlign w:val="top"/>
          </w:tcPr>
          <w:p w14:paraId="7B4EFC16">
            <w:pPr>
              <w:spacing w:before="187" w:line="221"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地貌类型</w:t>
            </w:r>
          </w:p>
        </w:tc>
        <w:tc>
          <w:tcPr>
            <w:tcW w:w="2289" w:type="dxa"/>
            <w:vAlign w:val="top"/>
          </w:tcPr>
          <w:p w14:paraId="28C11CA9">
            <w:pPr>
              <w:spacing w:before="187" w:line="222" w:lineRule="auto"/>
              <w:ind w:left="946"/>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丘陵</w:t>
            </w:r>
          </w:p>
        </w:tc>
      </w:tr>
      <w:tr w14:paraId="56DBE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676" w:type="dxa"/>
            <w:vMerge w:val="continue"/>
            <w:tcBorders>
              <w:top w:val="nil"/>
            </w:tcBorders>
            <w:vAlign w:val="top"/>
          </w:tcPr>
          <w:p w14:paraId="6317B619">
            <w:pPr>
              <w:rPr>
                <w:rFonts w:ascii="Arial"/>
                <w:sz w:val="21"/>
              </w:rPr>
            </w:pPr>
          </w:p>
        </w:tc>
        <w:tc>
          <w:tcPr>
            <w:tcW w:w="1690" w:type="dxa"/>
            <w:vAlign w:val="top"/>
          </w:tcPr>
          <w:p w14:paraId="4F29823F">
            <w:pPr>
              <w:spacing w:before="45" w:line="235" w:lineRule="auto"/>
              <w:ind w:left="197" w:right="110" w:hanging="78"/>
              <w:rPr>
                <w:rFonts w:ascii="Times New Roman" w:hAnsi="Times New Roman" w:eastAsia="Times New Roman" w:cs="Times New Roman"/>
                <w:sz w:val="20"/>
                <w:szCs w:val="20"/>
              </w:rPr>
            </w:pPr>
            <w:r>
              <w:rPr>
                <w:rFonts w:ascii="FangSong_GB2312" w:hAnsi="FangSong_GB2312" w:eastAsia="FangSong_GB2312" w:cs="FangSong_GB2312"/>
                <w:spacing w:val="7"/>
                <w:sz w:val="20"/>
                <w:szCs w:val="20"/>
              </w:rPr>
              <w:t>原地貌土壤侵蚀</w:t>
            </w:r>
            <w:r>
              <w:rPr>
                <w:rFonts w:ascii="FangSong_GB2312" w:hAnsi="FangSong_GB2312" w:eastAsia="FangSong_GB2312" w:cs="FangSong_GB2312"/>
                <w:spacing w:val="5"/>
                <w:sz w:val="20"/>
                <w:szCs w:val="20"/>
              </w:rPr>
              <w:t>模数</w:t>
            </w: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km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sz w:val="20"/>
                <w:szCs w:val="20"/>
              </w:rPr>
              <w:t>.a)]</w:t>
            </w:r>
          </w:p>
        </w:tc>
        <w:tc>
          <w:tcPr>
            <w:tcW w:w="3058" w:type="dxa"/>
            <w:gridSpan w:val="2"/>
            <w:vAlign w:val="top"/>
          </w:tcPr>
          <w:p w14:paraId="0260A67C">
            <w:pPr>
              <w:spacing w:before="221" w:line="195" w:lineRule="auto"/>
              <w:ind w:left="1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551" w:type="dxa"/>
            <w:vAlign w:val="top"/>
          </w:tcPr>
          <w:p w14:paraId="1D9113FB">
            <w:pPr>
              <w:spacing w:before="45" w:line="235" w:lineRule="auto"/>
              <w:ind w:left="242" w:right="142" w:hanging="85"/>
              <w:rPr>
                <w:rFonts w:ascii="Times New Roman" w:hAnsi="Times New Roman" w:eastAsia="Times New Roman" w:cs="Times New Roman"/>
                <w:sz w:val="20"/>
                <w:szCs w:val="20"/>
              </w:rPr>
            </w:pPr>
            <w:r>
              <w:rPr>
                <w:rFonts w:ascii="FangSong_GB2312" w:hAnsi="FangSong_GB2312" w:eastAsia="FangSong_GB2312" w:cs="FangSong_GB2312"/>
                <w:spacing w:val="7"/>
                <w:sz w:val="20"/>
                <w:szCs w:val="20"/>
              </w:rPr>
              <w:t>容许土壤流失</w:t>
            </w:r>
            <w:r>
              <w:rPr>
                <w:rFonts w:ascii="FangSong_GB2312" w:hAnsi="FangSong_GB2312" w:eastAsia="FangSong_GB2312" w:cs="FangSong_GB2312"/>
                <w:spacing w:val="3"/>
                <w:sz w:val="20"/>
                <w:szCs w:val="20"/>
              </w:rPr>
              <w:t>量</w:t>
            </w: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km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0"/>
                <w:szCs w:val="20"/>
              </w:rPr>
              <w:t>.a)]</w:t>
            </w:r>
          </w:p>
        </w:tc>
        <w:tc>
          <w:tcPr>
            <w:tcW w:w="2289" w:type="dxa"/>
            <w:vAlign w:val="top"/>
          </w:tcPr>
          <w:p w14:paraId="63B9B875">
            <w:pPr>
              <w:spacing w:before="221" w:line="195" w:lineRule="auto"/>
              <w:ind w:left="9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10CB7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2366" w:type="dxa"/>
            <w:gridSpan w:val="2"/>
            <w:vAlign w:val="top"/>
          </w:tcPr>
          <w:p w14:paraId="3A926234">
            <w:pPr>
              <w:spacing w:line="259" w:lineRule="auto"/>
              <w:rPr>
                <w:rFonts w:ascii="Arial"/>
                <w:sz w:val="21"/>
              </w:rPr>
            </w:pPr>
          </w:p>
          <w:p w14:paraId="0026B920">
            <w:pPr>
              <w:spacing w:before="65" w:line="225" w:lineRule="auto"/>
              <w:ind w:left="14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项目选址（线）水土保</w:t>
            </w:r>
          </w:p>
          <w:p w14:paraId="0EC3C7CC">
            <w:pPr>
              <w:spacing w:before="37" w:line="223" w:lineRule="auto"/>
              <w:ind w:left="876"/>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持评价</w:t>
            </w:r>
          </w:p>
        </w:tc>
        <w:tc>
          <w:tcPr>
            <w:tcW w:w="6898" w:type="dxa"/>
            <w:gridSpan w:val="4"/>
            <w:vAlign w:val="top"/>
          </w:tcPr>
          <w:p w14:paraId="1D443418">
            <w:pPr>
              <w:spacing w:before="47" w:line="222" w:lineRule="auto"/>
              <w:ind w:left="11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位于嘉陵江及沱江中下游国家级水土流失重点治理区，提高防治标准，严</w:t>
            </w:r>
          </w:p>
          <w:p w14:paraId="6106E955">
            <w:pPr>
              <w:spacing w:before="37" w:line="222" w:lineRule="auto"/>
              <w:ind w:left="11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格控制扰动地表和植被损坏范围、减少工程占地、加强工程管理、优化施</w:t>
            </w:r>
          </w:p>
          <w:p w14:paraId="53E04826">
            <w:pPr>
              <w:spacing w:before="40" w:line="222" w:lineRule="auto"/>
              <w:ind w:left="118"/>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工工艺等措施，可有效控制工程建设生产的水土流失影响，能够达到水土</w:t>
            </w:r>
          </w:p>
          <w:p w14:paraId="4732A300">
            <w:pPr>
              <w:spacing w:before="40" w:line="209" w:lineRule="auto"/>
              <w:ind w:left="1769"/>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保持相关要求，工程选址（线）可行</w:t>
            </w:r>
          </w:p>
        </w:tc>
      </w:tr>
      <w:tr w14:paraId="7E2B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366" w:type="dxa"/>
            <w:gridSpan w:val="2"/>
            <w:vAlign w:val="top"/>
          </w:tcPr>
          <w:p w14:paraId="4EAB0379">
            <w:pPr>
              <w:spacing w:before="47" w:line="210" w:lineRule="auto"/>
              <w:ind w:left="356"/>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预测水土流失总量</w:t>
            </w:r>
          </w:p>
        </w:tc>
        <w:tc>
          <w:tcPr>
            <w:tcW w:w="6898" w:type="dxa"/>
            <w:gridSpan w:val="4"/>
            <w:vAlign w:val="top"/>
          </w:tcPr>
          <w:p w14:paraId="1D81B942">
            <w:pPr>
              <w:spacing w:before="47" w:line="210" w:lineRule="auto"/>
              <w:ind w:left="2165"/>
              <w:rPr>
                <w:rFonts w:ascii="Times New Roman" w:hAnsi="Times New Roman" w:eastAsia="Times New Roman" w:cs="Times New Roman"/>
                <w:sz w:val="20"/>
                <w:szCs w:val="20"/>
              </w:rPr>
            </w:pPr>
            <w:r>
              <w:rPr>
                <w:rFonts w:ascii="FangSong_GB2312" w:hAnsi="FangSong_GB2312" w:eastAsia="FangSong_GB2312" w:cs="FangSong_GB2312"/>
                <w:spacing w:val="5"/>
                <w:sz w:val="20"/>
                <w:szCs w:val="20"/>
              </w:rPr>
              <w:t>项目建设造成水土流失</w:t>
            </w:r>
            <w:r>
              <w:rPr>
                <w:rFonts w:ascii="FangSong_GB2312" w:hAnsi="FangSong_GB2312" w:eastAsia="FangSong_GB2312" w:cs="FangSong_GB2312"/>
                <w:spacing w:val="-14"/>
                <w:sz w:val="20"/>
                <w:szCs w:val="20"/>
              </w:rPr>
              <w:t xml:space="preserve"> </w:t>
            </w:r>
            <w:r>
              <w:rPr>
                <w:rFonts w:ascii="Times New Roman" w:hAnsi="Times New Roman" w:eastAsia="Times New Roman" w:cs="Times New Roman"/>
                <w:spacing w:val="5"/>
                <w:sz w:val="20"/>
                <w:szCs w:val="20"/>
              </w:rPr>
              <w:t>1.21t</w:t>
            </w:r>
          </w:p>
        </w:tc>
      </w:tr>
      <w:tr w14:paraId="1F28F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366" w:type="dxa"/>
            <w:gridSpan w:val="2"/>
            <w:vAlign w:val="top"/>
          </w:tcPr>
          <w:p w14:paraId="7D37D177">
            <w:pPr>
              <w:spacing w:before="61" w:line="223" w:lineRule="auto"/>
              <w:ind w:left="198"/>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防治责任范围（</w:t>
            </w:r>
            <w:r>
              <w:rPr>
                <w:rFonts w:ascii="Times New Roman" w:hAnsi="Times New Roman" w:eastAsia="Times New Roman" w:cs="Times New Roman"/>
                <w:sz w:val="20"/>
                <w:szCs w:val="20"/>
              </w:rPr>
              <w:t>hm</w:t>
            </w:r>
            <w:r>
              <w:rPr>
                <w:rFonts w:ascii="Times New Roman" w:hAnsi="Times New Roman" w:eastAsia="Times New Roman" w:cs="Times New Roman"/>
                <w:spacing w:val="7"/>
                <w:position w:val="6"/>
                <w:sz w:val="13"/>
                <w:szCs w:val="13"/>
              </w:rPr>
              <w:t>2</w:t>
            </w:r>
            <w:r>
              <w:rPr>
                <w:rFonts w:ascii="FangSong_GB2312" w:hAnsi="FangSong_GB2312" w:eastAsia="FangSong_GB2312" w:cs="FangSong_GB2312"/>
                <w:spacing w:val="7"/>
                <w:sz w:val="20"/>
                <w:szCs w:val="20"/>
              </w:rPr>
              <w:t>）</w:t>
            </w:r>
          </w:p>
        </w:tc>
        <w:tc>
          <w:tcPr>
            <w:tcW w:w="6898" w:type="dxa"/>
            <w:gridSpan w:val="4"/>
            <w:vAlign w:val="top"/>
          </w:tcPr>
          <w:p w14:paraId="3F2A22E1">
            <w:pPr>
              <w:spacing w:before="96" w:line="195" w:lineRule="auto"/>
              <w:ind w:left="3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6D1BC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76" w:type="dxa"/>
            <w:vMerge w:val="restart"/>
            <w:tcBorders>
              <w:bottom w:val="nil"/>
            </w:tcBorders>
            <w:vAlign w:val="top"/>
          </w:tcPr>
          <w:p w14:paraId="44962AF7">
            <w:pPr>
              <w:spacing w:line="426" w:lineRule="auto"/>
              <w:rPr>
                <w:rFonts w:ascii="Arial"/>
                <w:sz w:val="21"/>
              </w:rPr>
            </w:pPr>
          </w:p>
          <w:p w14:paraId="6B410287">
            <w:pPr>
              <w:spacing w:before="65" w:line="228" w:lineRule="auto"/>
              <w:ind w:left="15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防治</w:t>
            </w:r>
          </w:p>
          <w:p w14:paraId="5954A731">
            <w:pPr>
              <w:spacing w:before="34" w:line="223" w:lineRule="auto"/>
              <w:ind w:left="13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标准</w:t>
            </w:r>
          </w:p>
          <w:p w14:paraId="1AB74860">
            <w:pPr>
              <w:spacing w:before="38" w:line="222" w:lineRule="auto"/>
              <w:ind w:left="144"/>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等级</w:t>
            </w:r>
          </w:p>
          <w:p w14:paraId="26D24F4D">
            <w:pPr>
              <w:spacing w:before="38" w:line="225" w:lineRule="auto"/>
              <w:ind w:left="132"/>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及目</w:t>
            </w:r>
          </w:p>
          <w:p w14:paraId="77745944">
            <w:pPr>
              <w:spacing w:before="36" w:line="224" w:lineRule="auto"/>
              <w:ind w:left="236"/>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标</w:t>
            </w:r>
          </w:p>
        </w:tc>
        <w:tc>
          <w:tcPr>
            <w:tcW w:w="1690" w:type="dxa"/>
            <w:vAlign w:val="top"/>
          </w:tcPr>
          <w:p w14:paraId="53559A37">
            <w:pPr>
              <w:spacing w:before="61" w:line="222" w:lineRule="auto"/>
              <w:ind w:left="238"/>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防治标准等级</w:t>
            </w:r>
          </w:p>
        </w:tc>
        <w:tc>
          <w:tcPr>
            <w:tcW w:w="6898" w:type="dxa"/>
            <w:gridSpan w:val="4"/>
            <w:vAlign w:val="top"/>
          </w:tcPr>
          <w:p w14:paraId="469BAEF4">
            <w:pPr>
              <w:spacing w:before="62" w:line="223" w:lineRule="auto"/>
              <w:ind w:left="220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西南紫色土区一级防治标准</w:t>
            </w:r>
          </w:p>
        </w:tc>
      </w:tr>
      <w:tr w14:paraId="0AB35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76" w:type="dxa"/>
            <w:vMerge w:val="continue"/>
            <w:tcBorders>
              <w:top w:val="nil"/>
              <w:bottom w:val="nil"/>
            </w:tcBorders>
            <w:vAlign w:val="top"/>
          </w:tcPr>
          <w:p w14:paraId="71929CB1">
            <w:pPr>
              <w:rPr>
                <w:rFonts w:ascii="Arial"/>
                <w:sz w:val="21"/>
              </w:rPr>
            </w:pPr>
          </w:p>
        </w:tc>
        <w:tc>
          <w:tcPr>
            <w:tcW w:w="1690" w:type="dxa"/>
            <w:vAlign w:val="top"/>
          </w:tcPr>
          <w:p w14:paraId="393313B2">
            <w:pPr>
              <w:spacing w:before="93" w:line="224" w:lineRule="auto"/>
              <w:ind w:left="11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水土流失治理度</w:t>
            </w:r>
          </w:p>
          <w:p w14:paraId="050C87AC">
            <w:pPr>
              <w:spacing w:before="37" w:line="236" w:lineRule="auto"/>
              <w:ind w:left="54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w:t>
            </w:r>
            <w:r>
              <w:rPr>
                <w:rFonts w:ascii="Times New Roman" w:hAnsi="Times New Roman" w:eastAsia="Times New Roman" w:cs="Times New Roman"/>
                <w:spacing w:val="5"/>
                <w:sz w:val="20"/>
                <w:szCs w:val="20"/>
              </w:rPr>
              <w:t>%</w:t>
            </w:r>
            <w:r>
              <w:rPr>
                <w:rFonts w:ascii="FangSong_GB2312" w:hAnsi="FangSong_GB2312" w:eastAsia="FangSong_GB2312" w:cs="FangSong_GB2312"/>
                <w:spacing w:val="5"/>
                <w:sz w:val="20"/>
                <w:szCs w:val="20"/>
              </w:rPr>
              <w:t>）</w:t>
            </w:r>
          </w:p>
        </w:tc>
        <w:tc>
          <w:tcPr>
            <w:tcW w:w="3058" w:type="dxa"/>
            <w:gridSpan w:val="2"/>
            <w:vAlign w:val="top"/>
          </w:tcPr>
          <w:p w14:paraId="0DEBC8AD">
            <w:pPr>
              <w:spacing w:before="260" w:line="195" w:lineRule="auto"/>
              <w:ind w:left="1431"/>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551" w:type="dxa"/>
            <w:vAlign w:val="top"/>
          </w:tcPr>
          <w:p w14:paraId="17A6ABD9">
            <w:pPr>
              <w:spacing w:before="63" w:line="269" w:lineRule="auto"/>
              <w:ind w:left="707" w:right="142" w:hanging="55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土壤流失控制</w:t>
            </w:r>
            <w:r>
              <w:rPr>
                <w:rFonts w:ascii="FangSong_GB2312" w:hAnsi="FangSong_GB2312" w:eastAsia="FangSong_GB2312" w:cs="FangSong_GB2312"/>
                <w:sz w:val="20"/>
                <w:szCs w:val="20"/>
              </w:rPr>
              <w:t>比</w:t>
            </w:r>
          </w:p>
        </w:tc>
        <w:tc>
          <w:tcPr>
            <w:tcW w:w="2289" w:type="dxa"/>
            <w:vAlign w:val="top"/>
          </w:tcPr>
          <w:p w14:paraId="74DFD3DD">
            <w:pPr>
              <w:spacing w:before="260" w:line="195" w:lineRule="auto"/>
              <w:ind w:left="10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57B72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76" w:type="dxa"/>
            <w:vMerge w:val="continue"/>
            <w:tcBorders>
              <w:top w:val="nil"/>
              <w:bottom w:val="nil"/>
            </w:tcBorders>
            <w:vAlign w:val="top"/>
          </w:tcPr>
          <w:p w14:paraId="61E7FA94">
            <w:pPr>
              <w:rPr>
                <w:rFonts w:ascii="Arial"/>
                <w:sz w:val="21"/>
              </w:rPr>
            </w:pPr>
          </w:p>
        </w:tc>
        <w:tc>
          <w:tcPr>
            <w:tcW w:w="1690" w:type="dxa"/>
            <w:vAlign w:val="top"/>
          </w:tcPr>
          <w:p w14:paraId="46051B14">
            <w:pPr>
              <w:spacing w:before="233" w:line="222" w:lineRule="auto"/>
              <w:ind w:right="6"/>
              <w:jc w:val="right"/>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渣土挡护率（</w:t>
            </w:r>
            <w:r>
              <w:rPr>
                <w:rFonts w:ascii="Times New Roman" w:hAnsi="Times New Roman" w:eastAsia="Times New Roman" w:cs="Times New Roman"/>
                <w:spacing w:val="-2"/>
                <w:sz w:val="20"/>
                <w:szCs w:val="20"/>
              </w:rPr>
              <w:t>%</w:t>
            </w:r>
            <w:r>
              <w:rPr>
                <w:rFonts w:ascii="FangSong_GB2312" w:hAnsi="FangSong_GB2312" w:eastAsia="FangSong_GB2312" w:cs="FangSong_GB2312"/>
                <w:spacing w:val="-2"/>
                <w:sz w:val="20"/>
                <w:szCs w:val="20"/>
              </w:rPr>
              <w:t>）</w:t>
            </w:r>
          </w:p>
        </w:tc>
        <w:tc>
          <w:tcPr>
            <w:tcW w:w="3058" w:type="dxa"/>
            <w:gridSpan w:val="2"/>
            <w:vAlign w:val="top"/>
          </w:tcPr>
          <w:p w14:paraId="0FCD1CBB">
            <w:pPr>
              <w:spacing w:before="261" w:line="195" w:lineRule="auto"/>
              <w:ind w:left="1431"/>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551" w:type="dxa"/>
            <w:vAlign w:val="top"/>
          </w:tcPr>
          <w:p w14:paraId="4AEC5D69">
            <w:pPr>
              <w:spacing w:before="63" w:line="222" w:lineRule="auto"/>
              <w:ind w:left="25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表土保护率</w:t>
            </w:r>
          </w:p>
          <w:p w14:paraId="17D51A82">
            <w:pPr>
              <w:spacing w:before="85" w:line="236" w:lineRule="auto"/>
              <w:ind w:left="48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w:t>
            </w:r>
            <w:r>
              <w:rPr>
                <w:rFonts w:ascii="Times New Roman" w:hAnsi="Times New Roman" w:eastAsia="Times New Roman" w:cs="Times New Roman"/>
                <w:spacing w:val="5"/>
                <w:sz w:val="20"/>
                <w:szCs w:val="20"/>
              </w:rPr>
              <w:t>%</w:t>
            </w:r>
            <w:r>
              <w:rPr>
                <w:rFonts w:ascii="FangSong_GB2312" w:hAnsi="FangSong_GB2312" w:eastAsia="FangSong_GB2312" w:cs="FangSong_GB2312"/>
                <w:spacing w:val="5"/>
                <w:sz w:val="20"/>
                <w:szCs w:val="20"/>
              </w:rPr>
              <w:t>）</w:t>
            </w:r>
          </w:p>
        </w:tc>
        <w:tc>
          <w:tcPr>
            <w:tcW w:w="2289" w:type="dxa"/>
            <w:vAlign w:val="top"/>
          </w:tcPr>
          <w:p w14:paraId="6B2A10DF">
            <w:pPr>
              <w:spacing w:before="261" w:line="195" w:lineRule="auto"/>
              <w:ind w:left="104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r>
      <w:tr w14:paraId="3CEF4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676" w:type="dxa"/>
            <w:vMerge w:val="continue"/>
            <w:tcBorders>
              <w:top w:val="nil"/>
            </w:tcBorders>
            <w:vAlign w:val="top"/>
          </w:tcPr>
          <w:p w14:paraId="5F2792BD">
            <w:pPr>
              <w:rPr>
                <w:rFonts w:ascii="Arial"/>
                <w:sz w:val="21"/>
              </w:rPr>
            </w:pPr>
          </w:p>
        </w:tc>
        <w:tc>
          <w:tcPr>
            <w:tcW w:w="1690" w:type="dxa"/>
            <w:vAlign w:val="top"/>
          </w:tcPr>
          <w:p w14:paraId="23DEE1C5">
            <w:pPr>
              <w:spacing w:before="92" w:line="224" w:lineRule="auto"/>
              <w:ind w:left="11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林草植被恢复率</w:t>
            </w:r>
          </w:p>
          <w:p w14:paraId="3F1987A6">
            <w:pPr>
              <w:spacing w:before="39" w:line="236" w:lineRule="auto"/>
              <w:ind w:left="549"/>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w:t>
            </w:r>
            <w:r>
              <w:rPr>
                <w:rFonts w:ascii="Times New Roman" w:hAnsi="Times New Roman" w:eastAsia="Times New Roman" w:cs="Times New Roman"/>
                <w:spacing w:val="5"/>
                <w:sz w:val="20"/>
                <w:szCs w:val="20"/>
              </w:rPr>
              <w:t>%</w:t>
            </w:r>
            <w:r>
              <w:rPr>
                <w:rFonts w:ascii="FangSong_GB2312" w:hAnsi="FangSong_GB2312" w:eastAsia="FangSong_GB2312" w:cs="FangSong_GB2312"/>
                <w:spacing w:val="5"/>
                <w:sz w:val="20"/>
                <w:szCs w:val="20"/>
              </w:rPr>
              <w:t>）</w:t>
            </w:r>
          </w:p>
        </w:tc>
        <w:tc>
          <w:tcPr>
            <w:tcW w:w="3058" w:type="dxa"/>
            <w:gridSpan w:val="2"/>
            <w:vAlign w:val="top"/>
          </w:tcPr>
          <w:p w14:paraId="576F0641">
            <w:pPr>
              <w:spacing w:before="262" w:line="195" w:lineRule="auto"/>
              <w:ind w:left="1431"/>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551" w:type="dxa"/>
            <w:vAlign w:val="top"/>
          </w:tcPr>
          <w:p w14:paraId="173CD480">
            <w:pPr>
              <w:spacing w:before="61" w:line="224" w:lineRule="auto"/>
              <w:ind w:left="25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林草覆盖率</w:t>
            </w:r>
          </w:p>
          <w:p w14:paraId="6505D96F">
            <w:pPr>
              <w:spacing w:before="83" w:line="236" w:lineRule="auto"/>
              <w:ind w:left="48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w:t>
            </w:r>
            <w:r>
              <w:rPr>
                <w:rFonts w:ascii="Times New Roman" w:hAnsi="Times New Roman" w:eastAsia="Times New Roman" w:cs="Times New Roman"/>
                <w:spacing w:val="5"/>
                <w:sz w:val="20"/>
                <w:szCs w:val="20"/>
              </w:rPr>
              <w:t>%</w:t>
            </w:r>
            <w:r>
              <w:rPr>
                <w:rFonts w:ascii="FangSong_GB2312" w:hAnsi="FangSong_GB2312" w:eastAsia="FangSong_GB2312" w:cs="FangSong_GB2312"/>
                <w:spacing w:val="5"/>
                <w:sz w:val="20"/>
                <w:szCs w:val="20"/>
              </w:rPr>
              <w:t>）</w:t>
            </w:r>
          </w:p>
        </w:tc>
        <w:tc>
          <w:tcPr>
            <w:tcW w:w="2289" w:type="dxa"/>
            <w:vAlign w:val="top"/>
          </w:tcPr>
          <w:p w14:paraId="5D4081EA">
            <w:pPr>
              <w:spacing w:before="262" w:line="195" w:lineRule="auto"/>
              <w:ind w:left="10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3DA02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6" w:type="dxa"/>
            <w:vMerge w:val="restart"/>
            <w:tcBorders>
              <w:bottom w:val="nil"/>
            </w:tcBorders>
            <w:vAlign w:val="top"/>
          </w:tcPr>
          <w:p w14:paraId="7883FE68">
            <w:pPr>
              <w:spacing w:line="353" w:lineRule="auto"/>
              <w:rPr>
                <w:rFonts w:ascii="Arial"/>
                <w:sz w:val="21"/>
              </w:rPr>
            </w:pPr>
          </w:p>
          <w:p w14:paraId="1964C2C2">
            <w:pPr>
              <w:spacing w:before="65" w:line="301" w:lineRule="auto"/>
              <w:ind w:left="132" w:right="126" w:firstLine="1"/>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水土</w:t>
            </w:r>
            <w:r>
              <w:rPr>
                <w:rFonts w:ascii="FangSong_GB2312" w:hAnsi="FangSong_GB2312" w:eastAsia="FangSong_GB2312" w:cs="FangSong_GB2312"/>
                <w:spacing w:val="6"/>
                <w:sz w:val="20"/>
                <w:szCs w:val="20"/>
              </w:rPr>
              <w:t>保持</w:t>
            </w:r>
          </w:p>
          <w:p w14:paraId="5AB6A18A">
            <w:pPr>
              <w:spacing w:line="222" w:lineRule="auto"/>
              <w:ind w:left="134"/>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措施</w:t>
            </w:r>
          </w:p>
        </w:tc>
        <w:tc>
          <w:tcPr>
            <w:tcW w:w="1690" w:type="dxa"/>
            <w:vAlign w:val="top"/>
          </w:tcPr>
          <w:p w14:paraId="115AF0EC">
            <w:pPr>
              <w:spacing w:before="147" w:line="225" w:lineRule="auto"/>
              <w:ind w:left="641"/>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分区</w:t>
            </w:r>
          </w:p>
        </w:tc>
        <w:tc>
          <w:tcPr>
            <w:tcW w:w="3058" w:type="dxa"/>
            <w:gridSpan w:val="2"/>
            <w:vAlign w:val="top"/>
          </w:tcPr>
          <w:p w14:paraId="2A8C8E9E">
            <w:pPr>
              <w:spacing w:before="146" w:line="222" w:lineRule="auto"/>
              <w:ind w:left="1119"/>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工程措施</w:t>
            </w:r>
          </w:p>
        </w:tc>
        <w:tc>
          <w:tcPr>
            <w:tcW w:w="1551" w:type="dxa"/>
            <w:vAlign w:val="top"/>
          </w:tcPr>
          <w:p w14:paraId="0D4D18D5">
            <w:pPr>
              <w:spacing w:before="146" w:line="222" w:lineRule="auto"/>
              <w:ind w:left="357"/>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植物措施</w:t>
            </w:r>
          </w:p>
        </w:tc>
        <w:tc>
          <w:tcPr>
            <w:tcW w:w="2289" w:type="dxa"/>
            <w:vAlign w:val="top"/>
          </w:tcPr>
          <w:p w14:paraId="7694227A">
            <w:pPr>
              <w:spacing w:before="146" w:line="222" w:lineRule="auto"/>
              <w:ind w:left="741"/>
              <w:rPr>
                <w:rFonts w:ascii="FangSong_GB2312" w:hAnsi="FangSong_GB2312" w:eastAsia="FangSong_GB2312" w:cs="FangSong_GB2312"/>
                <w:sz w:val="20"/>
                <w:szCs w:val="20"/>
              </w:rPr>
            </w:pPr>
            <w:r>
              <w:rPr>
                <w:rFonts w:ascii="FangSong_GB2312" w:hAnsi="FangSong_GB2312" w:eastAsia="FangSong_GB2312" w:cs="FangSong_GB2312"/>
                <w:spacing w:val="4"/>
                <w:sz w:val="20"/>
                <w:szCs w:val="20"/>
              </w:rPr>
              <w:t>临时措施</w:t>
            </w:r>
          </w:p>
        </w:tc>
      </w:tr>
      <w:tr w14:paraId="58119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676" w:type="dxa"/>
            <w:vMerge w:val="continue"/>
            <w:tcBorders>
              <w:top w:val="nil"/>
              <w:bottom w:val="nil"/>
            </w:tcBorders>
            <w:vAlign w:val="top"/>
          </w:tcPr>
          <w:p w14:paraId="2B4C84B2">
            <w:pPr>
              <w:rPr>
                <w:rFonts w:ascii="Arial"/>
                <w:sz w:val="21"/>
              </w:rPr>
            </w:pPr>
          </w:p>
        </w:tc>
        <w:tc>
          <w:tcPr>
            <w:tcW w:w="1690" w:type="dxa"/>
            <w:vAlign w:val="top"/>
          </w:tcPr>
          <w:p w14:paraId="21FF0286">
            <w:pPr>
              <w:spacing w:before="64" w:line="269" w:lineRule="auto"/>
              <w:ind w:left="773" w:right="110" w:hanging="45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建构筑物工程</w:t>
            </w:r>
            <w:r>
              <w:rPr>
                <w:rFonts w:ascii="FangSong_GB2312" w:hAnsi="FangSong_GB2312" w:eastAsia="FangSong_GB2312" w:cs="FangSong_GB2312"/>
                <w:sz w:val="20"/>
                <w:szCs w:val="20"/>
              </w:rPr>
              <w:t>区</w:t>
            </w:r>
          </w:p>
        </w:tc>
        <w:tc>
          <w:tcPr>
            <w:tcW w:w="3058" w:type="dxa"/>
            <w:gridSpan w:val="2"/>
            <w:vAlign w:val="top"/>
          </w:tcPr>
          <w:p w14:paraId="2D98450A">
            <w:pPr>
              <w:spacing w:before="228" w:line="224" w:lineRule="auto"/>
              <w:ind w:left="630"/>
              <w:rPr>
                <w:rFonts w:ascii="Times New Roman" w:hAnsi="Times New Roman" w:eastAsia="Times New Roman" w:cs="Times New Roman"/>
                <w:sz w:val="13"/>
                <w:szCs w:val="13"/>
              </w:rPr>
            </w:pPr>
            <w:r>
              <w:rPr>
                <w:rFonts w:ascii="FangSong_GB2312" w:hAnsi="FangSong_GB2312" w:eastAsia="FangSong_GB2312" w:cs="FangSong_GB2312"/>
                <w:spacing w:val="3"/>
                <w:sz w:val="20"/>
                <w:szCs w:val="20"/>
              </w:rPr>
              <w:t>表土剥离</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spacing w:val="3"/>
                <w:sz w:val="20"/>
                <w:szCs w:val="20"/>
              </w:rPr>
              <w:t>0.01</w:t>
            </w:r>
            <w:r>
              <w:rPr>
                <w:rFonts w:ascii="Times New Roman" w:hAnsi="Times New Roman" w:eastAsia="Times New Roman" w:cs="Times New Roman"/>
                <w:spacing w:val="21"/>
                <w:w w:val="101"/>
                <w:sz w:val="20"/>
                <w:szCs w:val="20"/>
              </w:rPr>
              <w:t xml:space="preserve"> </w:t>
            </w:r>
            <w:r>
              <w:rPr>
                <w:rFonts w:ascii="FangSong_GB2312" w:hAnsi="FangSong_GB2312" w:eastAsia="FangSong_GB2312" w:cs="FangSong_GB2312"/>
                <w:spacing w:val="3"/>
                <w:sz w:val="20"/>
                <w:szCs w:val="20"/>
              </w:rPr>
              <w:t>万</w:t>
            </w:r>
            <w:r>
              <w:rPr>
                <w:rFonts w:ascii="FangSong_GB2312" w:hAnsi="FangSong_GB2312" w:eastAsia="FangSong_GB2312" w:cs="FangSong_GB2312"/>
                <w:spacing w:val="-46"/>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p>
        </w:tc>
        <w:tc>
          <w:tcPr>
            <w:tcW w:w="1551" w:type="dxa"/>
            <w:vAlign w:val="top"/>
          </w:tcPr>
          <w:p w14:paraId="0A0B51A5">
            <w:pPr>
              <w:spacing w:before="259" w:line="199"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89" w:type="dxa"/>
            <w:vAlign w:val="top"/>
          </w:tcPr>
          <w:p w14:paraId="01DC8A14">
            <w:pPr>
              <w:spacing w:before="259"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89A1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676" w:type="dxa"/>
            <w:vMerge w:val="continue"/>
            <w:tcBorders>
              <w:top w:val="nil"/>
            </w:tcBorders>
            <w:vAlign w:val="top"/>
          </w:tcPr>
          <w:p w14:paraId="4686A559">
            <w:pPr>
              <w:rPr>
                <w:rFonts w:ascii="Arial"/>
                <w:sz w:val="21"/>
              </w:rPr>
            </w:pPr>
          </w:p>
        </w:tc>
        <w:tc>
          <w:tcPr>
            <w:tcW w:w="1690" w:type="dxa"/>
            <w:vAlign w:val="top"/>
          </w:tcPr>
          <w:p w14:paraId="647352C7">
            <w:pPr>
              <w:spacing w:before="207" w:line="224" w:lineRule="auto"/>
              <w:ind w:left="321"/>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硬化工程区</w:t>
            </w:r>
          </w:p>
        </w:tc>
        <w:tc>
          <w:tcPr>
            <w:tcW w:w="3058" w:type="dxa"/>
            <w:gridSpan w:val="2"/>
            <w:vAlign w:val="top"/>
          </w:tcPr>
          <w:p w14:paraId="181973D5">
            <w:pPr>
              <w:spacing w:before="238" w:line="199" w:lineRule="auto"/>
              <w:ind w:left="1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1" w:type="dxa"/>
            <w:vAlign w:val="top"/>
          </w:tcPr>
          <w:p w14:paraId="3C30B4E0">
            <w:pPr>
              <w:spacing w:before="238" w:line="199"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89" w:type="dxa"/>
            <w:vAlign w:val="top"/>
          </w:tcPr>
          <w:p w14:paraId="1048B93D">
            <w:pPr>
              <w:spacing w:before="238"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62051F6B">
      <w:pPr>
        <w:pStyle w:val="2"/>
        <w:spacing w:line="176" w:lineRule="exact"/>
        <w:rPr>
          <w:sz w:val="15"/>
        </w:rPr>
      </w:pPr>
    </w:p>
    <w:p w14:paraId="7485E24F">
      <w:pPr>
        <w:spacing w:line="176" w:lineRule="exact"/>
        <w:rPr>
          <w:sz w:val="15"/>
          <w:szCs w:val="15"/>
        </w:rPr>
        <w:sectPr>
          <w:headerReference r:id="rId10" w:type="default"/>
          <w:footerReference r:id="rId11" w:type="default"/>
          <w:pgSz w:w="11906" w:h="16839"/>
          <w:pgMar w:top="1167" w:right="1318" w:bottom="1574" w:left="1318" w:header="830" w:footer="1327" w:gutter="0"/>
          <w:cols w:space="720" w:num="1"/>
        </w:sectPr>
      </w:pPr>
    </w:p>
    <w:p w14:paraId="7B834A9D">
      <w:pPr>
        <w:spacing w:before="119"/>
      </w:pPr>
    </w:p>
    <w:tbl>
      <w:tblPr>
        <w:tblStyle w:val="6"/>
        <w:tblW w:w="92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690"/>
        <w:gridCol w:w="3058"/>
        <w:gridCol w:w="1551"/>
        <w:gridCol w:w="2289"/>
      </w:tblGrid>
      <w:tr w14:paraId="78448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7" w:hRule="atLeast"/>
        </w:trPr>
        <w:tc>
          <w:tcPr>
            <w:tcW w:w="676" w:type="dxa"/>
            <w:vAlign w:val="top"/>
          </w:tcPr>
          <w:p w14:paraId="5A46BF55">
            <w:pPr>
              <w:rPr>
                <w:rFonts w:ascii="Arial"/>
                <w:sz w:val="21"/>
              </w:rPr>
            </w:pPr>
          </w:p>
        </w:tc>
        <w:tc>
          <w:tcPr>
            <w:tcW w:w="1690" w:type="dxa"/>
            <w:vAlign w:val="top"/>
          </w:tcPr>
          <w:p w14:paraId="3DA068A4">
            <w:pPr>
              <w:spacing w:line="322" w:lineRule="auto"/>
              <w:rPr>
                <w:rFonts w:ascii="Arial"/>
                <w:sz w:val="21"/>
              </w:rPr>
            </w:pPr>
          </w:p>
          <w:p w14:paraId="39C1171E">
            <w:pPr>
              <w:spacing w:before="65" w:line="224" w:lineRule="auto"/>
              <w:ind w:left="333"/>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绿化工程区</w:t>
            </w:r>
          </w:p>
        </w:tc>
        <w:tc>
          <w:tcPr>
            <w:tcW w:w="3058" w:type="dxa"/>
            <w:vAlign w:val="top"/>
          </w:tcPr>
          <w:p w14:paraId="3ED75547">
            <w:pPr>
              <w:spacing w:before="226" w:line="300" w:lineRule="auto"/>
              <w:ind w:left="598" w:right="106" w:hanging="487"/>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表土回覆</w:t>
            </w:r>
            <w:r>
              <w:rPr>
                <w:rFonts w:ascii="FangSong_GB2312" w:hAnsi="FangSong_GB2312" w:eastAsia="FangSong_GB2312" w:cs="FangSong_GB2312"/>
                <w:spacing w:val="-37"/>
                <w:sz w:val="20"/>
                <w:szCs w:val="20"/>
              </w:rPr>
              <w:t xml:space="preserve"> </w:t>
            </w:r>
            <w:r>
              <w:rPr>
                <w:rFonts w:ascii="Times New Roman" w:hAnsi="Times New Roman" w:eastAsia="Times New Roman" w:cs="Times New Roman"/>
                <w:spacing w:val="3"/>
                <w:sz w:val="20"/>
                <w:szCs w:val="20"/>
              </w:rPr>
              <w:t>0.01</w:t>
            </w:r>
            <w:r>
              <w:rPr>
                <w:rFonts w:ascii="Times New Roman" w:hAnsi="Times New Roman" w:eastAsia="Times New Roman" w:cs="Times New Roman"/>
                <w:spacing w:val="22"/>
                <w:sz w:val="20"/>
                <w:szCs w:val="20"/>
              </w:rPr>
              <w:t xml:space="preserve"> </w:t>
            </w:r>
            <w:r>
              <w:rPr>
                <w:rFonts w:ascii="FangSong_GB2312" w:hAnsi="FangSong_GB2312" w:eastAsia="FangSong_GB2312" w:cs="FangSong_GB2312"/>
                <w:spacing w:val="3"/>
                <w:sz w:val="20"/>
                <w:szCs w:val="20"/>
              </w:rPr>
              <w:t>万</w:t>
            </w:r>
            <w:r>
              <w:rPr>
                <w:rFonts w:ascii="FangSong_GB2312" w:hAnsi="FangSong_GB2312" w:eastAsia="FangSong_GB2312" w:cs="FangSong_GB2312"/>
                <w:spacing w:val="-44"/>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8"/>
                <w:position w:val="6"/>
                <w:sz w:val="13"/>
                <w:szCs w:val="13"/>
              </w:rPr>
              <w:t xml:space="preserve"> </w:t>
            </w:r>
            <w:r>
              <w:rPr>
                <w:rFonts w:ascii="FangSong_GB2312" w:hAnsi="FangSong_GB2312" w:eastAsia="FangSong_GB2312" w:cs="FangSong_GB2312"/>
                <w:spacing w:val="3"/>
                <w:sz w:val="20"/>
                <w:szCs w:val="20"/>
              </w:rPr>
              <w:t>、盖板排水</w:t>
            </w:r>
            <w:r>
              <w:rPr>
                <w:rFonts w:ascii="FangSong_GB2312" w:hAnsi="FangSong_GB2312" w:eastAsia="FangSong_GB2312" w:cs="FangSong_GB2312"/>
                <w:spacing w:val="1"/>
                <w:sz w:val="20"/>
                <w:szCs w:val="20"/>
              </w:rPr>
              <w:t>沟</w:t>
            </w:r>
            <w:r>
              <w:rPr>
                <w:rFonts w:ascii="FangSong_GB2312" w:hAnsi="FangSong_GB2312" w:eastAsia="FangSong_GB2312" w:cs="FangSong_GB2312"/>
                <w:spacing w:val="-35"/>
                <w:sz w:val="20"/>
                <w:szCs w:val="20"/>
              </w:rPr>
              <w:t xml:space="preserve"> </w:t>
            </w:r>
            <w:r>
              <w:rPr>
                <w:rFonts w:ascii="Times New Roman" w:hAnsi="Times New Roman" w:eastAsia="Times New Roman" w:cs="Times New Roman"/>
                <w:spacing w:val="1"/>
                <w:sz w:val="20"/>
                <w:szCs w:val="20"/>
              </w:rPr>
              <w:t>80m</w:t>
            </w:r>
            <w:r>
              <w:rPr>
                <w:rFonts w:ascii="Times New Roman" w:hAnsi="Times New Roman" w:eastAsia="Times New Roman" w:cs="Times New Roman"/>
                <w:spacing w:val="-24"/>
                <w:sz w:val="20"/>
                <w:szCs w:val="20"/>
              </w:rPr>
              <w:t xml:space="preserve"> </w:t>
            </w:r>
            <w:r>
              <w:rPr>
                <w:rFonts w:ascii="FangSong_GB2312" w:hAnsi="FangSong_GB2312" w:eastAsia="FangSong_GB2312" w:cs="FangSong_GB2312"/>
                <w:spacing w:val="1"/>
                <w:sz w:val="20"/>
                <w:szCs w:val="20"/>
              </w:rPr>
              <w:t>、雨水井</w:t>
            </w:r>
            <w:r>
              <w:rPr>
                <w:rFonts w:ascii="FangSong_GB2312" w:hAnsi="FangSong_GB2312" w:eastAsia="FangSong_GB2312" w:cs="FangSong_GB2312"/>
                <w:spacing w:val="-36"/>
                <w:sz w:val="20"/>
                <w:szCs w:val="20"/>
              </w:rPr>
              <w:t xml:space="preserve"> </w:t>
            </w:r>
            <w:r>
              <w:rPr>
                <w:rFonts w:ascii="Times New Roman" w:hAnsi="Times New Roman" w:eastAsia="Times New Roman" w:cs="Times New Roman"/>
                <w:spacing w:val="1"/>
                <w:sz w:val="20"/>
                <w:szCs w:val="20"/>
              </w:rPr>
              <w:t xml:space="preserve">6 </w:t>
            </w:r>
            <w:r>
              <w:rPr>
                <w:rFonts w:ascii="FangSong_GB2312" w:hAnsi="FangSong_GB2312" w:eastAsia="FangSong_GB2312" w:cs="FangSong_GB2312"/>
                <w:spacing w:val="1"/>
                <w:sz w:val="20"/>
                <w:szCs w:val="20"/>
              </w:rPr>
              <w:t>座</w:t>
            </w:r>
          </w:p>
        </w:tc>
        <w:tc>
          <w:tcPr>
            <w:tcW w:w="1551" w:type="dxa"/>
            <w:vAlign w:val="top"/>
          </w:tcPr>
          <w:p w14:paraId="70C8D623">
            <w:pPr>
              <w:spacing w:before="65" w:line="224" w:lineRule="auto"/>
              <w:ind w:left="228"/>
              <w:rPr>
                <w:rFonts w:ascii="Times New Roman" w:hAnsi="Times New Roman" w:eastAsia="Times New Roman" w:cs="Times New Roman"/>
                <w:sz w:val="20"/>
                <w:szCs w:val="20"/>
              </w:rPr>
            </w:pPr>
            <w:r>
              <w:rPr>
                <w:rFonts w:ascii="FangSong_GB2312" w:hAnsi="FangSong_GB2312" w:eastAsia="FangSong_GB2312" w:cs="FangSong_GB2312"/>
                <w:spacing w:val="2"/>
                <w:sz w:val="20"/>
                <w:szCs w:val="20"/>
              </w:rPr>
              <w:t>栽植灌木</w:t>
            </w:r>
            <w:r>
              <w:rPr>
                <w:rFonts w:ascii="FangSong_GB2312" w:hAnsi="FangSong_GB2312" w:eastAsia="FangSong_GB2312" w:cs="FangSong_GB2312"/>
                <w:spacing w:val="-17"/>
                <w:sz w:val="20"/>
                <w:szCs w:val="20"/>
              </w:rPr>
              <w:t xml:space="preserve"> </w:t>
            </w:r>
            <w:r>
              <w:rPr>
                <w:rFonts w:ascii="Times New Roman" w:hAnsi="Times New Roman" w:eastAsia="Times New Roman" w:cs="Times New Roman"/>
                <w:spacing w:val="2"/>
                <w:sz w:val="20"/>
                <w:szCs w:val="20"/>
              </w:rPr>
              <w:t>12</w:t>
            </w:r>
          </w:p>
          <w:p w14:paraId="133EA1FB">
            <w:pPr>
              <w:spacing w:before="78" w:line="224" w:lineRule="auto"/>
              <w:ind w:left="15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株、撒播草籽</w:t>
            </w:r>
          </w:p>
          <w:p w14:paraId="4F23678D">
            <w:pPr>
              <w:spacing w:before="101" w:line="216" w:lineRule="auto"/>
              <w:ind w:left="42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0.01</w:t>
            </w:r>
            <w:r>
              <w:rPr>
                <w:rFonts w:ascii="Times New Roman" w:hAnsi="Times New Roman" w:eastAsia="Times New Roman" w:cs="Times New Roman"/>
                <w:sz w:val="20"/>
                <w:szCs w:val="20"/>
              </w:rPr>
              <w:t>hm</w:t>
            </w:r>
            <w:r>
              <w:rPr>
                <w:rFonts w:ascii="Times New Roman" w:hAnsi="Times New Roman" w:eastAsia="Times New Roman" w:cs="Times New Roman"/>
                <w:spacing w:val="5"/>
                <w:position w:val="6"/>
                <w:sz w:val="13"/>
                <w:szCs w:val="13"/>
              </w:rPr>
              <w:t>2</w:t>
            </w:r>
          </w:p>
        </w:tc>
        <w:tc>
          <w:tcPr>
            <w:tcW w:w="2289" w:type="dxa"/>
            <w:vAlign w:val="top"/>
          </w:tcPr>
          <w:p w14:paraId="0F35BFCC">
            <w:pPr>
              <w:spacing w:line="360" w:lineRule="auto"/>
              <w:rPr>
                <w:rFonts w:ascii="Arial"/>
                <w:sz w:val="21"/>
              </w:rPr>
            </w:pPr>
          </w:p>
          <w:p w14:paraId="63E9AB09">
            <w:pPr>
              <w:spacing w:before="58"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F992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6" w:type="dxa"/>
            <w:vMerge w:val="restart"/>
            <w:tcBorders>
              <w:bottom w:val="nil"/>
            </w:tcBorders>
            <w:vAlign w:val="top"/>
          </w:tcPr>
          <w:p w14:paraId="0D11BE97">
            <w:pPr>
              <w:spacing w:line="252" w:lineRule="auto"/>
              <w:rPr>
                <w:rFonts w:ascii="Arial"/>
                <w:sz w:val="21"/>
              </w:rPr>
            </w:pPr>
          </w:p>
          <w:p w14:paraId="192A4384">
            <w:pPr>
              <w:spacing w:before="65" w:line="230" w:lineRule="auto"/>
              <w:ind w:left="133"/>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水土</w:t>
            </w:r>
          </w:p>
          <w:p w14:paraId="08A890E1">
            <w:pPr>
              <w:spacing w:before="77" w:line="223" w:lineRule="auto"/>
              <w:ind w:left="132"/>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保持</w:t>
            </w:r>
          </w:p>
          <w:p w14:paraId="73CAEC82">
            <w:pPr>
              <w:spacing w:before="81" w:line="222" w:lineRule="auto"/>
              <w:ind w:left="137"/>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投资</w:t>
            </w:r>
          </w:p>
          <w:p w14:paraId="53ACAA7C">
            <w:pPr>
              <w:spacing w:before="85" w:line="222" w:lineRule="auto"/>
              <w:ind w:left="136"/>
              <w:rPr>
                <w:rFonts w:ascii="FangSong_GB2312" w:hAnsi="FangSong_GB2312" w:eastAsia="FangSong_GB2312" w:cs="FangSong_GB2312"/>
                <w:sz w:val="20"/>
                <w:szCs w:val="20"/>
              </w:rPr>
            </w:pPr>
            <w:r>
              <w:rPr>
                <w:rFonts w:ascii="FangSong_GB2312" w:hAnsi="FangSong_GB2312" w:eastAsia="FangSong_GB2312" w:cs="FangSong_GB2312"/>
                <w:spacing w:val="3"/>
                <w:sz w:val="20"/>
                <w:szCs w:val="20"/>
              </w:rPr>
              <w:t>估算</w:t>
            </w:r>
          </w:p>
          <w:p w14:paraId="5C17E64C">
            <w:pPr>
              <w:spacing w:before="87" w:line="228" w:lineRule="auto"/>
              <w:ind w:left="130"/>
              <w:rPr>
                <w:rFonts w:ascii="FangSong_GB2312" w:hAnsi="FangSong_GB2312" w:eastAsia="FangSong_GB2312" w:cs="FangSong_GB2312"/>
                <w:sz w:val="20"/>
                <w:szCs w:val="20"/>
              </w:rPr>
            </w:pPr>
            <w:r>
              <w:rPr>
                <w:rFonts w:ascii="FangSong_GB2312" w:hAnsi="FangSong_GB2312" w:eastAsia="FangSong_GB2312" w:cs="FangSong_GB2312"/>
                <w:spacing w:val="11"/>
                <w:sz w:val="20"/>
                <w:szCs w:val="20"/>
              </w:rPr>
              <w:t>（万</w:t>
            </w:r>
          </w:p>
          <w:p w14:paraId="7EE0E54C">
            <w:pPr>
              <w:spacing w:before="79" w:line="225" w:lineRule="auto"/>
              <w:ind w:left="141"/>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元）</w:t>
            </w:r>
          </w:p>
        </w:tc>
        <w:tc>
          <w:tcPr>
            <w:tcW w:w="1690" w:type="dxa"/>
            <w:vAlign w:val="top"/>
          </w:tcPr>
          <w:p w14:paraId="370776C1">
            <w:pPr>
              <w:spacing w:before="186" w:line="222" w:lineRule="auto"/>
              <w:ind w:right="6"/>
              <w:jc w:val="right"/>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工程措施（万元）</w:t>
            </w:r>
          </w:p>
        </w:tc>
        <w:tc>
          <w:tcPr>
            <w:tcW w:w="3058" w:type="dxa"/>
            <w:vAlign w:val="top"/>
          </w:tcPr>
          <w:p w14:paraId="203C3BB0">
            <w:pPr>
              <w:spacing w:before="221" w:line="195" w:lineRule="auto"/>
              <w:ind w:left="1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1551" w:type="dxa"/>
            <w:vAlign w:val="top"/>
          </w:tcPr>
          <w:p w14:paraId="1092872F">
            <w:pPr>
              <w:spacing w:before="45" w:line="222" w:lineRule="auto"/>
              <w:ind w:left="148"/>
              <w:rPr>
                <w:rFonts w:ascii="FangSong_GB2312" w:hAnsi="FangSong_GB2312" w:eastAsia="FangSong_GB2312" w:cs="FangSong_GB2312"/>
                <w:sz w:val="20"/>
                <w:szCs w:val="20"/>
              </w:rPr>
            </w:pPr>
            <w:r>
              <w:rPr>
                <w:rFonts w:ascii="FangSong_GB2312" w:hAnsi="FangSong_GB2312" w:eastAsia="FangSong_GB2312" w:cs="FangSong_GB2312"/>
                <w:spacing w:val="10"/>
                <w:sz w:val="20"/>
                <w:szCs w:val="20"/>
              </w:rPr>
              <w:t>植物措施（万</w:t>
            </w:r>
          </w:p>
          <w:p w14:paraId="7D13B883">
            <w:pPr>
              <w:spacing w:before="40" w:line="210" w:lineRule="auto"/>
              <w:ind w:left="581"/>
              <w:rPr>
                <w:rFonts w:ascii="FangSong_GB2312" w:hAnsi="FangSong_GB2312" w:eastAsia="FangSong_GB2312" w:cs="FangSong_GB2312"/>
                <w:sz w:val="20"/>
                <w:szCs w:val="20"/>
              </w:rPr>
            </w:pPr>
            <w:r>
              <w:rPr>
                <w:rFonts w:ascii="FangSong_GB2312" w:hAnsi="FangSong_GB2312" w:eastAsia="FangSong_GB2312" w:cs="FangSong_GB2312"/>
                <w:spacing w:val="-2"/>
                <w:sz w:val="20"/>
                <w:szCs w:val="20"/>
              </w:rPr>
              <w:t>元）</w:t>
            </w:r>
          </w:p>
        </w:tc>
        <w:tc>
          <w:tcPr>
            <w:tcW w:w="2289" w:type="dxa"/>
            <w:vAlign w:val="top"/>
          </w:tcPr>
          <w:p w14:paraId="2CD7871C">
            <w:pPr>
              <w:spacing w:before="221" w:line="195"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65CC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6" w:type="dxa"/>
            <w:vMerge w:val="continue"/>
            <w:tcBorders>
              <w:top w:val="nil"/>
              <w:bottom w:val="nil"/>
            </w:tcBorders>
            <w:vAlign w:val="top"/>
          </w:tcPr>
          <w:p w14:paraId="3D44B0CC">
            <w:pPr>
              <w:rPr>
                <w:rFonts w:ascii="Arial"/>
                <w:sz w:val="21"/>
              </w:rPr>
            </w:pPr>
          </w:p>
        </w:tc>
        <w:tc>
          <w:tcPr>
            <w:tcW w:w="1690" w:type="dxa"/>
            <w:vAlign w:val="top"/>
          </w:tcPr>
          <w:p w14:paraId="1EBA25FD">
            <w:pPr>
              <w:spacing w:before="186" w:line="222" w:lineRule="auto"/>
              <w:ind w:right="6"/>
              <w:jc w:val="right"/>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临时措施（万元）</w:t>
            </w:r>
          </w:p>
        </w:tc>
        <w:tc>
          <w:tcPr>
            <w:tcW w:w="3058" w:type="dxa"/>
            <w:vAlign w:val="top"/>
          </w:tcPr>
          <w:p w14:paraId="6FA7C7B8">
            <w:pPr>
              <w:spacing w:before="221" w:line="195" w:lineRule="auto"/>
              <w:ind w:left="1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551" w:type="dxa"/>
            <w:vAlign w:val="top"/>
          </w:tcPr>
          <w:p w14:paraId="1FA346E6">
            <w:pPr>
              <w:spacing w:before="47" w:line="234" w:lineRule="auto"/>
              <w:ind w:left="269" w:right="142" w:hanging="117"/>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水土保持补偿</w:t>
            </w:r>
            <w:r>
              <w:rPr>
                <w:rFonts w:ascii="FangSong_GB2312" w:hAnsi="FangSong_GB2312" w:eastAsia="FangSong_GB2312" w:cs="FangSong_GB2312"/>
                <w:spacing w:val="4"/>
                <w:sz w:val="20"/>
                <w:szCs w:val="20"/>
              </w:rPr>
              <w:t>费（万元）</w:t>
            </w:r>
          </w:p>
        </w:tc>
        <w:tc>
          <w:tcPr>
            <w:tcW w:w="2289" w:type="dxa"/>
            <w:vAlign w:val="top"/>
          </w:tcPr>
          <w:p w14:paraId="5348AFE8">
            <w:pPr>
              <w:spacing w:before="187" w:line="225" w:lineRule="auto"/>
              <w:ind w:right="7"/>
              <w:jc w:val="right"/>
              <w:rPr>
                <w:rFonts w:ascii="FangSong_GB2312" w:hAnsi="FangSong_GB2312" w:eastAsia="FangSong_GB2312" w:cs="FangSong_GB2312"/>
                <w:sz w:val="20"/>
                <w:szCs w:val="20"/>
              </w:rPr>
            </w:pPr>
            <w:r>
              <w:rPr>
                <w:rFonts w:ascii="Times New Roman" w:hAnsi="Times New Roman" w:eastAsia="Times New Roman" w:cs="Times New Roman"/>
                <w:spacing w:val="1"/>
                <w:sz w:val="20"/>
                <w:szCs w:val="20"/>
              </w:rPr>
              <w:t>0.06</w:t>
            </w:r>
            <w:r>
              <w:rPr>
                <w:rFonts w:ascii="Times New Roman" w:hAnsi="Times New Roman" w:eastAsia="Times New Roman" w:cs="Times New Roman"/>
                <w:spacing w:val="28"/>
                <w:w w:val="101"/>
                <w:sz w:val="20"/>
                <w:szCs w:val="20"/>
              </w:rPr>
              <w:t xml:space="preserve"> </w:t>
            </w:r>
            <w:r>
              <w:rPr>
                <w:rFonts w:ascii="FangSong_GB2312" w:hAnsi="FangSong_GB2312" w:eastAsia="FangSong_GB2312" w:cs="FangSong_GB2312"/>
                <w:spacing w:val="1"/>
                <w:sz w:val="20"/>
                <w:szCs w:val="20"/>
              </w:rPr>
              <w:t>万元（</w:t>
            </w:r>
            <w:r>
              <w:rPr>
                <w:rFonts w:ascii="Times New Roman" w:hAnsi="Times New Roman" w:eastAsia="Times New Roman" w:cs="Times New Roman"/>
                <w:spacing w:val="1"/>
                <w:sz w:val="20"/>
                <w:szCs w:val="20"/>
              </w:rPr>
              <w:t>641.199</w:t>
            </w:r>
            <w:r>
              <w:rPr>
                <w:rFonts w:ascii="Times New Roman" w:hAnsi="Times New Roman" w:eastAsia="Times New Roman" w:cs="Times New Roman"/>
                <w:spacing w:val="17"/>
                <w:sz w:val="20"/>
                <w:szCs w:val="20"/>
              </w:rPr>
              <w:t xml:space="preserve"> </w:t>
            </w:r>
            <w:r>
              <w:rPr>
                <w:rFonts w:ascii="FangSong_GB2312" w:hAnsi="FangSong_GB2312" w:eastAsia="FangSong_GB2312" w:cs="FangSong_GB2312"/>
                <w:spacing w:val="1"/>
                <w:sz w:val="20"/>
                <w:szCs w:val="20"/>
              </w:rPr>
              <w:t>元）</w:t>
            </w:r>
          </w:p>
        </w:tc>
      </w:tr>
      <w:tr w14:paraId="07703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76" w:type="dxa"/>
            <w:vMerge w:val="continue"/>
            <w:tcBorders>
              <w:top w:val="nil"/>
              <w:bottom w:val="nil"/>
            </w:tcBorders>
            <w:vAlign w:val="top"/>
          </w:tcPr>
          <w:p w14:paraId="1A1C771C">
            <w:pPr>
              <w:rPr>
                <w:rFonts w:ascii="Arial"/>
                <w:sz w:val="21"/>
              </w:rPr>
            </w:pPr>
          </w:p>
        </w:tc>
        <w:tc>
          <w:tcPr>
            <w:tcW w:w="1690" w:type="dxa"/>
            <w:vMerge w:val="restart"/>
            <w:tcBorders>
              <w:bottom w:val="nil"/>
            </w:tcBorders>
            <w:vAlign w:val="top"/>
          </w:tcPr>
          <w:p w14:paraId="368EAA95">
            <w:pPr>
              <w:spacing w:line="340" w:lineRule="auto"/>
              <w:rPr>
                <w:rFonts w:ascii="Arial"/>
                <w:sz w:val="21"/>
              </w:rPr>
            </w:pPr>
          </w:p>
          <w:p w14:paraId="72C6F497">
            <w:pPr>
              <w:spacing w:before="65" w:line="222" w:lineRule="auto"/>
              <w:ind w:right="6"/>
              <w:jc w:val="right"/>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独立费用（万元）</w:t>
            </w:r>
          </w:p>
        </w:tc>
        <w:tc>
          <w:tcPr>
            <w:tcW w:w="3058" w:type="dxa"/>
            <w:vAlign w:val="top"/>
          </w:tcPr>
          <w:p w14:paraId="22F0DADD">
            <w:pPr>
              <w:spacing w:before="71" w:line="222" w:lineRule="auto"/>
              <w:ind w:left="589"/>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建设管理费（万元）</w:t>
            </w:r>
          </w:p>
        </w:tc>
        <w:tc>
          <w:tcPr>
            <w:tcW w:w="1551" w:type="dxa"/>
            <w:vAlign w:val="top"/>
          </w:tcPr>
          <w:p w14:paraId="1CC1631F">
            <w:pPr>
              <w:spacing w:before="96"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2289" w:type="dxa"/>
            <w:vMerge w:val="restart"/>
            <w:tcBorders>
              <w:bottom w:val="nil"/>
            </w:tcBorders>
            <w:vAlign w:val="top"/>
          </w:tcPr>
          <w:p w14:paraId="59BEDE66">
            <w:pPr>
              <w:spacing w:line="382" w:lineRule="auto"/>
              <w:rPr>
                <w:rFonts w:ascii="Arial"/>
                <w:sz w:val="21"/>
              </w:rPr>
            </w:pPr>
          </w:p>
          <w:p w14:paraId="55A7C53A">
            <w:pPr>
              <w:spacing w:before="58" w:line="195" w:lineRule="auto"/>
              <w:ind w:left="9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r>
      <w:tr w14:paraId="5BF44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76" w:type="dxa"/>
            <w:vMerge w:val="continue"/>
            <w:tcBorders>
              <w:top w:val="nil"/>
              <w:bottom w:val="nil"/>
            </w:tcBorders>
            <w:vAlign w:val="top"/>
          </w:tcPr>
          <w:p w14:paraId="06448CD3">
            <w:pPr>
              <w:rPr>
                <w:rFonts w:ascii="Arial"/>
                <w:sz w:val="21"/>
              </w:rPr>
            </w:pPr>
          </w:p>
        </w:tc>
        <w:tc>
          <w:tcPr>
            <w:tcW w:w="1690" w:type="dxa"/>
            <w:vMerge w:val="continue"/>
            <w:tcBorders>
              <w:top w:val="nil"/>
              <w:bottom w:val="nil"/>
            </w:tcBorders>
            <w:vAlign w:val="top"/>
          </w:tcPr>
          <w:p w14:paraId="5BE3EAAB">
            <w:pPr>
              <w:rPr>
                <w:rFonts w:ascii="Arial"/>
                <w:sz w:val="21"/>
              </w:rPr>
            </w:pPr>
          </w:p>
        </w:tc>
        <w:tc>
          <w:tcPr>
            <w:tcW w:w="3058" w:type="dxa"/>
            <w:vAlign w:val="top"/>
          </w:tcPr>
          <w:p w14:paraId="235DA637">
            <w:pPr>
              <w:spacing w:before="71"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科研勘测设计费（万元）</w:t>
            </w:r>
          </w:p>
        </w:tc>
        <w:tc>
          <w:tcPr>
            <w:tcW w:w="1551" w:type="dxa"/>
            <w:vAlign w:val="top"/>
          </w:tcPr>
          <w:p w14:paraId="5546CDBF">
            <w:pPr>
              <w:spacing w:before="96" w:line="195"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2289" w:type="dxa"/>
            <w:vMerge w:val="continue"/>
            <w:tcBorders>
              <w:top w:val="nil"/>
              <w:bottom w:val="nil"/>
            </w:tcBorders>
            <w:vAlign w:val="top"/>
          </w:tcPr>
          <w:p w14:paraId="45F665D7">
            <w:pPr>
              <w:rPr>
                <w:rFonts w:ascii="Arial"/>
                <w:sz w:val="21"/>
              </w:rPr>
            </w:pPr>
          </w:p>
        </w:tc>
      </w:tr>
      <w:tr w14:paraId="6AAD3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676" w:type="dxa"/>
            <w:vMerge w:val="continue"/>
            <w:tcBorders>
              <w:top w:val="nil"/>
              <w:bottom w:val="nil"/>
            </w:tcBorders>
            <w:vAlign w:val="top"/>
          </w:tcPr>
          <w:p w14:paraId="0AC09937">
            <w:pPr>
              <w:rPr>
                <w:rFonts w:ascii="Arial"/>
                <w:sz w:val="21"/>
              </w:rPr>
            </w:pPr>
          </w:p>
        </w:tc>
        <w:tc>
          <w:tcPr>
            <w:tcW w:w="1690" w:type="dxa"/>
            <w:vMerge w:val="continue"/>
            <w:tcBorders>
              <w:top w:val="nil"/>
            </w:tcBorders>
            <w:vAlign w:val="top"/>
          </w:tcPr>
          <w:p w14:paraId="58B57270">
            <w:pPr>
              <w:rPr>
                <w:rFonts w:ascii="Arial"/>
                <w:sz w:val="21"/>
              </w:rPr>
            </w:pPr>
          </w:p>
        </w:tc>
        <w:tc>
          <w:tcPr>
            <w:tcW w:w="3058" w:type="dxa"/>
            <w:vAlign w:val="top"/>
          </w:tcPr>
          <w:p w14:paraId="3E953202">
            <w:pPr>
              <w:spacing w:before="71" w:line="222" w:lineRule="auto"/>
              <w:ind w:left="378"/>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水土保持监理费（万元）</w:t>
            </w:r>
          </w:p>
        </w:tc>
        <w:tc>
          <w:tcPr>
            <w:tcW w:w="1551" w:type="dxa"/>
            <w:vAlign w:val="top"/>
          </w:tcPr>
          <w:p w14:paraId="1FB8BAA9">
            <w:pPr>
              <w:spacing w:before="96"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p>
        </w:tc>
        <w:tc>
          <w:tcPr>
            <w:tcW w:w="2289" w:type="dxa"/>
            <w:vMerge w:val="continue"/>
            <w:tcBorders>
              <w:top w:val="nil"/>
            </w:tcBorders>
            <w:vAlign w:val="top"/>
          </w:tcPr>
          <w:p w14:paraId="60B6F9B5">
            <w:pPr>
              <w:rPr>
                <w:rFonts w:ascii="Arial"/>
                <w:sz w:val="21"/>
              </w:rPr>
            </w:pPr>
          </w:p>
        </w:tc>
      </w:tr>
      <w:tr w14:paraId="6DEF8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76" w:type="dxa"/>
            <w:vMerge w:val="continue"/>
            <w:tcBorders>
              <w:top w:val="nil"/>
            </w:tcBorders>
            <w:vAlign w:val="top"/>
          </w:tcPr>
          <w:p w14:paraId="2D684A41">
            <w:pPr>
              <w:rPr>
                <w:rFonts w:ascii="Arial"/>
                <w:sz w:val="21"/>
              </w:rPr>
            </w:pPr>
          </w:p>
        </w:tc>
        <w:tc>
          <w:tcPr>
            <w:tcW w:w="1690" w:type="dxa"/>
            <w:vAlign w:val="top"/>
          </w:tcPr>
          <w:p w14:paraId="473060E0">
            <w:pPr>
              <w:spacing w:before="71" w:line="222" w:lineRule="auto"/>
              <w:ind w:left="127"/>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总投资（万元）</w:t>
            </w:r>
          </w:p>
        </w:tc>
        <w:tc>
          <w:tcPr>
            <w:tcW w:w="6898" w:type="dxa"/>
            <w:gridSpan w:val="3"/>
            <w:vAlign w:val="top"/>
          </w:tcPr>
          <w:p w14:paraId="33AF1454">
            <w:pPr>
              <w:spacing w:before="106" w:line="195" w:lineRule="auto"/>
              <w:ind w:left="3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6.29</w:t>
            </w:r>
          </w:p>
        </w:tc>
      </w:tr>
      <w:tr w14:paraId="04D9B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66" w:type="dxa"/>
            <w:gridSpan w:val="2"/>
            <w:vAlign w:val="top"/>
          </w:tcPr>
          <w:p w14:paraId="73FF2D22">
            <w:pPr>
              <w:spacing w:before="188" w:line="222" w:lineRule="auto"/>
              <w:ind w:left="768"/>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编制单位</w:t>
            </w:r>
          </w:p>
        </w:tc>
        <w:tc>
          <w:tcPr>
            <w:tcW w:w="3058" w:type="dxa"/>
            <w:vAlign w:val="top"/>
          </w:tcPr>
          <w:p w14:paraId="1678308A">
            <w:pPr>
              <w:spacing w:before="49" w:line="223" w:lineRule="auto"/>
              <w:ind w:left="17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剑阁县绿森林业勘察设计有限</w:t>
            </w:r>
          </w:p>
          <w:p w14:paraId="48A73D62">
            <w:pPr>
              <w:spacing w:before="36" w:line="209" w:lineRule="auto"/>
              <w:ind w:left="1324"/>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公司</w:t>
            </w:r>
          </w:p>
        </w:tc>
        <w:tc>
          <w:tcPr>
            <w:tcW w:w="1551" w:type="dxa"/>
            <w:vAlign w:val="top"/>
          </w:tcPr>
          <w:p w14:paraId="340C0154">
            <w:pPr>
              <w:spacing w:before="188" w:line="222" w:lineRule="auto"/>
              <w:ind w:left="360"/>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建设单位</w:t>
            </w:r>
          </w:p>
        </w:tc>
        <w:tc>
          <w:tcPr>
            <w:tcW w:w="2289" w:type="dxa"/>
            <w:vAlign w:val="top"/>
          </w:tcPr>
          <w:p w14:paraId="4308F313">
            <w:pPr>
              <w:spacing w:before="49" w:line="222" w:lineRule="auto"/>
              <w:ind w:left="210"/>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剑阁县义兴镇人民政</w:t>
            </w:r>
          </w:p>
          <w:p w14:paraId="1EF0516F">
            <w:pPr>
              <w:spacing w:before="37" w:line="209" w:lineRule="auto"/>
              <w:ind w:left="1047"/>
              <w:rPr>
                <w:rFonts w:ascii="FangSong_GB2312" w:hAnsi="FangSong_GB2312" w:eastAsia="FangSong_GB2312" w:cs="FangSong_GB2312"/>
                <w:sz w:val="20"/>
                <w:szCs w:val="20"/>
              </w:rPr>
            </w:pPr>
            <w:r>
              <w:rPr>
                <w:rFonts w:ascii="FangSong_GB2312" w:hAnsi="FangSong_GB2312" w:eastAsia="FangSong_GB2312" w:cs="FangSong_GB2312"/>
                <w:sz w:val="20"/>
                <w:szCs w:val="20"/>
              </w:rPr>
              <w:t>府</w:t>
            </w:r>
          </w:p>
        </w:tc>
      </w:tr>
      <w:tr w14:paraId="2FFD6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366" w:type="dxa"/>
            <w:gridSpan w:val="2"/>
            <w:vAlign w:val="top"/>
          </w:tcPr>
          <w:p w14:paraId="0D307C8A">
            <w:pPr>
              <w:spacing w:before="187" w:line="225" w:lineRule="auto"/>
              <w:ind w:left="461"/>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法人代表及电话</w:t>
            </w:r>
          </w:p>
        </w:tc>
        <w:tc>
          <w:tcPr>
            <w:tcW w:w="3058" w:type="dxa"/>
            <w:vAlign w:val="top"/>
          </w:tcPr>
          <w:p w14:paraId="2E6A9714">
            <w:pPr>
              <w:spacing w:before="181" w:line="224" w:lineRule="auto"/>
              <w:ind w:left="681"/>
              <w:rPr>
                <w:rFonts w:ascii="Times New Roman" w:hAnsi="Times New Roman" w:eastAsia="Times New Roman" w:cs="Times New Roman"/>
                <w:sz w:val="20"/>
                <w:szCs w:val="20"/>
              </w:rPr>
            </w:pPr>
            <w:r>
              <w:rPr>
                <w:rFonts w:ascii="FangSong_GB2312" w:hAnsi="FangSong_GB2312" w:eastAsia="FangSong_GB2312" w:cs="FangSong_GB2312"/>
                <w:spacing w:val="5"/>
                <w:sz w:val="20"/>
                <w:szCs w:val="20"/>
              </w:rPr>
              <w:t>邓文章</w:t>
            </w:r>
            <w:r>
              <w:rPr>
                <w:rFonts w:ascii="Times New Roman" w:hAnsi="Times New Roman" w:eastAsia="Times New Roman" w:cs="Times New Roman"/>
                <w:spacing w:val="5"/>
                <w:sz w:val="20"/>
                <w:szCs w:val="20"/>
              </w:rPr>
              <w:t>/0839-6602199</w:t>
            </w:r>
          </w:p>
        </w:tc>
        <w:tc>
          <w:tcPr>
            <w:tcW w:w="1551" w:type="dxa"/>
            <w:vAlign w:val="top"/>
          </w:tcPr>
          <w:p w14:paraId="0B4735D3">
            <w:pPr>
              <w:spacing w:before="50" w:line="233" w:lineRule="auto"/>
              <w:ind w:left="676" w:right="142" w:hanging="515"/>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法人代表及电</w:t>
            </w:r>
            <w:r>
              <w:rPr>
                <w:rFonts w:ascii="FangSong_GB2312" w:hAnsi="FangSong_GB2312" w:eastAsia="FangSong_GB2312" w:cs="FangSong_GB2312"/>
                <w:sz w:val="20"/>
                <w:szCs w:val="20"/>
              </w:rPr>
              <w:t>话</w:t>
            </w:r>
          </w:p>
        </w:tc>
        <w:tc>
          <w:tcPr>
            <w:tcW w:w="2289" w:type="dxa"/>
            <w:vAlign w:val="top"/>
          </w:tcPr>
          <w:p w14:paraId="1A502DB1">
            <w:pPr>
              <w:spacing w:before="180" w:line="222" w:lineRule="auto"/>
              <w:ind w:left="196"/>
              <w:rPr>
                <w:rFonts w:ascii="Times New Roman" w:hAnsi="Times New Roman" w:eastAsia="Times New Roman" w:cs="Times New Roman"/>
                <w:sz w:val="20"/>
                <w:szCs w:val="20"/>
              </w:rPr>
            </w:pPr>
            <w:r>
              <w:rPr>
                <w:rFonts w:ascii="FangSong_GB2312" w:hAnsi="FangSong_GB2312" w:eastAsia="FangSong_GB2312" w:cs="FangSong_GB2312"/>
                <w:spacing w:val="5"/>
                <w:sz w:val="20"/>
                <w:szCs w:val="20"/>
              </w:rPr>
              <w:t>李康先</w:t>
            </w:r>
            <w:r>
              <w:rPr>
                <w:rFonts w:ascii="Times New Roman" w:hAnsi="Times New Roman" w:eastAsia="Times New Roman" w:cs="Times New Roman"/>
                <w:spacing w:val="5"/>
                <w:sz w:val="20"/>
                <w:szCs w:val="20"/>
              </w:rPr>
              <w:t>/0839-6376002</w:t>
            </w:r>
          </w:p>
        </w:tc>
      </w:tr>
      <w:tr w14:paraId="51EE9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2366" w:type="dxa"/>
            <w:gridSpan w:val="2"/>
            <w:vAlign w:val="top"/>
          </w:tcPr>
          <w:p w14:paraId="3169D936">
            <w:pPr>
              <w:spacing w:line="261" w:lineRule="auto"/>
              <w:rPr>
                <w:rFonts w:ascii="Arial"/>
                <w:sz w:val="21"/>
              </w:rPr>
            </w:pPr>
          </w:p>
          <w:p w14:paraId="6317052D">
            <w:pPr>
              <w:spacing w:before="65" w:line="228" w:lineRule="auto"/>
              <w:ind w:left="977"/>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3058" w:type="dxa"/>
            <w:vAlign w:val="top"/>
          </w:tcPr>
          <w:p w14:paraId="3C01A8D2">
            <w:pPr>
              <w:spacing w:before="189" w:line="222" w:lineRule="auto"/>
              <w:ind w:left="175"/>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剑阁县下寺镇修城社区汉德街</w:t>
            </w:r>
          </w:p>
          <w:p w14:paraId="422059D5">
            <w:pPr>
              <w:spacing w:before="40" w:line="225" w:lineRule="auto"/>
              <w:ind w:left="1262"/>
              <w:rPr>
                <w:rFonts w:ascii="FangSong_GB2312" w:hAnsi="FangSong_GB2312" w:eastAsia="FangSong_GB2312" w:cs="FangSong_GB2312"/>
                <w:sz w:val="20"/>
                <w:szCs w:val="20"/>
              </w:rPr>
            </w:pPr>
            <w:r>
              <w:rPr>
                <w:rFonts w:ascii="Times New Roman" w:hAnsi="Times New Roman" w:eastAsia="Times New Roman" w:cs="Times New Roman"/>
                <w:spacing w:val="-3"/>
                <w:sz w:val="20"/>
                <w:szCs w:val="20"/>
              </w:rPr>
              <w:t>135</w:t>
            </w:r>
            <w:r>
              <w:rPr>
                <w:rFonts w:ascii="Times New Roman" w:hAnsi="Times New Roman" w:eastAsia="Times New Roman" w:cs="Times New Roman"/>
                <w:spacing w:val="20"/>
                <w:w w:val="101"/>
                <w:sz w:val="20"/>
                <w:szCs w:val="20"/>
              </w:rPr>
              <w:t xml:space="preserve"> </w:t>
            </w:r>
            <w:r>
              <w:rPr>
                <w:rFonts w:ascii="FangSong_GB2312" w:hAnsi="FangSong_GB2312" w:eastAsia="FangSong_GB2312" w:cs="FangSong_GB2312"/>
                <w:spacing w:val="-3"/>
                <w:sz w:val="20"/>
                <w:szCs w:val="20"/>
              </w:rPr>
              <w:t>号</w:t>
            </w:r>
          </w:p>
        </w:tc>
        <w:tc>
          <w:tcPr>
            <w:tcW w:w="1551" w:type="dxa"/>
            <w:vAlign w:val="top"/>
          </w:tcPr>
          <w:p w14:paraId="4413A977">
            <w:pPr>
              <w:spacing w:line="261" w:lineRule="auto"/>
              <w:rPr>
                <w:rFonts w:ascii="Arial"/>
                <w:sz w:val="21"/>
              </w:rPr>
            </w:pPr>
          </w:p>
          <w:p w14:paraId="2B1308FB">
            <w:pPr>
              <w:spacing w:before="65" w:line="228" w:lineRule="auto"/>
              <w:ind w:left="572"/>
              <w:rPr>
                <w:rFonts w:ascii="FangSong_GB2312" w:hAnsi="FangSong_GB2312" w:eastAsia="FangSong_GB2312" w:cs="FangSong_GB2312"/>
                <w:sz w:val="20"/>
                <w:szCs w:val="20"/>
              </w:rPr>
            </w:pPr>
            <w:r>
              <w:rPr>
                <w:rFonts w:ascii="FangSong_GB2312" w:hAnsi="FangSong_GB2312" w:eastAsia="FangSong_GB2312" w:cs="FangSong_GB2312"/>
                <w:spacing w:val="5"/>
                <w:sz w:val="20"/>
                <w:szCs w:val="20"/>
              </w:rPr>
              <w:t>地址</w:t>
            </w:r>
          </w:p>
        </w:tc>
        <w:tc>
          <w:tcPr>
            <w:tcW w:w="2289" w:type="dxa"/>
            <w:vAlign w:val="top"/>
          </w:tcPr>
          <w:p w14:paraId="67CA503F">
            <w:pPr>
              <w:spacing w:before="50" w:line="224" w:lineRule="auto"/>
              <w:ind w:left="230"/>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四川省广元市剑阁县</w:t>
            </w:r>
          </w:p>
          <w:p w14:paraId="671179C3">
            <w:pPr>
              <w:spacing w:before="35" w:line="222" w:lineRule="auto"/>
              <w:ind w:left="212"/>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义兴镇新星社区感恩</w:t>
            </w:r>
          </w:p>
          <w:p w14:paraId="3070FF08">
            <w:pPr>
              <w:spacing w:before="40" w:line="207" w:lineRule="auto"/>
              <w:ind w:left="831"/>
              <w:rPr>
                <w:rFonts w:ascii="FangSong_GB2312" w:hAnsi="FangSong_GB2312" w:eastAsia="FangSong_GB2312" w:cs="FangSong_GB2312"/>
                <w:sz w:val="20"/>
                <w:szCs w:val="20"/>
              </w:rPr>
            </w:pPr>
            <w:r>
              <w:rPr>
                <w:rFonts w:ascii="FangSong_GB2312" w:hAnsi="FangSong_GB2312" w:eastAsia="FangSong_GB2312" w:cs="FangSong_GB2312"/>
                <w:spacing w:val="-6"/>
                <w:sz w:val="20"/>
                <w:szCs w:val="20"/>
              </w:rPr>
              <w:t>街</w:t>
            </w:r>
            <w:r>
              <w:rPr>
                <w:rFonts w:ascii="FangSong_GB2312" w:hAnsi="FangSong_GB2312" w:eastAsia="FangSong_GB2312" w:cs="FangSong_GB2312"/>
                <w:spacing w:val="-22"/>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1"/>
                <w:sz w:val="20"/>
                <w:szCs w:val="20"/>
              </w:rPr>
              <w:t xml:space="preserve"> </w:t>
            </w:r>
            <w:r>
              <w:rPr>
                <w:rFonts w:ascii="FangSong_GB2312" w:hAnsi="FangSong_GB2312" w:eastAsia="FangSong_GB2312" w:cs="FangSong_GB2312"/>
                <w:spacing w:val="-6"/>
                <w:sz w:val="20"/>
                <w:szCs w:val="20"/>
              </w:rPr>
              <w:t>号</w:t>
            </w:r>
          </w:p>
        </w:tc>
      </w:tr>
      <w:tr w14:paraId="284C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2366" w:type="dxa"/>
            <w:gridSpan w:val="2"/>
            <w:vAlign w:val="top"/>
          </w:tcPr>
          <w:p w14:paraId="4264F5BD">
            <w:pPr>
              <w:spacing w:before="72" w:line="222" w:lineRule="auto"/>
              <w:ind w:left="988"/>
              <w:rPr>
                <w:rFonts w:ascii="FangSong_GB2312" w:hAnsi="FangSong_GB2312" w:eastAsia="FangSong_GB2312" w:cs="FangSong_GB2312"/>
                <w:sz w:val="20"/>
                <w:szCs w:val="20"/>
              </w:rPr>
            </w:pPr>
            <w:r>
              <w:rPr>
                <w:rFonts w:ascii="FangSong_GB2312" w:hAnsi="FangSong_GB2312" w:eastAsia="FangSong_GB2312" w:cs="FangSong_GB2312"/>
                <w:sz w:val="20"/>
                <w:szCs w:val="20"/>
              </w:rPr>
              <w:t>邮编</w:t>
            </w:r>
          </w:p>
        </w:tc>
        <w:tc>
          <w:tcPr>
            <w:tcW w:w="3058" w:type="dxa"/>
            <w:vAlign w:val="top"/>
          </w:tcPr>
          <w:p w14:paraId="327CC058">
            <w:pPr>
              <w:spacing w:before="100" w:line="195" w:lineRule="auto"/>
              <w:ind w:left="1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628300</w:t>
            </w:r>
          </w:p>
        </w:tc>
        <w:tc>
          <w:tcPr>
            <w:tcW w:w="1551" w:type="dxa"/>
            <w:vAlign w:val="top"/>
          </w:tcPr>
          <w:p w14:paraId="160C557A">
            <w:pPr>
              <w:spacing w:before="72" w:line="222" w:lineRule="auto"/>
              <w:ind w:left="582"/>
              <w:rPr>
                <w:rFonts w:ascii="FangSong_GB2312" w:hAnsi="FangSong_GB2312" w:eastAsia="FangSong_GB2312" w:cs="FangSong_GB2312"/>
                <w:sz w:val="20"/>
                <w:szCs w:val="20"/>
              </w:rPr>
            </w:pPr>
            <w:r>
              <w:rPr>
                <w:rFonts w:ascii="FangSong_GB2312" w:hAnsi="FangSong_GB2312" w:eastAsia="FangSong_GB2312" w:cs="FangSong_GB2312"/>
                <w:sz w:val="20"/>
                <w:szCs w:val="20"/>
              </w:rPr>
              <w:t>邮编</w:t>
            </w:r>
          </w:p>
        </w:tc>
        <w:tc>
          <w:tcPr>
            <w:tcW w:w="2289" w:type="dxa"/>
            <w:vAlign w:val="top"/>
          </w:tcPr>
          <w:p w14:paraId="4B4CB2DB">
            <w:pPr>
              <w:spacing w:before="107" w:line="195" w:lineRule="auto"/>
              <w:ind w:left="8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628304</w:t>
            </w:r>
          </w:p>
        </w:tc>
      </w:tr>
      <w:tr w14:paraId="5DDEA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366" w:type="dxa"/>
            <w:gridSpan w:val="2"/>
            <w:vAlign w:val="top"/>
          </w:tcPr>
          <w:p w14:paraId="2FD49C0A">
            <w:pPr>
              <w:spacing w:before="129" w:line="222" w:lineRule="auto"/>
              <w:ind w:left="559"/>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联系人及电话</w:t>
            </w:r>
          </w:p>
        </w:tc>
        <w:tc>
          <w:tcPr>
            <w:tcW w:w="3058" w:type="dxa"/>
            <w:vAlign w:val="top"/>
          </w:tcPr>
          <w:p w14:paraId="6CB52432">
            <w:pPr>
              <w:spacing w:before="122" w:line="224" w:lineRule="auto"/>
              <w:ind w:left="681"/>
              <w:rPr>
                <w:rFonts w:ascii="Times New Roman" w:hAnsi="Times New Roman" w:eastAsia="Times New Roman" w:cs="Times New Roman"/>
                <w:sz w:val="20"/>
                <w:szCs w:val="20"/>
              </w:rPr>
            </w:pPr>
            <w:r>
              <w:rPr>
                <w:rFonts w:ascii="FangSong_GB2312" w:hAnsi="FangSong_GB2312" w:eastAsia="FangSong_GB2312" w:cs="FangSong_GB2312"/>
                <w:spacing w:val="5"/>
                <w:sz w:val="20"/>
                <w:szCs w:val="20"/>
              </w:rPr>
              <w:t>邓文章</w:t>
            </w:r>
            <w:r>
              <w:rPr>
                <w:rFonts w:ascii="Times New Roman" w:hAnsi="Times New Roman" w:eastAsia="Times New Roman" w:cs="Times New Roman"/>
                <w:spacing w:val="5"/>
                <w:sz w:val="20"/>
                <w:szCs w:val="20"/>
              </w:rPr>
              <w:t>/0839-6602199</w:t>
            </w:r>
          </w:p>
        </w:tc>
        <w:tc>
          <w:tcPr>
            <w:tcW w:w="1551" w:type="dxa"/>
            <w:vAlign w:val="top"/>
          </w:tcPr>
          <w:p w14:paraId="2CF4E1A2">
            <w:pPr>
              <w:spacing w:before="122" w:line="222" w:lineRule="auto"/>
              <w:ind w:left="153"/>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联系人及电话</w:t>
            </w:r>
          </w:p>
        </w:tc>
        <w:tc>
          <w:tcPr>
            <w:tcW w:w="2289" w:type="dxa"/>
            <w:vAlign w:val="top"/>
          </w:tcPr>
          <w:p w14:paraId="015C8736">
            <w:pPr>
              <w:spacing w:before="123" w:line="223" w:lineRule="auto"/>
              <w:ind w:left="127"/>
              <w:rPr>
                <w:rFonts w:ascii="Times New Roman" w:hAnsi="Times New Roman" w:eastAsia="Times New Roman" w:cs="Times New Roman"/>
                <w:sz w:val="20"/>
                <w:szCs w:val="20"/>
              </w:rPr>
            </w:pPr>
            <w:r>
              <w:rPr>
                <w:rFonts w:ascii="FangSong_GB2312" w:hAnsi="FangSong_GB2312" w:eastAsia="FangSong_GB2312" w:cs="FangSong_GB2312"/>
                <w:spacing w:val="4"/>
                <w:sz w:val="20"/>
                <w:szCs w:val="20"/>
              </w:rPr>
              <w:t>张继生</w:t>
            </w:r>
            <w:r>
              <w:rPr>
                <w:rFonts w:ascii="Times New Roman" w:hAnsi="Times New Roman" w:eastAsia="Times New Roman" w:cs="Times New Roman"/>
                <w:spacing w:val="4"/>
                <w:sz w:val="20"/>
                <w:szCs w:val="20"/>
              </w:rPr>
              <w:t>/ 0839-6376002</w:t>
            </w:r>
          </w:p>
        </w:tc>
      </w:tr>
      <w:tr w14:paraId="15BEA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366" w:type="dxa"/>
            <w:gridSpan w:val="2"/>
            <w:vAlign w:val="top"/>
          </w:tcPr>
          <w:p w14:paraId="3B967EFC">
            <w:pPr>
              <w:spacing w:before="71" w:line="224" w:lineRule="auto"/>
              <w:ind w:left="792"/>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电子信箱</w:t>
            </w:r>
          </w:p>
        </w:tc>
        <w:tc>
          <w:tcPr>
            <w:tcW w:w="3058" w:type="dxa"/>
            <w:vAlign w:val="top"/>
          </w:tcPr>
          <w:p w14:paraId="29C99A39">
            <w:pPr>
              <w:spacing w:before="102" w:line="199" w:lineRule="auto"/>
              <w:ind w:left="1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1" w:type="dxa"/>
            <w:vAlign w:val="top"/>
          </w:tcPr>
          <w:p w14:paraId="42F0FA4B">
            <w:pPr>
              <w:spacing w:before="71" w:line="224" w:lineRule="auto"/>
              <w:ind w:left="387"/>
              <w:rPr>
                <w:rFonts w:ascii="FangSong_GB2312" w:hAnsi="FangSong_GB2312" w:eastAsia="FangSong_GB2312" w:cs="FangSong_GB2312"/>
                <w:sz w:val="20"/>
                <w:szCs w:val="20"/>
              </w:rPr>
            </w:pPr>
            <w:r>
              <w:rPr>
                <w:rFonts w:ascii="FangSong_GB2312" w:hAnsi="FangSong_GB2312" w:eastAsia="FangSong_GB2312" w:cs="FangSong_GB2312"/>
                <w:spacing w:val="1"/>
                <w:sz w:val="20"/>
                <w:szCs w:val="20"/>
              </w:rPr>
              <w:t>电子信箱</w:t>
            </w:r>
          </w:p>
        </w:tc>
        <w:tc>
          <w:tcPr>
            <w:tcW w:w="2289" w:type="dxa"/>
            <w:vAlign w:val="top"/>
          </w:tcPr>
          <w:p w14:paraId="0700984B">
            <w:pPr>
              <w:spacing w:before="102"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5F7A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2366" w:type="dxa"/>
            <w:gridSpan w:val="2"/>
            <w:vAlign w:val="top"/>
          </w:tcPr>
          <w:p w14:paraId="3B39E36D">
            <w:pPr>
              <w:spacing w:before="71" w:line="221" w:lineRule="auto"/>
              <w:ind w:left="974"/>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传真</w:t>
            </w:r>
          </w:p>
        </w:tc>
        <w:tc>
          <w:tcPr>
            <w:tcW w:w="3058" w:type="dxa"/>
            <w:vAlign w:val="top"/>
          </w:tcPr>
          <w:p w14:paraId="28732B6F">
            <w:pPr>
              <w:spacing w:before="102" w:line="199" w:lineRule="auto"/>
              <w:ind w:left="1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51" w:type="dxa"/>
            <w:vAlign w:val="top"/>
          </w:tcPr>
          <w:p w14:paraId="2A5A9B5A">
            <w:pPr>
              <w:spacing w:before="71" w:line="221" w:lineRule="auto"/>
              <w:ind w:left="568"/>
              <w:rPr>
                <w:rFonts w:ascii="FangSong_GB2312" w:hAnsi="FangSong_GB2312" w:eastAsia="FangSong_GB2312" w:cs="FangSong_GB2312"/>
                <w:sz w:val="20"/>
                <w:szCs w:val="20"/>
              </w:rPr>
            </w:pPr>
            <w:r>
              <w:rPr>
                <w:rFonts w:ascii="FangSong_GB2312" w:hAnsi="FangSong_GB2312" w:eastAsia="FangSong_GB2312" w:cs="FangSong_GB2312"/>
                <w:spacing w:val="7"/>
                <w:sz w:val="20"/>
                <w:szCs w:val="20"/>
              </w:rPr>
              <w:t>传真</w:t>
            </w:r>
          </w:p>
        </w:tc>
        <w:tc>
          <w:tcPr>
            <w:tcW w:w="2289" w:type="dxa"/>
            <w:vAlign w:val="top"/>
          </w:tcPr>
          <w:p w14:paraId="2B9E39A8">
            <w:pPr>
              <w:spacing w:before="102" w:line="199" w:lineRule="auto"/>
              <w:ind w:left="11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16D9D20A">
      <w:pPr>
        <w:pStyle w:val="2"/>
      </w:pPr>
    </w:p>
    <w:p w14:paraId="106F3D4A">
      <w:pPr>
        <w:sectPr>
          <w:pgSz w:w="11906" w:h="16839"/>
          <w:pgMar w:top="1167" w:right="1318" w:bottom="1574" w:left="1318" w:header="830" w:footer="1327" w:gutter="0"/>
          <w:cols w:space="720" w:num="1"/>
        </w:sectPr>
      </w:pPr>
    </w:p>
    <w:p w14:paraId="6D5632F9">
      <w:pPr>
        <w:pStyle w:val="2"/>
        <w:spacing w:line="316" w:lineRule="auto"/>
      </w:pPr>
    </w:p>
    <w:p w14:paraId="5B4084D6">
      <w:pPr>
        <w:spacing w:before="101" w:line="227" w:lineRule="auto"/>
        <w:ind w:left="4264"/>
        <w:outlineLvl w:val="0"/>
        <w:rPr>
          <w:rFonts w:ascii="黑体" w:hAnsi="黑体" w:eastAsia="黑体" w:cs="黑体"/>
          <w:sz w:val="31"/>
          <w:szCs w:val="31"/>
        </w:rPr>
      </w:pPr>
      <w:bookmarkStart w:id="0" w:name="bookmark1"/>
      <w:bookmarkEnd w:id="0"/>
      <w:r>
        <w:rPr>
          <w:rFonts w:ascii="黑体" w:hAnsi="黑体" w:eastAsia="黑体" w:cs="黑体"/>
          <w:b/>
          <w:bCs/>
          <w:spacing w:val="-20"/>
          <w:sz w:val="31"/>
          <w:szCs w:val="31"/>
        </w:rPr>
        <w:t>目录</w:t>
      </w:r>
    </w:p>
    <w:sdt>
      <w:sdtPr>
        <w:rPr>
          <w:rFonts w:ascii="Arial" w:hAnsi="Arial" w:eastAsia="Arial" w:cs="Arial"/>
          <w:sz w:val="21"/>
          <w:szCs w:val="21"/>
        </w:rPr>
        <w:id w:val="147451183"/>
        <w:docPartObj>
          <w:docPartGallery w:val="Table of Contents"/>
          <w:docPartUnique/>
        </w:docPartObj>
      </w:sdtPr>
      <w:sdtEndPr>
        <w:rPr>
          <w:rFonts w:ascii="Times New Roman" w:hAnsi="Times New Roman" w:eastAsia="Times New Roman" w:cs="Times New Roman"/>
          <w:sz w:val="28"/>
          <w:szCs w:val="28"/>
        </w:rPr>
      </w:sdtEndPr>
      <w:sdtContent>
        <w:p w14:paraId="7794EA47">
          <w:pPr>
            <w:tabs>
              <w:tab w:val="right" w:leader="dot" w:pos="9070"/>
            </w:tabs>
            <w:spacing w:before="289" w:line="184" w:lineRule="auto"/>
            <w:ind w:left="18"/>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b/>
              <w:bCs/>
              <w:spacing w:val="-10"/>
              <w:sz w:val="28"/>
              <w:szCs w:val="28"/>
            </w:rPr>
            <w:t>1</w:t>
          </w:r>
          <w:r>
            <w:rPr>
              <w:rFonts w:ascii="Times New Roman" w:hAnsi="Times New Roman" w:eastAsia="Times New Roman" w:cs="Times New Roman"/>
              <w:b/>
              <w:bCs/>
              <w:spacing w:val="10"/>
              <w:sz w:val="28"/>
              <w:szCs w:val="28"/>
            </w:rPr>
            <w:t xml:space="preserve">  </w:t>
          </w:r>
          <w:r>
            <w:rPr>
              <w:rFonts w:ascii="FangSong_GB2312" w:hAnsi="FangSong_GB2312" w:eastAsia="FangSong_GB2312" w:cs="FangSong_GB2312"/>
              <w:b/>
              <w:bCs/>
              <w:spacing w:val="-10"/>
              <w:sz w:val="28"/>
              <w:szCs w:val="28"/>
            </w:rPr>
            <w:t>综合说明</w:t>
          </w:r>
          <w:r>
            <w:rPr>
              <w:rFonts w:ascii="FangSong_GB2312" w:hAnsi="FangSong_GB2312" w:eastAsia="FangSong_GB2312" w:cs="FangSong_GB2312"/>
              <w:spacing w:val="-92"/>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 </w:instrText>
          </w:r>
          <w:r>
            <w:fldChar w:fldCharType="separate"/>
          </w:r>
          <w:r>
            <w:rPr>
              <w:rFonts w:ascii="FangSong_GB2312" w:hAnsi="FangSong_GB2312" w:eastAsia="FangSong_GB2312" w:cs="FangSong_GB2312"/>
              <w:spacing w:val="-82"/>
              <w:sz w:val="28"/>
              <w:szCs w:val="28"/>
            </w:rPr>
            <w:t xml:space="preserve"> </w:t>
          </w:r>
          <w:r>
            <w:rPr>
              <w:rFonts w:ascii="Times New Roman" w:hAnsi="Times New Roman" w:eastAsia="Times New Roman" w:cs="Times New Roman"/>
              <w:b/>
              <w:bCs/>
              <w:spacing w:val="-19"/>
              <w:sz w:val="28"/>
              <w:szCs w:val="28"/>
            </w:rPr>
            <w:t>1</w:t>
          </w:r>
          <w:r>
            <w:rPr>
              <w:rFonts w:ascii="Times New Roman" w:hAnsi="Times New Roman" w:eastAsia="Times New Roman" w:cs="Times New Roman"/>
              <w:b/>
              <w:bCs/>
              <w:spacing w:val="-19"/>
              <w:sz w:val="28"/>
              <w:szCs w:val="28"/>
            </w:rPr>
            <w:fldChar w:fldCharType="end"/>
          </w:r>
        </w:p>
        <w:p w14:paraId="05B80F6B">
          <w:pPr>
            <w:pStyle w:val="2"/>
            <w:spacing w:line="281" w:lineRule="auto"/>
          </w:pPr>
        </w:p>
        <w:p w14:paraId="1277B728">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11"/>
              <w:sz w:val="28"/>
              <w:szCs w:val="28"/>
            </w:rPr>
            <w:t>1.</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11"/>
              <w:sz w:val="28"/>
              <w:szCs w:val="28"/>
            </w:rPr>
            <w:t>1</w:t>
          </w:r>
          <w:r>
            <w:rPr>
              <w:rFonts w:ascii="Times New Roman" w:hAnsi="Times New Roman" w:eastAsia="Times New Roman" w:cs="Times New Roman"/>
              <w:spacing w:val="12"/>
              <w:sz w:val="28"/>
              <w:szCs w:val="28"/>
            </w:rPr>
            <w:t xml:space="preserve"> </w:t>
          </w:r>
          <w:r>
            <w:rPr>
              <w:rFonts w:ascii="FangSong_GB2312" w:hAnsi="FangSong_GB2312" w:eastAsia="FangSong_GB2312" w:cs="FangSong_GB2312"/>
              <w:spacing w:val="-11"/>
              <w:sz w:val="28"/>
              <w:szCs w:val="28"/>
            </w:rPr>
            <w:t>项目简况</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 </w:instrText>
          </w:r>
          <w:r>
            <w:fldChar w:fldCharType="separate"/>
          </w:r>
          <w:r>
            <w:rPr>
              <w:rFonts w:ascii="FangSong_GB2312" w:hAnsi="FangSong_GB2312" w:eastAsia="FangSong_GB2312" w:cs="FangSong_GB2312"/>
              <w:spacing w:val="-73"/>
              <w:sz w:val="28"/>
              <w:szCs w:val="28"/>
            </w:rPr>
            <w:t xml:space="preserve"> </w:t>
          </w:r>
          <w:r>
            <w:rPr>
              <w:rFonts w:ascii="Times New Roman" w:hAnsi="Times New Roman" w:eastAsia="Times New Roman" w:cs="Times New Roman"/>
              <w:spacing w:val="-33"/>
              <w:sz w:val="28"/>
              <w:szCs w:val="28"/>
            </w:rPr>
            <w:t>1</w:t>
          </w:r>
          <w:r>
            <w:rPr>
              <w:rFonts w:ascii="Times New Roman" w:hAnsi="Times New Roman" w:eastAsia="Times New Roman" w:cs="Times New Roman"/>
              <w:spacing w:val="-33"/>
              <w:sz w:val="28"/>
              <w:szCs w:val="28"/>
            </w:rPr>
            <w:fldChar w:fldCharType="end"/>
          </w:r>
        </w:p>
        <w:p w14:paraId="00E46BCF">
          <w:pPr>
            <w:pStyle w:val="2"/>
            <w:spacing w:line="278" w:lineRule="auto"/>
          </w:pPr>
        </w:p>
        <w:p w14:paraId="45821FDD">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4"/>
              <w:sz w:val="28"/>
              <w:szCs w:val="28"/>
            </w:rPr>
            <w:t xml:space="preserve">1.2 </w:t>
          </w:r>
          <w:r>
            <w:rPr>
              <w:rFonts w:ascii="FangSong_GB2312" w:hAnsi="FangSong_GB2312" w:eastAsia="FangSong_GB2312" w:cs="FangSong_GB2312"/>
              <w:spacing w:val="-4"/>
              <w:sz w:val="28"/>
              <w:szCs w:val="28"/>
            </w:rPr>
            <w:t>编制依据</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 </w:instrText>
          </w:r>
          <w:r>
            <w:fldChar w:fldCharType="separate"/>
          </w:r>
          <w:r>
            <w:rPr>
              <w:rFonts w:ascii="FangSong_GB2312" w:hAnsi="FangSong_GB2312" w:eastAsia="FangSong_GB2312" w:cs="FangSong_GB2312"/>
              <w:spacing w:val="-92"/>
              <w:sz w:val="28"/>
              <w:szCs w:val="28"/>
            </w:rPr>
            <w:t xml:space="preserve"> </w:t>
          </w:r>
          <w:r>
            <w:rPr>
              <w:rFonts w:ascii="Times New Roman" w:hAnsi="Times New Roman" w:eastAsia="Times New Roman" w:cs="Times New Roman"/>
              <w:spacing w:val="-13"/>
              <w:sz w:val="28"/>
              <w:szCs w:val="28"/>
            </w:rPr>
            <w:t>5</w:t>
          </w:r>
          <w:r>
            <w:rPr>
              <w:rFonts w:ascii="Times New Roman" w:hAnsi="Times New Roman" w:eastAsia="Times New Roman" w:cs="Times New Roman"/>
              <w:spacing w:val="-13"/>
              <w:sz w:val="28"/>
              <w:szCs w:val="28"/>
            </w:rPr>
            <w:fldChar w:fldCharType="end"/>
          </w:r>
        </w:p>
        <w:p w14:paraId="13BC1A3C">
          <w:pPr>
            <w:pStyle w:val="2"/>
            <w:spacing w:line="281" w:lineRule="auto"/>
          </w:pPr>
        </w:p>
        <w:p w14:paraId="627FAD8A">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4"/>
              <w:sz w:val="28"/>
              <w:szCs w:val="28"/>
            </w:rPr>
            <w:t xml:space="preserve">1.3 </w:t>
          </w:r>
          <w:r>
            <w:rPr>
              <w:rFonts w:ascii="FangSong_GB2312" w:hAnsi="FangSong_GB2312" w:eastAsia="FangSong_GB2312" w:cs="FangSong_GB2312"/>
              <w:spacing w:val="-4"/>
              <w:sz w:val="28"/>
              <w:szCs w:val="28"/>
            </w:rPr>
            <w:t>设计水平年</w:t>
          </w:r>
          <w:r>
            <w:rPr>
              <w:rFonts w:ascii="FangSong_GB2312" w:hAnsi="FangSong_GB2312" w:eastAsia="FangSong_GB2312" w:cs="FangSong_GB2312"/>
              <w:spacing w:val="-8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"bookmark8" </w:instrText>
          </w:r>
          <w:r>
            <w:fldChar w:fldCharType="separate"/>
          </w:r>
          <w:r>
            <w:rPr>
              <w:rFonts w:ascii="FangSong_GB2312" w:hAnsi="FangSong_GB2312" w:eastAsia="FangSong_GB2312" w:cs="FangSong_GB2312"/>
              <w:spacing w:val="-91"/>
              <w:sz w:val="28"/>
              <w:szCs w:val="28"/>
            </w:rPr>
            <w:t xml:space="preserve"> </w:t>
          </w:r>
          <w:r>
            <w:rPr>
              <w:rFonts w:ascii="Times New Roman" w:hAnsi="Times New Roman" w:eastAsia="Times New Roman" w:cs="Times New Roman"/>
              <w:spacing w:val="-17"/>
              <w:sz w:val="28"/>
              <w:szCs w:val="28"/>
            </w:rPr>
            <w:t>8</w:t>
          </w:r>
          <w:r>
            <w:rPr>
              <w:rFonts w:ascii="Times New Roman" w:hAnsi="Times New Roman" w:eastAsia="Times New Roman" w:cs="Times New Roman"/>
              <w:spacing w:val="-17"/>
              <w:sz w:val="28"/>
              <w:szCs w:val="28"/>
            </w:rPr>
            <w:fldChar w:fldCharType="end"/>
          </w:r>
        </w:p>
        <w:p w14:paraId="356D3E69">
          <w:pPr>
            <w:pStyle w:val="2"/>
            <w:spacing w:line="281" w:lineRule="auto"/>
          </w:pPr>
        </w:p>
        <w:p w14:paraId="57667C66">
          <w:pPr>
            <w:tabs>
              <w:tab w:val="right" w:leader="dot" w:pos="9070"/>
            </w:tabs>
            <w:spacing w:before="91" w:line="184" w:lineRule="auto"/>
            <w:ind w:left="453"/>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Times New Roman" w:hAnsi="Times New Roman" w:eastAsia="Times New Roman" w:cs="Times New Roman"/>
              <w:spacing w:val="-3"/>
              <w:sz w:val="28"/>
              <w:szCs w:val="28"/>
            </w:rPr>
            <w:t xml:space="preserve">1.4 </w:t>
          </w:r>
          <w:r>
            <w:rPr>
              <w:rFonts w:ascii="FangSong_GB2312" w:hAnsi="FangSong_GB2312" w:eastAsia="FangSong_GB2312" w:cs="FangSong_GB2312"/>
              <w:spacing w:val="-3"/>
              <w:sz w:val="28"/>
              <w:szCs w:val="28"/>
            </w:rPr>
            <w:t>水土流失防治责任范围</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"bookmark10" </w:instrText>
          </w:r>
          <w:r>
            <w:fldChar w:fldCharType="separate"/>
          </w:r>
          <w:r>
            <w:rPr>
              <w:rFonts w:ascii="Times New Roman" w:hAnsi="Times New Roman" w:eastAsia="Times New Roman" w:cs="Times New Roman"/>
              <w:spacing w:val="11"/>
              <w:sz w:val="28"/>
              <w:szCs w:val="28"/>
            </w:rPr>
            <w:t>8</w:t>
          </w:r>
          <w:r>
            <w:rPr>
              <w:rFonts w:ascii="Times New Roman" w:hAnsi="Times New Roman" w:eastAsia="Times New Roman" w:cs="Times New Roman"/>
              <w:spacing w:val="11"/>
              <w:sz w:val="28"/>
              <w:szCs w:val="28"/>
            </w:rPr>
            <w:fldChar w:fldCharType="end"/>
          </w:r>
        </w:p>
        <w:p w14:paraId="7C256E32">
          <w:pPr>
            <w:pStyle w:val="2"/>
            <w:spacing w:line="278" w:lineRule="auto"/>
          </w:pPr>
        </w:p>
        <w:p w14:paraId="39093BF6">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3"/>
              <w:sz w:val="28"/>
              <w:szCs w:val="28"/>
            </w:rPr>
            <w:t xml:space="preserve">1.5 </w:t>
          </w:r>
          <w:r>
            <w:rPr>
              <w:rFonts w:ascii="FangSong_GB2312" w:hAnsi="FangSong_GB2312" w:eastAsia="FangSong_GB2312" w:cs="FangSong_GB2312"/>
              <w:spacing w:val="-3"/>
              <w:sz w:val="28"/>
              <w:szCs w:val="28"/>
            </w:rPr>
            <w:t>水土流失防治目标</w:t>
          </w:r>
          <w:r>
            <w:rPr>
              <w:rFonts w:ascii="FangSong_GB2312" w:hAnsi="FangSong_GB2312" w:eastAsia="FangSong_GB2312" w:cs="FangSong_GB2312"/>
              <w:spacing w:val="-8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"bookmark12" </w:instrText>
          </w:r>
          <w:r>
            <w:fldChar w:fldCharType="separate"/>
          </w:r>
          <w:r>
            <w:rPr>
              <w:rFonts w:ascii="FangSong_GB2312" w:hAnsi="FangSong_GB2312" w:eastAsia="FangSong_GB2312" w:cs="FangSong_GB2312"/>
              <w:spacing w:val="-103"/>
              <w:sz w:val="28"/>
              <w:szCs w:val="28"/>
            </w:rPr>
            <w:t xml:space="preserve"> </w:t>
          </w:r>
          <w:r>
            <w:rPr>
              <w:rFonts w:ascii="Times New Roman" w:hAnsi="Times New Roman" w:eastAsia="Times New Roman" w:cs="Times New Roman"/>
              <w:spacing w:val="-17"/>
              <w:sz w:val="28"/>
              <w:szCs w:val="28"/>
            </w:rPr>
            <w:t>8</w:t>
          </w:r>
          <w:r>
            <w:rPr>
              <w:rFonts w:ascii="Times New Roman" w:hAnsi="Times New Roman" w:eastAsia="Times New Roman" w:cs="Times New Roman"/>
              <w:spacing w:val="-17"/>
              <w:sz w:val="28"/>
              <w:szCs w:val="28"/>
            </w:rPr>
            <w:fldChar w:fldCharType="end"/>
          </w:r>
        </w:p>
        <w:p w14:paraId="742522B5">
          <w:pPr>
            <w:pStyle w:val="2"/>
            <w:spacing w:line="281" w:lineRule="auto"/>
          </w:pPr>
        </w:p>
        <w:p w14:paraId="1D9DE4A0">
          <w:pPr>
            <w:tabs>
              <w:tab w:val="right" w:leader="dot" w:pos="9070"/>
            </w:tabs>
            <w:spacing w:before="91" w:line="184" w:lineRule="auto"/>
            <w:ind w:left="453"/>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Times New Roman" w:hAnsi="Times New Roman" w:eastAsia="Times New Roman" w:cs="Times New Roman"/>
              <w:spacing w:val="-3"/>
              <w:sz w:val="28"/>
              <w:szCs w:val="28"/>
            </w:rPr>
            <w:t xml:space="preserve">1.6 </w:t>
          </w:r>
          <w:r>
            <w:rPr>
              <w:rFonts w:ascii="FangSong_GB2312" w:hAnsi="FangSong_GB2312" w:eastAsia="FangSong_GB2312" w:cs="FangSong_GB2312"/>
              <w:spacing w:val="-3"/>
              <w:sz w:val="28"/>
              <w:szCs w:val="28"/>
            </w:rPr>
            <w:t>项目水土保持评价结论</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"bookmark14" </w:instrText>
          </w:r>
          <w:r>
            <w:fldChar w:fldCharType="separate"/>
          </w:r>
          <w:r>
            <w:rPr>
              <w:rFonts w:ascii="FangSong_GB2312" w:hAnsi="FangSong_GB2312" w:eastAsia="FangSong_GB2312" w:cs="FangSong_GB2312"/>
              <w:spacing w:val="-100"/>
              <w:sz w:val="28"/>
              <w:szCs w:val="28"/>
            </w:rPr>
            <w:t xml:space="preserve"> </w:t>
          </w:r>
          <w:r>
            <w:rPr>
              <w:rFonts w:ascii="Times New Roman" w:hAnsi="Times New Roman" w:eastAsia="Times New Roman" w:cs="Times New Roman"/>
              <w:spacing w:val="-20"/>
              <w:sz w:val="28"/>
              <w:szCs w:val="28"/>
            </w:rPr>
            <w:t>1</w:t>
          </w:r>
          <w:r>
            <w:rPr>
              <w:rFonts w:ascii="Times New Roman" w:hAnsi="Times New Roman" w:eastAsia="Times New Roman" w:cs="Times New Roman"/>
              <w:spacing w:val="-12"/>
              <w:sz w:val="28"/>
              <w:szCs w:val="28"/>
            </w:rPr>
            <w:t>2</w:t>
          </w:r>
          <w:r>
            <w:rPr>
              <w:rFonts w:ascii="Times New Roman" w:hAnsi="Times New Roman" w:eastAsia="Times New Roman" w:cs="Times New Roman"/>
              <w:spacing w:val="-12"/>
              <w:sz w:val="28"/>
              <w:szCs w:val="28"/>
            </w:rPr>
            <w:fldChar w:fldCharType="end"/>
          </w:r>
        </w:p>
        <w:p w14:paraId="3E288F0F">
          <w:pPr>
            <w:pStyle w:val="2"/>
            <w:spacing w:line="281" w:lineRule="auto"/>
          </w:pPr>
        </w:p>
        <w:p w14:paraId="3C74E319">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3"/>
              <w:sz w:val="28"/>
              <w:szCs w:val="28"/>
            </w:rPr>
            <w:t xml:space="preserve">1.7  </w:t>
          </w:r>
          <w:r>
            <w:rPr>
              <w:rFonts w:ascii="FangSong_GB2312" w:hAnsi="FangSong_GB2312" w:eastAsia="FangSong_GB2312" w:cs="FangSong_GB2312"/>
              <w:spacing w:val="-3"/>
              <w:sz w:val="28"/>
              <w:szCs w:val="28"/>
            </w:rPr>
            <w:t>水土流失调查结果</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"bookmark16" </w:instrText>
          </w:r>
          <w:r>
            <w:fldChar w:fldCharType="separate"/>
          </w:r>
          <w:r>
            <w:rPr>
              <w:rFonts w:ascii="FangSong_GB2312" w:hAnsi="FangSong_GB2312" w:eastAsia="FangSong_GB2312" w:cs="FangSong_GB2312"/>
              <w:spacing w:val="-91"/>
              <w:sz w:val="28"/>
              <w:szCs w:val="28"/>
            </w:rPr>
            <w:t xml:space="preserve"> </w:t>
          </w:r>
          <w:r>
            <w:rPr>
              <w:rFonts w:ascii="Times New Roman" w:hAnsi="Times New Roman" w:eastAsia="Times New Roman" w:cs="Times New Roman"/>
              <w:spacing w:val="-20"/>
              <w:sz w:val="28"/>
              <w:szCs w:val="28"/>
            </w:rPr>
            <w:t>1</w:t>
          </w:r>
          <w:r>
            <w:rPr>
              <w:rFonts w:ascii="Times New Roman" w:hAnsi="Times New Roman" w:eastAsia="Times New Roman" w:cs="Times New Roman"/>
              <w:spacing w:val="-12"/>
              <w:sz w:val="28"/>
              <w:szCs w:val="28"/>
            </w:rPr>
            <w:t>2</w:t>
          </w:r>
          <w:r>
            <w:rPr>
              <w:rFonts w:ascii="Times New Roman" w:hAnsi="Times New Roman" w:eastAsia="Times New Roman" w:cs="Times New Roman"/>
              <w:spacing w:val="-12"/>
              <w:sz w:val="28"/>
              <w:szCs w:val="28"/>
            </w:rPr>
            <w:fldChar w:fldCharType="end"/>
          </w:r>
        </w:p>
        <w:p w14:paraId="7BF52A2E">
          <w:pPr>
            <w:pStyle w:val="2"/>
            <w:spacing w:line="278" w:lineRule="auto"/>
          </w:pPr>
        </w:p>
        <w:p w14:paraId="72397D1F">
          <w:pPr>
            <w:tabs>
              <w:tab w:val="right" w:leader="dot" w:pos="9070"/>
            </w:tabs>
            <w:spacing w:before="91" w:line="184" w:lineRule="auto"/>
            <w:ind w:left="453"/>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Times New Roman" w:hAnsi="Times New Roman" w:eastAsia="Times New Roman" w:cs="Times New Roman"/>
              <w:spacing w:val="-3"/>
              <w:sz w:val="28"/>
              <w:szCs w:val="28"/>
            </w:rPr>
            <w:t xml:space="preserve">1.8  </w:t>
          </w:r>
          <w:r>
            <w:rPr>
              <w:rFonts w:ascii="FangSong_GB2312" w:hAnsi="FangSong_GB2312" w:eastAsia="FangSong_GB2312" w:cs="FangSong_GB2312"/>
              <w:spacing w:val="-3"/>
              <w:sz w:val="28"/>
              <w:szCs w:val="28"/>
            </w:rPr>
            <w:t>水土保持措施布设成果</w:t>
          </w:r>
          <w:r>
            <w:rPr>
              <w:rFonts w:ascii="FangSong_GB2312" w:hAnsi="FangSong_GB2312" w:eastAsia="FangSong_GB2312" w:cs="FangSong_GB2312"/>
              <w:spacing w:val="-7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"bookmark18" </w:instrText>
          </w:r>
          <w:r>
            <w:fldChar w:fldCharType="separate"/>
          </w:r>
          <w:r>
            <w:rPr>
              <w:rFonts w:ascii="FangSong_GB2312" w:hAnsi="FangSong_GB2312" w:eastAsia="FangSong_GB2312" w:cs="FangSong_GB2312"/>
              <w:spacing w:val="-100"/>
              <w:sz w:val="28"/>
              <w:szCs w:val="28"/>
            </w:rPr>
            <w:t xml:space="preserve"> </w:t>
          </w:r>
          <w:r>
            <w:rPr>
              <w:rFonts w:ascii="Times New Roman" w:hAnsi="Times New Roman" w:eastAsia="Times New Roman" w:cs="Times New Roman"/>
              <w:spacing w:val="-20"/>
              <w:sz w:val="28"/>
              <w:szCs w:val="28"/>
            </w:rPr>
            <w:t>1</w:t>
          </w:r>
          <w:r>
            <w:rPr>
              <w:rFonts w:ascii="Times New Roman" w:hAnsi="Times New Roman" w:eastAsia="Times New Roman" w:cs="Times New Roman"/>
              <w:spacing w:val="-12"/>
              <w:sz w:val="28"/>
              <w:szCs w:val="28"/>
            </w:rPr>
            <w:t>2</w:t>
          </w:r>
          <w:r>
            <w:rPr>
              <w:rFonts w:ascii="Times New Roman" w:hAnsi="Times New Roman" w:eastAsia="Times New Roman" w:cs="Times New Roman"/>
              <w:spacing w:val="-12"/>
              <w:sz w:val="28"/>
              <w:szCs w:val="28"/>
            </w:rPr>
            <w:fldChar w:fldCharType="end"/>
          </w:r>
        </w:p>
        <w:p w14:paraId="097CB6C2">
          <w:pPr>
            <w:pStyle w:val="2"/>
            <w:spacing w:line="281" w:lineRule="auto"/>
          </w:pPr>
        </w:p>
        <w:p w14:paraId="6C1A0F77">
          <w:pPr>
            <w:tabs>
              <w:tab w:val="left" w:pos="452"/>
              <w:tab w:val="right" w:leader="dot" w:pos="9070"/>
            </w:tabs>
            <w:spacing w:before="91" w:line="184" w:lineRule="auto"/>
            <w:ind w:left="420"/>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3"/>
              <w:sz w:val="28"/>
              <w:szCs w:val="28"/>
            </w:rPr>
            <w:t xml:space="preserve">1.9  </w:t>
          </w:r>
          <w:r>
            <w:rPr>
              <w:rFonts w:ascii="FangSong_GB2312" w:hAnsi="FangSong_GB2312" w:eastAsia="FangSong_GB2312" w:cs="FangSong_GB2312"/>
              <w:spacing w:val="-3"/>
              <w:sz w:val="28"/>
              <w:szCs w:val="28"/>
            </w:rPr>
            <w:t>水土保持监测方案</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"bookmark20" </w:instrText>
          </w:r>
          <w:r>
            <w:fldChar w:fldCharType="separate"/>
          </w:r>
          <w:r>
            <w:rPr>
              <w:rFonts w:ascii="FangSong_GB2312" w:hAnsi="FangSong_GB2312" w:eastAsia="FangSong_GB2312" w:cs="FangSong_GB2312"/>
              <w:spacing w:val="-91"/>
              <w:sz w:val="28"/>
              <w:szCs w:val="28"/>
            </w:rPr>
            <w:t xml:space="preserve"> </w:t>
          </w:r>
          <w:r>
            <w:rPr>
              <w:rFonts w:ascii="Times New Roman" w:hAnsi="Times New Roman" w:eastAsia="Times New Roman" w:cs="Times New Roman"/>
              <w:spacing w:val="-16"/>
              <w:sz w:val="28"/>
              <w:szCs w:val="28"/>
            </w:rPr>
            <w:t>13</w:t>
          </w:r>
          <w:r>
            <w:rPr>
              <w:rFonts w:ascii="Times New Roman" w:hAnsi="Times New Roman" w:eastAsia="Times New Roman" w:cs="Times New Roman"/>
              <w:spacing w:val="-16"/>
              <w:sz w:val="28"/>
              <w:szCs w:val="28"/>
            </w:rPr>
            <w:fldChar w:fldCharType="end"/>
          </w:r>
        </w:p>
        <w:p w14:paraId="6EF0D476">
          <w:pPr>
            <w:pStyle w:val="2"/>
            <w:spacing w:line="281" w:lineRule="auto"/>
          </w:pPr>
        </w:p>
        <w:p w14:paraId="7AAD4998">
          <w:pPr>
            <w:tabs>
              <w:tab w:val="right" w:leader="dot" w:pos="9070"/>
            </w:tabs>
            <w:spacing w:before="91" w:line="184" w:lineRule="auto"/>
            <w:ind w:left="453"/>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spacing w:val="-2"/>
              <w:sz w:val="28"/>
              <w:szCs w:val="28"/>
            </w:rPr>
            <w:t xml:space="preserve">1.10  </w:t>
          </w:r>
          <w:r>
            <w:rPr>
              <w:rFonts w:ascii="FangSong_GB2312" w:hAnsi="FangSong_GB2312" w:eastAsia="FangSong_GB2312" w:cs="FangSong_GB2312"/>
              <w:spacing w:val="-2"/>
              <w:sz w:val="28"/>
              <w:szCs w:val="28"/>
            </w:rPr>
            <w:t>水土保持投资及效益分析成果</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"bookmark22" </w:instrText>
          </w:r>
          <w:r>
            <w:fldChar w:fldCharType="separate"/>
          </w:r>
          <w:r>
            <w:rPr>
              <w:rFonts w:ascii="FangSong_GB2312" w:hAnsi="FangSong_GB2312" w:eastAsia="FangSong_GB2312" w:cs="FangSong_GB2312"/>
              <w:spacing w:val="-44"/>
              <w:sz w:val="28"/>
              <w:szCs w:val="28"/>
            </w:rPr>
            <w:t xml:space="preserve"> </w:t>
          </w:r>
          <w:r>
            <w:rPr>
              <w:rFonts w:ascii="Times New Roman" w:hAnsi="Times New Roman" w:eastAsia="Times New Roman" w:cs="Times New Roman"/>
              <w:spacing w:val="-16"/>
              <w:sz w:val="28"/>
              <w:szCs w:val="28"/>
            </w:rPr>
            <w:t>13</w:t>
          </w:r>
          <w:r>
            <w:rPr>
              <w:rFonts w:ascii="Times New Roman" w:hAnsi="Times New Roman" w:eastAsia="Times New Roman" w:cs="Times New Roman"/>
              <w:spacing w:val="-16"/>
              <w:sz w:val="28"/>
              <w:szCs w:val="28"/>
            </w:rPr>
            <w:fldChar w:fldCharType="end"/>
          </w:r>
        </w:p>
        <w:p w14:paraId="323178F4">
          <w:pPr>
            <w:pStyle w:val="2"/>
            <w:spacing w:line="278" w:lineRule="auto"/>
          </w:pPr>
        </w:p>
        <w:p w14:paraId="7F54E4D3">
          <w:pPr>
            <w:tabs>
              <w:tab w:val="left" w:pos="452"/>
              <w:tab w:val="right" w:leader="dot" w:pos="9070"/>
            </w:tabs>
            <w:spacing w:before="92" w:line="184" w:lineRule="auto"/>
            <w:ind w:left="420"/>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Times New Roman" w:hAnsi="Times New Roman" w:eastAsia="Times New Roman" w:cs="Times New Roman"/>
              <w:sz w:val="28"/>
              <w:szCs w:val="28"/>
            </w:rPr>
            <w:tab/>
          </w:r>
          <w:r>
            <w:rPr>
              <w:rFonts w:ascii="Times New Roman" w:hAnsi="Times New Roman" w:eastAsia="Times New Roman" w:cs="Times New Roman"/>
              <w:spacing w:val="-15"/>
              <w:sz w:val="28"/>
              <w:szCs w:val="28"/>
            </w:rPr>
            <w:t>1.</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15"/>
              <w:sz w:val="28"/>
              <w:szCs w:val="28"/>
            </w:rPr>
            <w:t>11</w:t>
          </w:r>
          <w:r>
            <w:rPr>
              <w:rFonts w:ascii="Times New Roman" w:hAnsi="Times New Roman" w:eastAsia="Times New Roman" w:cs="Times New Roman"/>
              <w:spacing w:val="7"/>
              <w:sz w:val="28"/>
              <w:szCs w:val="28"/>
            </w:rPr>
            <w:t xml:space="preserve">  </w:t>
          </w:r>
          <w:r>
            <w:rPr>
              <w:rFonts w:ascii="FangSong_GB2312" w:hAnsi="FangSong_GB2312" w:eastAsia="FangSong_GB2312" w:cs="FangSong_GB2312"/>
              <w:spacing w:val="-15"/>
              <w:sz w:val="28"/>
              <w:szCs w:val="28"/>
            </w:rPr>
            <w:t>结论</w:t>
          </w:r>
          <w:r>
            <w:rPr>
              <w:rFonts w:ascii="FangSong_GB2312" w:hAnsi="FangSong_GB2312" w:eastAsia="FangSong_GB2312" w:cs="FangSong_GB2312"/>
              <w:spacing w:val="-88"/>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"bookmark24" </w:instrText>
          </w:r>
          <w:r>
            <w:fldChar w:fldCharType="separate"/>
          </w:r>
          <w:r>
            <w:rPr>
              <w:rFonts w:ascii="FangSong_GB2312" w:hAnsi="FangSong_GB2312" w:eastAsia="FangSong_GB2312" w:cs="FangSong_GB2312"/>
              <w:spacing w:val="-58"/>
              <w:sz w:val="28"/>
              <w:szCs w:val="28"/>
            </w:rPr>
            <w:t xml:space="preserve"> </w:t>
          </w:r>
          <w:r>
            <w:rPr>
              <w:rFonts w:ascii="Times New Roman" w:hAnsi="Times New Roman" w:eastAsia="Times New Roman" w:cs="Times New Roman"/>
              <w:spacing w:val="-22"/>
              <w:sz w:val="28"/>
              <w:szCs w:val="28"/>
            </w:rPr>
            <w:t>1</w:t>
          </w:r>
          <w:r>
            <w:rPr>
              <w:rFonts w:ascii="Times New Roman" w:hAnsi="Times New Roman" w:eastAsia="Times New Roman" w:cs="Times New Roman"/>
              <w:spacing w:val="-10"/>
              <w:sz w:val="28"/>
              <w:szCs w:val="28"/>
            </w:rPr>
            <w:t>4</w:t>
          </w:r>
          <w:r>
            <w:rPr>
              <w:rFonts w:ascii="Times New Roman" w:hAnsi="Times New Roman" w:eastAsia="Times New Roman" w:cs="Times New Roman"/>
              <w:spacing w:val="-10"/>
              <w:sz w:val="28"/>
              <w:szCs w:val="28"/>
            </w:rPr>
            <w:fldChar w:fldCharType="end"/>
          </w:r>
        </w:p>
        <w:p w14:paraId="6BA42F93">
          <w:pPr>
            <w:pStyle w:val="2"/>
            <w:spacing w:line="281" w:lineRule="auto"/>
          </w:pPr>
        </w:p>
        <w:p w14:paraId="7CD00E73">
          <w:pPr>
            <w:tabs>
              <w:tab w:val="right" w:leader="dot" w:pos="9070"/>
            </w:tabs>
            <w:spacing w:before="91" w:line="184" w:lineRule="auto"/>
            <w:ind w:left="7"/>
            <w:rPr>
              <w:rFonts w:ascii="Times New Roman" w:hAnsi="Times New Roman" w:eastAsia="Times New Roman" w:cs="Times New Roman"/>
              <w:sz w:val="28"/>
              <w:szCs w:val="28"/>
            </w:rPr>
          </w:pPr>
          <w:r>
            <w:fldChar w:fldCharType="begin"/>
          </w:r>
          <w:r>
            <w:instrText xml:space="preserve"> HYPERLINK \l "bookmark27" </w:instrText>
          </w:r>
          <w:r>
            <w:fldChar w:fldCharType="separate"/>
          </w:r>
          <w:r>
            <w:rPr>
              <w:rFonts w:ascii="Times New Roman" w:hAnsi="Times New Roman" w:eastAsia="Times New Roman" w:cs="Times New Roman"/>
              <w:b/>
              <w:bCs/>
              <w:spacing w:val="-6"/>
              <w:sz w:val="28"/>
              <w:szCs w:val="28"/>
            </w:rPr>
            <w:t>2</w:t>
          </w:r>
          <w:r>
            <w:rPr>
              <w:rFonts w:ascii="Times New Roman" w:hAnsi="Times New Roman" w:eastAsia="Times New Roman" w:cs="Times New Roman"/>
              <w:b/>
              <w:bCs/>
              <w:spacing w:val="6"/>
              <w:sz w:val="28"/>
              <w:szCs w:val="28"/>
            </w:rPr>
            <w:t xml:space="preserve">  </w:t>
          </w:r>
          <w:r>
            <w:rPr>
              <w:rFonts w:ascii="FangSong_GB2312" w:hAnsi="FangSong_GB2312" w:eastAsia="FangSong_GB2312" w:cs="FangSong_GB2312"/>
              <w:b/>
              <w:bCs/>
              <w:spacing w:val="-6"/>
              <w:sz w:val="28"/>
              <w:szCs w:val="28"/>
            </w:rPr>
            <w:t>项目概况</w:t>
          </w:r>
          <w:r>
            <w:rPr>
              <w:rFonts w:ascii="FangSong_GB2312" w:hAnsi="FangSong_GB2312" w:eastAsia="FangSong_GB2312" w:cs="FangSong_GB2312"/>
              <w:spacing w:val="-92"/>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"bookmark26" </w:instrText>
          </w:r>
          <w:r>
            <w:fldChar w:fldCharType="separate"/>
          </w:r>
          <w:r>
            <w:rPr>
              <w:rFonts w:ascii="FangSong_GB2312" w:hAnsi="FangSong_GB2312" w:eastAsia="FangSong_GB2312" w:cs="FangSong_GB2312"/>
              <w:spacing w:val="-85"/>
              <w:sz w:val="28"/>
              <w:szCs w:val="28"/>
            </w:rPr>
            <w:t xml:space="preserve"> </w:t>
          </w:r>
          <w:r>
            <w:rPr>
              <w:rFonts w:ascii="Times New Roman" w:hAnsi="Times New Roman" w:eastAsia="Times New Roman" w:cs="Times New Roman"/>
              <w:b/>
              <w:bCs/>
              <w:spacing w:val="-9"/>
              <w:sz w:val="28"/>
              <w:szCs w:val="28"/>
            </w:rPr>
            <w:t>15</w:t>
          </w:r>
          <w:r>
            <w:rPr>
              <w:rFonts w:ascii="Times New Roman" w:hAnsi="Times New Roman" w:eastAsia="Times New Roman" w:cs="Times New Roman"/>
              <w:b/>
              <w:bCs/>
              <w:spacing w:val="-9"/>
              <w:sz w:val="28"/>
              <w:szCs w:val="28"/>
            </w:rPr>
            <w:fldChar w:fldCharType="end"/>
          </w:r>
        </w:p>
        <w:p w14:paraId="27661D33">
          <w:pPr>
            <w:pStyle w:val="2"/>
            <w:spacing w:line="281" w:lineRule="auto"/>
          </w:pPr>
        </w:p>
        <w:p w14:paraId="5E83ABAC">
          <w:pPr>
            <w:tabs>
              <w:tab w:val="right" w:leader="dot" w:pos="9070"/>
            </w:tabs>
            <w:spacing w:before="91" w:line="184" w:lineRule="auto"/>
            <w:ind w:left="426"/>
            <w:rPr>
              <w:rFonts w:ascii="Times New Roman" w:hAnsi="Times New Roman" w:eastAsia="Times New Roman" w:cs="Times New Roman"/>
              <w:sz w:val="28"/>
              <w:szCs w:val="28"/>
            </w:rPr>
          </w:pPr>
          <w:r>
            <w:fldChar w:fldCharType="begin"/>
          </w:r>
          <w:r>
            <w:instrText xml:space="preserve"> HYPERLINK \l "bookmark29" </w:instrText>
          </w:r>
          <w:r>
            <w:fldChar w:fldCharType="separate"/>
          </w:r>
          <w:r>
            <w:rPr>
              <w:rFonts w:ascii="Times New Roman" w:hAnsi="Times New Roman" w:eastAsia="Times New Roman" w:cs="Times New Roman"/>
              <w:spacing w:val="-3"/>
              <w:sz w:val="28"/>
              <w:szCs w:val="28"/>
            </w:rPr>
            <w:t>2.</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3"/>
              <w:sz w:val="28"/>
              <w:szCs w:val="28"/>
            </w:rPr>
            <w:t xml:space="preserve">1 </w:t>
          </w:r>
          <w:r>
            <w:rPr>
              <w:rFonts w:ascii="FangSong_GB2312" w:hAnsi="FangSong_GB2312" w:eastAsia="FangSong_GB2312" w:cs="FangSong_GB2312"/>
              <w:spacing w:val="-3"/>
              <w:sz w:val="28"/>
              <w:szCs w:val="28"/>
            </w:rPr>
            <w:t>项目组成及工程布置</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"bookmark28" </w:instrText>
          </w:r>
          <w:r>
            <w:fldChar w:fldCharType="separate"/>
          </w:r>
          <w:r>
            <w:rPr>
              <w:rFonts w:ascii="FangSong_GB2312" w:hAnsi="FangSong_GB2312" w:eastAsia="FangSong_GB2312" w:cs="FangSong_GB2312"/>
              <w:spacing w:val="-95"/>
              <w:sz w:val="28"/>
              <w:szCs w:val="28"/>
            </w:rPr>
            <w:t xml:space="preserve"> </w:t>
          </w:r>
          <w:r>
            <w:rPr>
              <w:rFonts w:ascii="Times New Roman" w:hAnsi="Times New Roman" w:eastAsia="Times New Roman" w:cs="Times New Roman"/>
              <w:spacing w:val="-21"/>
              <w:sz w:val="28"/>
              <w:szCs w:val="28"/>
            </w:rPr>
            <w:t>1</w:t>
          </w:r>
          <w:r>
            <w:rPr>
              <w:rFonts w:ascii="Times New Roman" w:hAnsi="Times New Roman" w:eastAsia="Times New Roman" w:cs="Times New Roman"/>
              <w:spacing w:val="-11"/>
              <w:sz w:val="28"/>
              <w:szCs w:val="28"/>
            </w:rPr>
            <w:t>6</w:t>
          </w:r>
          <w:r>
            <w:rPr>
              <w:rFonts w:ascii="Times New Roman" w:hAnsi="Times New Roman" w:eastAsia="Times New Roman" w:cs="Times New Roman"/>
              <w:spacing w:val="-11"/>
              <w:sz w:val="28"/>
              <w:szCs w:val="28"/>
            </w:rPr>
            <w:fldChar w:fldCharType="end"/>
          </w:r>
        </w:p>
        <w:p w14:paraId="32EAEFC8">
          <w:pPr>
            <w:pStyle w:val="2"/>
            <w:spacing w:line="278" w:lineRule="auto"/>
          </w:pPr>
        </w:p>
        <w:p w14:paraId="527C5ABF">
          <w:pPr>
            <w:tabs>
              <w:tab w:val="right" w:leader="dot" w:pos="9070"/>
            </w:tabs>
            <w:spacing w:before="91" w:line="184" w:lineRule="auto"/>
            <w:ind w:left="426"/>
            <w:rPr>
              <w:rFonts w:ascii="Times New Roman" w:hAnsi="Times New Roman" w:eastAsia="Times New Roman" w:cs="Times New Roman"/>
              <w:sz w:val="28"/>
              <w:szCs w:val="28"/>
            </w:rPr>
          </w:pPr>
          <w:r>
            <w:fldChar w:fldCharType="begin"/>
          </w:r>
          <w:r>
            <w:instrText xml:space="preserve"> HYPERLINK \l "bookmark31" </w:instrText>
          </w:r>
          <w:r>
            <w:fldChar w:fldCharType="separate"/>
          </w:r>
          <w:r>
            <w:rPr>
              <w:rFonts w:ascii="Times New Roman" w:hAnsi="Times New Roman" w:eastAsia="Times New Roman" w:cs="Times New Roman"/>
              <w:spacing w:val="-1"/>
              <w:sz w:val="28"/>
              <w:szCs w:val="28"/>
            </w:rPr>
            <w:t xml:space="preserve">2.2 </w:t>
          </w:r>
          <w:r>
            <w:rPr>
              <w:rFonts w:ascii="FangSong_GB2312" w:hAnsi="FangSong_GB2312" w:eastAsia="FangSong_GB2312" w:cs="FangSong_GB2312"/>
              <w:spacing w:val="-1"/>
              <w:sz w:val="28"/>
              <w:szCs w:val="28"/>
            </w:rPr>
            <w:t>施工组织</w:t>
          </w:r>
          <w:r>
            <w:rPr>
              <w:rFonts w:ascii="FangSong_GB2312" w:hAnsi="FangSong_GB2312" w:eastAsia="FangSong_GB2312" w:cs="FangSong_GB2312"/>
              <w:spacing w:val="-8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"bookmark30" </w:instrText>
          </w:r>
          <w:r>
            <w:fldChar w:fldCharType="separate"/>
          </w:r>
          <w:r>
            <w:rPr>
              <w:rFonts w:ascii="FangSong_GB2312" w:hAnsi="FangSong_GB2312" w:eastAsia="FangSong_GB2312" w:cs="FangSong_GB2312"/>
              <w:spacing w:val="-76"/>
              <w:sz w:val="28"/>
              <w:szCs w:val="28"/>
            </w:rPr>
            <w:t xml:space="preserve"> </w:t>
          </w:r>
          <w:r>
            <w:rPr>
              <w:rFonts w:ascii="Times New Roman" w:hAnsi="Times New Roman" w:eastAsia="Times New Roman" w:cs="Times New Roman"/>
              <w:spacing w:val="-19"/>
              <w:sz w:val="28"/>
              <w:szCs w:val="28"/>
            </w:rPr>
            <w:t>1</w:t>
          </w:r>
          <w:r>
            <w:rPr>
              <w:rFonts w:ascii="Times New Roman" w:hAnsi="Times New Roman" w:eastAsia="Times New Roman" w:cs="Times New Roman"/>
              <w:spacing w:val="-13"/>
              <w:sz w:val="28"/>
              <w:szCs w:val="28"/>
            </w:rPr>
            <w:t>7</w:t>
          </w:r>
          <w:r>
            <w:rPr>
              <w:rFonts w:ascii="Times New Roman" w:hAnsi="Times New Roman" w:eastAsia="Times New Roman" w:cs="Times New Roman"/>
              <w:spacing w:val="-13"/>
              <w:sz w:val="28"/>
              <w:szCs w:val="28"/>
            </w:rPr>
            <w:fldChar w:fldCharType="end"/>
          </w:r>
        </w:p>
        <w:p w14:paraId="21057902">
          <w:pPr>
            <w:pStyle w:val="2"/>
            <w:spacing w:line="281" w:lineRule="auto"/>
          </w:pPr>
        </w:p>
        <w:p w14:paraId="0906229F">
          <w:pPr>
            <w:tabs>
              <w:tab w:val="right" w:leader="dot" w:pos="9070"/>
            </w:tabs>
            <w:spacing w:before="91" w:line="184" w:lineRule="auto"/>
            <w:ind w:left="426"/>
            <w:rPr>
              <w:rFonts w:ascii="Times New Roman" w:hAnsi="Times New Roman" w:eastAsia="Times New Roman" w:cs="Times New Roman"/>
              <w:sz w:val="28"/>
              <w:szCs w:val="28"/>
            </w:rPr>
          </w:pPr>
          <w:r>
            <w:fldChar w:fldCharType="begin"/>
          </w:r>
          <w:r>
            <w:instrText xml:space="preserve"> HYPERLINK \l "bookmark33" </w:instrText>
          </w:r>
          <w:r>
            <w:fldChar w:fldCharType="separate"/>
          </w:r>
          <w:r>
            <w:rPr>
              <w:rFonts w:ascii="Times New Roman" w:hAnsi="Times New Roman" w:eastAsia="Times New Roman" w:cs="Times New Roman"/>
              <w:spacing w:val="-3"/>
              <w:sz w:val="28"/>
              <w:szCs w:val="28"/>
            </w:rPr>
            <w:t>2.3</w:t>
          </w:r>
          <w:r>
            <w:rPr>
              <w:rFonts w:ascii="Times New Roman" w:hAnsi="Times New Roman" w:eastAsia="Times New Roman" w:cs="Times New Roman"/>
              <w:spacing w:val="16"/>
              <w:sz w:val="28"/>
              <w:szCs w:val="28"/>
            </w:rPr>
            <w:t xml:space="preserve"> </w:t>
          </w:r>
          <w:r>
            <w:rPr>
              <w:rFonts w:ascii="FangSong_GB2312" w:hAnsi="FangSong_GB2312" w:eastAsia="FangSong_GB2312" w:cs="FangSong_GB2312"/>
              <w:spacing w:val="-3"/>
              <w:sz w:val="28"/>
              <w:szCs w:val="28"/>
            </w:rPr>
            <w:t>工程占地</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"bookmark32" </w:instrText>
          </w:r>
          <w:r>
            <w:fldChar w:fldCharType="separate"/>
          </w:r>
          <w:r>
            <w:rPr>
              <w:rFonts w:ascii="FangSong_GB2312" w:hAnsi="FangSong_GB2312" w:eastAsia="FangSong_GB2312" w:cs="FangSong_GB2312"/>
              <w:spacing w:val="-76"/>
              <w:sz w:val="28"/>
              <w:szCs w:val="28"/>
            </w:rPr>
            <w:t xml:space="preserve"> </w:t>
          </w:r>
          <w:r>
            <w:rPr>
              <w:rFonts w:ascii="Times New Roman" w:hAnsi="Times New Roman" w:eastAsia="Times New Roman" w:cs="Times New Roman"/>
              <w:spacing w:val="-16"/>
              <w:sz w:val="28"/>
              <w:szCs w:val="28"/>
            </w:rPr>
            <w:t>18</w:t>
          </w:r>
          <w:r>
            <w:rPr>
              <w:rFonts w:ascii="Times New Roman" w:hAnsi="Times New Roman" w:eastAsia="Times New Roman" w:cs="Times New Roman"/>
              <w:spacing w:val="-16"/>
              <w:sz w:val="28"/>
              <w:szCs w:val="28"/>
            </w:rPr>
            <w:fldChar w:fldCharType="end"/>
          </w:r>
        </w:p>
        <w:p w14:paraId="6720C019">
          <w:pPr>
            <w:pStyle w:val="2"/>
            <w:spacing w:line="281" w:lineRule="auto"/>
          </w:pPr>
        </w:p>
        <w:p w14:paraId="58606E82">
          <w:pPr>
            <w:tabs>
              <w:tab w:val="right" w:leader="dot" w:pos="9070"/>
            </w:tabs>
            <w:spacing w:before="91" w:line="184" w:lineRule="auto"/>
            <w:ind w:left="426"/>
            <w:rPr>
              <w:rFonts w:ascii="Times New Roman" w:hAnsi="Times New Roman" w:eastAsia="Times New Roman" w:cs="Times New Roman"/>
              <w:sz w:val="28"/>
              <w:szCs w:val="28"/>
            </w:rPr>
          </w:pPr>
          <w:r>
            <w:fldChar w:fldCharType="begin"/>
          </w:r>
          <w:r>
            <w:instrText xml:space="preserve"> HYPERLINK \l "bookmark35" </w:instrText>
          </w:r>
          <w:r>
            <w:fldChar w:fldCharType="separate"/>
          </w:r>
          <w:r>
            <w:rPr>
              <w:rFonts w:ascii="Times New Roman" w:hAnsi="Times New Roman" w:eastAsia="Times New Roman" w:cs="Times New Roman"/>
              <w:spacing w:val="-1"/>
              <w:sz w:val="28"/>
              <w:szCs w:val="28"/>
            </w:rPr>
            <w:t xml:space="preserve">2.4 </w:t>
          </w:r>
          <w:r>
            <w:rPr>
              <w:rFonts w:ascii="FangSong_GB2312" w:hAnsi="FangSong_GB2312" w:eastAsia="FangSong_GB2312" w:cs="FangSong_GB2312"/>
              <w:spacing w:val="-1"/>
              <w:sz w:val="28"/>
              <w:szCs w:val="28"/>
            </w:rPr>
            <w:t>土石方平衡</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"bookmark34" </w:instrText>
          </w:r>
          <w:r>
            <w:fldChar w:fldCharType="separate"/>
          </w:r>
          <w:r>
            <w:rPr>
              <w:rFonts w:ascii="FangSong_GB2312" w:hAnsi="FangSong_GB2312" w:eastAsia="FangSong_GB2312" w:cs="FangSong_GB2312"/>
              <w:spacing w:val="-78"/>
              <w:sz w:val="28"/>
              <w:szCs w:val="28"/>
            </w:rPr>
            <w:t xml:space="preserve"> </w:t>
          </w:r>
          <w:r>
            <w:rPr>
              <w:rFonts w:ascii="Times New Roman" w:hAnsi="Times New Roman" w:eastAsia="Times New Roman" w:cs="Times New Roman"/>
              <w:spacing w:val="-19"/>
              <w:sz w:val="28"/>
              <w:szCs w:val="28"/>
            </w:rPr>
            <w:t>1</w:t>
          </w:r>
          <w:r>
            <w:rPr>
              <w:rFonts w:ascii="Times New Roman" w:hAnsi="Times New Roman" w:eastAsia="Times New Roman" w:cs="Times New Roman"/>
              <w:spacing w:val="-13"/>
              <w:sz w:val="28"/>
              <w:szCs w:val="28"/>
            </w:rPr>
            <w:t>9</w:t>
          </w:r>
          <w:r>
            <w:rPr>
              <w:rFonts w:ascii="Times New Roman" w:hAnsi="Times New Roman" w:eastAsia="Times New Roman" w:cs="Times New Roman"/>
              <w:spacing w:val="-13"/>
              <w:sz w:val="28"/>
              <w:szCs w:val="28"/>
            </w:rPr>
            <w:fldChar w:fldCharType="end"/>
          </w:r>
        </w:p>
        <w:p w14:paraId="066312B0">
          <w:pPr>
            <w:pStyle w:val="2"/>
            <w:spacing w:line="278" w:lineRule="auto"/>
          </w:pPr>
        </w:p>
        <w:p w14:paraId="54314504">
          <w:pPr>
            <w:tabs>
              <w:tab w:val="right" w:leader="dot" w:pos="9070"/>
            </w:tabs>
            <w:spacing w:before="92" w:line="184" w:lineRule="auto"/>
            <w:ind w:left="426"/>
            <w:rPr>
              <w:rFonts w:ascii="Times New Roman" w:hAnsi="Times New Roman" w:eastAsia="Times New Roman" w:cs="Times New Roman"/>
              <w:sz w:val="28"/>
              <w:szCs w:val="28"/>
            </w:rPr>
          </w:pPr>
          <w:r>
            <w:fldChar w:fldCharType="begin"/>
          </w:r>
          <w:r>
            <w:instrText xml:space="preserve"> HYPERLINK \l "bookmark37" </w:instrText>
          </w:r>
          <w:r>
            <w:fldChar w:fldCharType="separate"/>
          </w:r>
          <w:r>
            <w:rPr>
              <w:rFonts w:ascii="Times New Roman" w:hAnsi="Times New Roman" w:eastAsia="Times New Roman" w:cs="Times New Roman"/>
              <w:spacing w:val="-1"/>
              <w:sz w:val="28"/>
              <w:szCs w:val="28"/>
            </w:rPr>
            <w:t xml:space="preserve">2.5 </w:t>
          </w:r>
          <w:r>
            <w:rPr>
              <w:rFonts w:ascii="FangSong_GB2312" w:hAnsi="FangSong_GB2312" w:eastAsia="FangSong_GB2312" w:cs="FangSong_GB2312"/>
              <w:spacing w:val="-1"/>
              <w:sz w:val="28"/>
              <w:szCs w:val="28"/>
            </w:rPr>
            <w:t>拆迁（移民）安置及专项设施改（迁）建</w:t>
          </w:r>
          <w:r>
            <w:rPr>
              <w:rFonts w:ascii="FangSong_GB2312" w:hAnsi="FangSong_GB2312" w:eastAsia="FangSong_GB2312" w:cs="FangSong_GB2312"/>
              <w:spacing w:val="-72"/>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"bookmark36" </w:instrText>
          </w:r>
          <w:r>
            <w:fldChar w:fldCharType="separate"/>
          </w:r>
          <w:r>
            <w:rPr>
              <w:rFonts w:ascii="FangSong_GB2312" w:hAnsi="FangSong_GB2312" w:eastAsia="FangSong_GB2312" w:cs="FangSong_GB2312"/>
              <w:spacing w:val="-89"/>
              <w:sz w:val="28"/>
              <w:szCs w:val="28"/>
            </w:rPr>
            <w:t xml:space="preserve"> </w:t>
          </w:r>
          <w:r>
            <w:rPr>
              <w:rFonts w:ascii="Times New Roman" w:hAnsi="Times New Roman" w:eastAsia="Times New Roman" w:cs="Times New Roman"/>
              <w:spacing w:val="-2"/>
              <w:sz w:val="28"/>
              <w:szCs w:val="28"/>
            </w:rPr>
            <w:t>20</w:t>
          </w:r>
          <w:r>
            <w:rPr>
              <w:rFonts w:ascii="Times New Roman" w:hAnsi="Times New Roman" w:eastAsia="Times New Roman" w:cs="Times New Roman"/>
              <w:spacing w:val="-2"/>
              <w:sz w:val="28"/>
              <w:szCs w:val="28"/>
            </w:rPr>
            <w:fldChar w:fldCharType="end"/>
          </w:r>
        </w:p>
        <w:p w14:paraId="33A0273A">
          <w:pPr>
            <w:pStyle w:val="2"/>
            <w:spacing w:line="281" w:lineRule="auto"/>
          </w:pPr>
        </w:p>
        <w:p w14:paraId="5711D323">
          <w:pPr>
            <w:tabs>
              <w:tab w:val="right" w:leader="dot" w:pos="9070"/>
            </w:tabs>
            <w:spacing w:before="91" w:line="184" w:lineRule="auto"/>
            <w:ind w:left="426"/>
            <w:rPr>
              <w:rFonts w:ascii="Times New Roman" w:hAnsi="Times New Roman" w:eastAsia="Times New Roman" w:cs="Times New Roman"/>
              <w:sz w:val="28"/>
              <w:szCs w:val="28"/>
            </w:rPr>
          </w:pPr>
          <w:r>
            <w:fldChar w:fldCharType="begin"/>
          </w:r>
          <w:r>
            <w:instrText xml:space="preserve"> HYPERLINK \l "bookmark39" </w:instrText>
          </w:r>
          <w:r>
            <w:fldChar w:fldCharType="separate"/>
          </w:r>
          <w:r>
            <w:rPr>
              <w:rFonts w:ascii="Times New Roman" w:hAnsi="Times New Roman" w:eastAsia="Times New Roman" w:cs="Times New Roman"/>
              <w:spacing w:val="-4"/>
              <w:sz w:val="28"/>
              <w:szCs w:val="28"/>
            </w:rPr>
            <w:t>2.6</w:t>
          </w:r>
          <w:r>
            <w:rPr>
              <w:rFonts w:ascii="Times New Roman" w:hAnsi="Times New Roman" w:eastAsia="Times New Roman" w:cs="Times New Roman"/>
              <w:spacing w:val="22"/>
              <w:sz w:val="28"/>
              <w:szCs w:val="28"/>
            </w:rPr>
            <w:t xml:space="preserve"> </w:t>
          </w:r>
          <w:r>
            <w:rPr>
              <w:rFonts w:ascii="FangSong_GB2312" w:hAnsi="FangSong_GB2312" w:eastAsia="FangSong_GB2312" w:cs="FangSong_GB2312"/>
              <w:spacing w:val="-4"/>
              <w:sz w:val="28"/>
              <w:szCs w:val="28"/>
            </w:rPr>
            <w:t>工程进度</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"bookmark38" </w:instrText>
          </w:r>
          <w:r>
            <w:fldChar w:fldCharType="separate"/>
          </w:r>
          <w:r>
            <w:rPr>
              <w:rFonts w:ascii="FangSong_GB2312" w:hAnsi="FangSong_GB2312" w:eastAsia="FangSong_GB2312" w:cs="FangSong_GB2312"/>
              <w:spacing w:val="-103"/>
              <w:sz w:val="28"/>
              <w:szCs w:val="28"/>
            </w:rPr>
            <w:t xml:space="preserve"> </w:t>
          </w:r>
          <w:r>
            <w:rPr>
              <w:rFonts w:ascii="Times New Roman" w:hAnsi="Times New Roman" w:eastAsia="Times New Roman" w:cs="Times New Roman"/>
              <w:spacing w:val="-2"/>
              <w:sz w:val="28"/>
              <w:szCs w:val="28"/>
            </w:rPr>
            <w:t>20</w:t>
          </w:r>
          <w:r>
            <w:rPr>
              <w:rFonts w:ascii="Times New Roman" w:hAnsi="Times New Roman" w:eastAsia="Times New Roman" w:cs="Times New Roman"/>
              <w:spacing w:val="-2"/>
              <w:sz w:val="28"/>
              <w:szCs w:val="28"/>
            </w:rPr>
            <w:fldChar w:fldCharType="end"/>
          </w:r>
        </w:p>
        <w:p w14:paraId="4A075067">
          <w:pPr>
            <w:pStyle w:val="2"/>
            <w:spacing w:line="281" w:lineRule="auto"/>
          </w:pPr>
        </w:p>
        <w:p w14:paraId="041891A4">
          <w:pPr>
            <w:tabs>
              <w:tab w:val="right" w:leader="dot" w:pos="9070"/>
            </w:tabs>
            <w:spacing w:before="91" w:line="216" w:lineRule="auto"/>
            <w:ind w:left="426"/>
            <w:rPr>
              <w:rFonts w:ascii="Times New Roman" w:hAnsi="Times New Roman" w:eastAsia="Times New Roman" w:cs="Times New Roman"/>
              <w:sz w:val="28"/>
              <w:szCs w:val="28"/>
            </w:rPr>
          </w:pPr>
          <w:r>
            <w:fldChar w:fldCharType="begin"/>
          </w:r>
          <w:r>
            <w:instrText xml:space="preserve"> HYPERLINK \l "bookmark41" </w:instrText>
          </w:r>
          <w:r>
            <w:fldChar w:fldCharType="separate"/>
          </w:r>
          <w:r>
            <w:rPr>
              <w:rFonts w:ascii="Times New Roman" w:hAnsi="Times New Roman" w:eastAsia="Times New Roman" w:cs="Times New Roman"/>
              <w:spacing w:val="-10"/>
              <w:sz w:val="28"/>
              <w:szCs w:val="28"/>
            </w:rPr>
            <w:t>2.7</w:t>
          </w:r>
          <w:r>
            <w:rPr>
              <w:rFonts w:ascii="Times New Roman" w:hAnsi="Times New Roman" w:eastAsia="Times New Roman" w:cs="Times New Roman"/>
              <w:spacing w:val="64"/>
              <w:sz w:val="28"/>
              <w:szCs w:val="28"/>
            </w:rPr>
            <w:t xml:space="preserve"> </w:t>
          </w:r>
          <w:r>
            <w:rPr>
              <w:rFonts w:ascii="FangSong_GB2312" w:hAnsi="FangSong_GB2312" w:eastAsia="FangSong_GB2312" w:cs="FangSong_GB2312"/>
              <w:spacing w:val="-10"/>
              <w:sz w:val="28"/>
              <w:szCs w:val="28"/>
            </w:rPr>
            <w:t>自然概况</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"bookmark40" </w:instrText>
          </w:r>
          <w:r>
            <w:fldChar w:fldCharType="separate"/>
          </w:r>
          <w:r>
            <w:rPr>
              <w:rFonts w:ascii="FangSong_GB2312" w:hAnsi="FangSong_GB2312" w:eastAsia="FangSong_GB2312" w:cs="FangSong_GB2312"/>
              <w:spacing w:val="-103"/>
              <w:sz w:val="28"/>
              <w:szCs w:val="28"/>
            </w:rPr>
            <w:t xml:space="preserve"> </w:t>
          </w:r>
          <w:r>
            <w:rPr>
              <w:rFonts w:ascii="Times New Roman" w:hAnsi="Times New Roman" w:eastAsia="Times New Roman" w:cs="Times New Roman"/>
              <w:spacing w:val="-2"/>
              <w:sz w:val="28"/>
              <w:szCs w:val="28"/>
            </w:rPr>
            <w:t>20</w:t>
          </w:r>
          <w:r>
            <w:rPr>
              <w:rFonts w:ascii="Times New Roman" w:hAnsi="Times New Roman" w:eastAsia="Times New Roman" w:cs="Times New Roman"/>
              <w:spacing w:val="-2"/>
              <w:sz w:val="28"/>
              <w:szCs w:val="28"/>
            </w:rPr>
            <w:fldChar w:fldCharType="end"/>
          </w:r>
        </w:p>
      </w:sdtContent>
    </w:sdt>
    <w:p w14:paraId="224495A5">
      <w:pPr>
        <w:spacing w:line="216" w:lineRule="auto"/>
        <w:rPr>
          <w:rFonts w:ascii="Times New Roman" w:hAnsi="Times New Roman" w:eastAsia="Times New Roman" w:cs="Times New Roman"/>
          <w:sz w:val="28"/>
          <w:szCs w:val="28"/>
        </w:rPr>
        <w:sectPr>
          <w:headerReference r:id="rId12" w:type="default"/>
          <w:footerReference r:id="rId13" w:type="default"/>
          <w:pgSz w:w="11906" w:h="16839"/>
          <w:pgMar w:top="1167" w:right="1416" w:bottom="1149" w:left="1418" w:header="830" w:footer="989" w:gutter="0"/>
          <w:cols w:space="720" w:num="1"/>
        </w:sectPr>
      </w:pPr>
    </w:p>
    <w:p w14:paraId="58DBE286">
      <w:pPr>
        <w:pStyle w:val="2"/>
        <w:spacing w:line="344" w:lineRule="auto"/>
      </w:pPr>
    </w:p>
    <w:sdt>
      <w:sdtPr>
        <w:rPr>
          <w:rFonts w:ascii="Times New Roman" w:hAnsi="Times New Roman" w:eastAsia="Times New Roman" w:cs="Times New Roman"/>
          <w:sz w:val="28"/>
          <w:szCs w:val="28"/>
        </w:rPr>
        <w:id w:val="147473056"/>
        <w:docPartObj>
          <w:docPartGallery w:val="Table of Contents"/>
          <w:docPartUnique/>
        </w:docPartObj>
      </w:sdtPr>
      <w:sdtEndPr>
        <w:rPr>
          <w:rFonts w:ascii="Times New Roman" w:hAnsi="Times New Roman" w:eastAsia="Times New Roman" w:cs="Times New Roman"/>
          <w:sz w:val="28"/>
          <w:szCs w:val="28"/>
        </w:rPr>
      </w:sdtEndPr>
      <w:sdtContent>
        <w:p w14:paraId="3EDA41C0">
          <w:pPr>
            <w:tabs>
              <w:tab w:val="right" w:leader="dot" w:pos="9070"/>
            </w:tabs>
            <w:spacing w:before="91" w:line="184" w:lineRule="auto"/>
            <w:ind w:left="4"/>
            <w:rPr>
              <w:rFonts w:ascii="Times New Roman" w:hAnsi="Times New Roman" w:eastAsia="Times New Roman" w:cs="Times New Roman"/>
              <w:sz w:val="28"/>
              <w:szCs w:val="28"/>
            </w:rPr>
          </w:pPr>
          <w:bookmarkStart w:id="1" w:name="bookmark42"/>
          <w:bookmarkEnd w:id="1"/>
          <w:r>
            <w:fldChar w:fldCharType="begin"/>
          </w:r>
          <w:r>
            <w:instrText xml:space="preserve"> HYPERLINK \l "bookmark44" </w:instrText>
          </w:r>
          <w:r>
            <w:fldChar w:fldCharType="separate"/>
          </w:r>
          <w:r>
            <w:rPr>
              <w:rFonts w:ascii="Times New Roman" w:hAnsi="Times New Roman" w:eastAsia="Times New Roman" w:cs="Times New Roman"/>
              <w:b/>
              <w:bCs/>
              <w:spacing w:val="-2"/>
              <w:sz w:val="28"/>
              <w:szCs w:val="28"/>
            </w:rPr>
            <w:t xml:space="preserve">3  </w:t>
          </w:r>
          <w:r>
            <w:rPr>
              <w:rFonts w:ascii="FangSong_GB2312" w:hAnsi="FangSong_GB2312" w:eastAsia="FangSong_GB2312" w:cs="FangSong_GB2312"/>
              <w:b/>
              <w:bCs/>
              <w:spacing w:val="-2"/>
              <w:sz w:val="28"/>
              <w:szCs w:val="28"/>
            </w:rPr>
            <w:t>项目水土保持评价</w:t>
          </w:r>
          <w:r>
            <w:rPr>
              <w:rFonts w:ascii="FangSong_GB2312" w:hAnsi="FangSong_GB2312" w:eastAsia="FangSong_GB2312" w:cs="FangSong_GB2312"/>
              <w:spacing w:val="-94"/>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"bookmark43" </w:instrText>
          </w:r>
          <w:r>
            <w:fldChar w:fldCharType="separate"/>
          </w:r>
          <w:r>
            <w:rPr>
              <w:rFonts w:ascii="FangSong_GB2312" w:hAnsi="FangSong_GB2312" w:eastAsia="FangSong_GB2312" w:cs="FangSong_GB2312"/>
              <w:spacing w:val="-116"/>
              <w:sz w:val="28"/>
              <w:szCs w:val="28"/>
            </w:rPr>
            <w:t xml:space="preserve"> </w:t>
          </w:r>
          <w:r>
            <w:rPr>
              <w:rFonts w:ascii="Times New Roman" w:hAnsi="Times New Roman" w:eastAsia="Times New Roman" w:cs="Times New Roman"/>
              <w:b/>
              <w:bCs/>
              <w:spacing w:val="-3"/>
              <w:sz w:val="28"/>
              <w:szCs w:val="28"/>
            </w:rPr>
            <w:t>25</w:t>
          </w:r>
          <w:r>
            <w:rPr>
              <w:rFonts w:ascii="Times New Roman" w:hAnsi="Times New Roman" w:eastAsia="Times New Roman" w:cs="Times New Roman"/>
              <w:b/>
              <w:bCs/>
              <w:spacing w:val="-3"/>
              <w:sz w:val="28"/>
              <w:szCs w:val="28"/>
            </w:rPr>
            <w:fldChar w:fldCharType="end"/>
          </w:r>
        </w:p>
        <w:p w14:paraId="1EDC4F8D">
          <w:pPr>
            <w:pStyle w:val="2"/>
            <w:spacing w:line="281" w:lineRule="auto"/>
          </w:pPr>
        </w:p>
        <w:p w14:paraId="4491A968">
          <w:pPr>
            <w:tabs>
              <w:tab w:val="right" w:leader="dot" w:pos="9070"/>
            </w:tabs>
            <w:spacing w:before="91" w:line="184" w:lineRule="auto"/>
            <w:ind w:left="431"/>
            <w:rPr>
              <w:rFonts w:ascii="Times New Roman" w:hAnsi="Times New Roman" w:eastAsia="Times New Roman" w:cs="Times New Roman"/>
              <w:sz w:val="28"/>
              <w:szCs w:val="28"/>
            </w:rPr>
          </w:pPr>
          <w:r>
            <w:fldChar w:fldCharType="begin"/>
          </w:r>
          <w:r>
            <w:instrText xml:space="preserve"> HYPERLINK \l "bookmark46" </w:instrText>
          </w:r>
          <w:r>
            <w:fldChar w:fldCharType="separate"/>
          </w:r>
          <w:r>
            <w:rPr>
              <w:rFonts w:ascii="Times New Roman" w:hAnsi="Times New Roman" w:eastAsia="Times New Roman" w:cs="Times New Roman"/>
              <w:spacing w:val="-3"/>
              <w:sz w:val="28"/>
              <w:szCs w:val="28"/>
            </w:rPr>
            <w:t>3.1</w:t>
          </w:r>
          <w:r>
            <w:rPr>
              <w:rFonts w:ascii="Times New Roman" w:hAnsi="Times New Roman" w:eastAsia="Times New Roman" w:cs="Times New Roman"/>
              <w:spacing w:val="32"/>
              <w:sz w:val="28"/>
              <w:szCs w:val="28"/>
            </w:rPr>
            <w:t xml:space="preserve"> </w:t>
          </w:r>
          <w:r>
            <w:rPr>
              <w:rFonts w:ascii="FangSong_GB2312" w:hAnsi="FangSong_GB2312" w:eastAsia="FangSong_GB2312" w:cs="FangSong_GB2312"/>
              <w:spacing w:val="-3"/>
              <w:sz w:val="28"/>
              <w:szCs w:val="28"/>
            </w:rPr>
            <w:t>主体工程选址水土保持评价</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"bookmark45" </w:instrText>
          </w:r>
          <w:r>
            <w:fldChar w:fldCharType="separate"/>
          </w:r>
          <w:r>
            <w:rPr>
              <w:rFonts w:ascii="Times New Roman" w:hAnsi="Times New Roman" w:eastAsia="Times New Roman" w:cs="Times New Roman"/>
              <w:spacing w:val="1"/>
              <w:sz w:val="28"/>
              <w:szCs w:val="28"/>
            </w:rPr>
            <w:t>25</w:t>
          </w:r>
          <w:r>
            <w:rPr>
              <w:rFonts w:ascii="Times New Roman" w:hAnsi="Times New Roman" w:eastAsia="Times New Roman" w:cs="Times New Roman"/>
              <w:spacing w:val="1"/>
              <w:sz w:val="28"/>
              <w:szCs w:val="28"/>
            </w:rPr>
            <w:fldChar w:fldCharType="end"/>
          </w:r>
        </w:p>
        <w:p w14:paraId="2D5770AD">
          <w:pPr>
            <w:pStyle w:val="2"/>
            <w:spacing w:line="281" w:lineRule="auto"/>
          </w:pPr>
        </w:p>
        <w:p w14:paraId="0733E390">
          <w:pPr>
            <w:tabs>
              <w:tab w:val="right" w:leader="dot" w:pos="9070"/>
            </w:tabs>
            <w:spacing w:before="91" w:line="184" w:lineRule="auto"/>
            <w:ind w:left="431"/>
            <w:rPr>
              <w:rFonts w:ascii="Times New Roman" w:hAnsi="Times New Roman" w:eastAsia="Times New Roman" w:cs="Times New Roman"/>
              <w:sz w:val="28"/>
              <w:szCs w:val="28"/>
            </w:rPr>
          </w:pPr>
          <w:r>
            <w:fldChar w:fldCharType="begin"/>
          </w:r>
          <w:r>
            <w:instrText xml:space="preserve"> HYPERLINK \l "bookmark48" </w:instrText>
          </w:r>
          <w:r>
            <w:fldChar w:fldCharType="separate"/>
          </w:r>
          <w:r>
            <w:rPr>
              <w:rFonts w:ascii="Times New Roman" w:hAnsi="Times New Roman" w:eastAsia="Times New Roman" w:cs="Times New Roman"/>
              <w:spacing w:val="-1"/>
              <w:sz w:val="28"/>
              <w:szCs w:val="28"/>
            </w:rPr>
            <w:t xml:space="preserve">3.2  </w:t>
          </w:r>
          <w:r>
            <w:rPr>
              <w:rFonts w:ascii="FangSong_GB2312" w:hAnsi="FangSong_GB2312" w:eastAsia="FangSong_GB2312" w:cs="FangSong_GB2312"/>
              <w:spacing w:val="-1"/>
              <w:sz w:val="28"/>
              <w:szCs w:val="28"/>
            </w:rPr>
            <w:t>建设方案与布局水土保持评价</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"bookmark47" </w:instrText>
          </w:r>
          <w:r>
            <w:fldChar w:fldCharType="separate"/>
          </w:r>
          <w:r>
            <w:rPr>
              <w:rFonts w:ascii="FangSong_GB2312" w:hAnsi="FangSong_GB2312" w:eastAsia="FangSong_GB2312" w:cs="FangSong_GB2312"/>
              <w:spacing w:val="-70"/>
              <w:sz w:val="28"/>
              <w:szCs w:val="28"/>
            </w:rPr>
            <w:t xml:space="preserve"> </w:t>
          </w:r>
          <w:r>
            <w:rPr>
              <w:rFonts w:ascii="Times New Roman" w:hAnsi="Times New Roman" w:eastAsia="Times New Roman" w:cs="Times New Roman"/>
              <w:spacing w:val="-2"/>
              <w:sz w:val="28"/>
              <w:szCs w:val="28"/>
            </w:rPr>
            <w:t>26</w:t>
          </w:r>
          <w:r>
            <w:rPr>
              <w:rFonts w:ascii="Times New Roman" w:hAnsi="Times New Roman" w:eastAsia="Times New Roman" w:cs="Times New Roman"/>
              <w:spacing w:val="-2"/>
              <w:sz w:val="28"/>
              <w:szCs w:val="28"/>
            </w:rPr>
            <w:fldChar w:fldCharType="end"/>
          </w:r>
        </w:p>
        <w:p w14:paraId="20ADAFDE">
          <w:pPr>
            <w:pStyle w:val="2"/>
            <w:spacing w:line="278" w:lineRule="auto"/>
          </w:pPr>
        </w:p>
        <w:p w14:paraId="787C11A3">
          <w:pPr>
            <w:tabs>
              <w:tab w:val="right" w:leader="dot" w:pos="9070"/>
            </w:tabs>
            <w:spacing w:before="91" w:line="184" w:lineRule="auto"/>
            <w:ind w:left="431"/>
            <w:rPr>
              <w:rFonts w:ascii="Times New Roman" w:hAnsi="Times New Roman" w:eastAsia="Times New Roman" w:cs="Times New Roman"/>
              <w:sz w:val="28"/>
              <w:szCs w:val="28"/>
            </w:rPr>
          </w:pPr>
          <w:r>
            <w:fldChar w:fldCharType="begin"/>
          </w:r>
          <w:r>
            <w:instrText xml:space="preserve"> HYPERLINK \l "bookmark50" </w:instrText>
          </w:r>
          <w:r>
            <w:fldChar w:fldCharType="separate"/>
          </w:r>
          <w:r>
            <w:rPr>
              <w:rFonts w:ascii="Times New Roman" w:hAnsi="Times New Roman" w:eastAsia="Times New Roman" w:cs="Times New Roman"/>
              <w:spacing w:val="-1"/>
              <w:sz w:val="28"/>
              <w:szCs w:val="28"/>
            </w:rPr>
            <w:t xml:space="preserve">3.3  </w:t>
          </w:r>
          <w:r>
            <w:rPr>
              <w:rFonts w:ascii="FangSong_GB2312" w:hAnsi="FangSong_GB2312" w:eastAsia="FangSong_GB2312" w:cs="FangSong_GB2312"/>
              <w:spacing w:val="-1"/>
              <w:sz w:val="28"/>
              <w:szCs w:val="28"/>
            </w:rPr>
            <w:t>主体工程设计中水土保持措施界定</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"bookmark49" </w:instrText>
          </w:r>
          <w:r>
            <w:fldChar w:fldCharType="separate"/>
          </w:r>
          <w:r>
            <w:rPr>
              <w:rFonts w:ascii="FangSong_GB2312" w:hAnsi="FangSong_GB2312" w:eastAsia="FangSong_GB2312" w:cs="FangSong_GB2312"/>
              <w:spacing w:val="-72"/>
              <w:sz w:val="28"/>
              <w:szCs w:val="28"/>
            </w:rPr>
            <w:t xml:space="preserve"> </w:t>
          </w:r>
          <w:r>
            <w:rPr>
              <w:rFonts w:ascii="Times New Roman" w:hAnsi="Times New Roman" w:eastAsia="Times New Roman" w:cs="Times New Roman"/>
              <w:spacing w:val="-5"/>
              <w:sz w:val="28"/>
              <w:szCs w:val="28"/>
            </w:rPr>
            <w:t>30</w:t>
          </w:r>
          <w:r>
            <w:rPr>
              <w:rFonts w:ascii="Times New Roman" w:hAnsi="Times New Roman" w:eastAsia="Times New Roman" w:cs="Times New Roman"/>
              <w:spacing w:val="-5"/>
              <w:sz w:val="28"/>
              <w:szCs w:val="28"/>
            </w:rPr>
            <w:fldChar w:fldCharType="end"/>
          </w:r>
        </w:p>
        <w:p w14:paraId="63269891">
          <w:pPr>
            <w:pStyle w:val="2"/>
            <w:spacing w:line="281" w:lineRule="auto"/>
          </w:pPr>
        </w:p>
        <w:p w14:paraId="3FC8F4C2">
          <w:pPr>
            <w:tabs>
              <w:tab w:val="right" w:leader="dot" w:pos="9070"/>
            </w:tabs>
            <w:spacing w:before="91" w:line="184" w:lineRule="auto"/>
            <w:ind w:left="7"/>
            <w:rPr>
              <w:rFonts w:ascii="Times New Roman" w:hAnsi="Times New Roman" w:eastAsia="Times New Roman" w:cs="Times New Roman"/>
              <w:sz w:val="28"/>
              <w:szCs w:val="28"/>
            </w:rPr>
          </w:pPr>
          <w:r>
            <w:fldChar w:fldCharType="begin"/>
          </w:r>
          <w:r>
            <w:instrText xml:space="preserve"> HYPERLINK \l "bookmark52" </w:instrText>
          </w:r>
          <w:r>
            <w:fldChar w:fldCharType="separate"/>
          </w:r>
          <w:r>
            <w:rPr>
              <w:rFonts w:ascii="Times New Roman" w:hAnsi="Times New Roman" w:eastAsia="Times New Roman" w:cs="Times New Roman"/>
              <w:b/>
              <w:bCs/>
              <w:spacing w:val="-3"/>
              <w:sz w:val="28"/>
              <w:szCs w:val="28"/>
            </w:rPr>
            <w:t xml:space="preserve">4  </w:t>
          </w:r>
          <w:r>
            <w:rPr>
              <w:rFonts w:ascii="FangSong_GB2312" w:hAnsi="FangSong_GB2312" w:eastAsia="FangSong_GB2312" w:cs="FangSong_GB2312"/>
              <w:b/>
              <w:bCs/>
              <w:spacing w:val="-3"/>
              <w:sz w:val="28"/>
              <w:szCs w:val="28"/>
            </w:rPr>
            <w:t>水土流失分析与调查</w:t>
          </w:r>
          <w:r>
            <w:rPr>
              <w:rFonts w:ascii="FangSong_GB2312" w:hAnsi="FangSong_GB2312" w:eastAsia="FangSong_GB2312" w:cs="FangSong_GB2312"/>
              <w:spacing w:val="-8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"bookmark51" </w:instrText>
          </w:r>
          <w:r>
            <w:fldChar w:fldCharType="separate"/>
          </w:r>
          <w:r>
            <w:rPr>
              <w:rFonts w:ascii="FangSong_GB2312" w:hAnsi="FangSong_GB2312" w:eastAsia="FangSong_GB2312" w:cs="FangSong_GB2312"/>
              <w:spacing w:val="-123"/>
              <w:sz w:val="28"/>
              <w:szCs w:val="28"/>
            </w:rPr>
            <w:t xml:space="preserve"> </w:t>
          </w:r>
          <w:r>
            <w:rPr>
              <w:rFonts w:ascii="Times New Roman" w:hAnsi="Times New Roman" w:eastAsia="Times New Roman" w:cs="Times New Roman"/>
              <w:b/>
              <w:bCs/>
              <w:spacing w:val="-2"/>
              <w:sz w:val="28"/>
              <w:szCs w:val="28"/>
            </w:rPr>
            <w:t>31</w:t>
          </w:r>
          <w:r>
            <w:rPr>
              <w:rFonts w:ascii="Times New Roman" w:hAnsi="Times New Roman" w:eastAsia="Times New Roman" w:cs="Times New Roman"/>
              <w:b/>
              <w:bCs/>
              <w:spacing w:val="-2"/>
              <w:sz w:val="28"/>
              <w:szCs w:val="28"/>
            </w:rPr>
            <w:fldChar w:fldCharType="end"/>
          </w:r>
        </w:p>
        <w:p w14:paraId="640C887B">
          <w:pPr>
            <w:pStyle w:val="2"/>
            <w:spacing w:line="281" w:lineRule="auto"/>
          </w:pPr>
        </w:p>
        <w:p w14:paraId="13D0C1ED">
          <w:pPr>
            <w:tabs>
              <w:tab w:val="right" w:leader="dot" w:pos="9070"/>
            </w:tabs>
            <w:spacing w:before="91" w:line="184" w:lineRule="auto"/>
            <w:ind w:left="424"/>
            <w:rPr>
              <w:rFonts w:ascii="Times New Roman" w:hAnsi="Times New Roman" w:eastAsia="Times New Roman" w:cs="Times New Roman"/>
              <w:sz w:val="28"/>
              <w:szCs w:val="28"/>
            </w:rPr>
          </w:pPr>
          <w:r>
            <w:fldChar w:fldCharType="begin"/>
          </w:r>
          <w:r>
            <w:instrText xml:space="preserve"> HYPERLINK \l "bookmark54" </w:instrText>
          </w:r>
          <w:r>
            <w:fldChar w:fldCharType="separate"/>
          </w:r>
          <w:r>
            <w:rPr>
              <w:rFonts w:ascii="Times New Roman" w:hAnsi="Times New Roman" w:eastAsia="Times New Roman" w:cs="Times New Roman"/>
              <w:spacing w:val="-4"/>
              <w:sz w:val="28"/>
              <w:szCs w:val="28"/>
            </w:rPr>
            <w:t>4.</w:t>
          </w:r>
          <w:r>
            <w:rPr>
              <w:rFonts w:ascii="Times New Roman" w:hAnsi="Times New Roman" w:eastAsia="Times New Roman" w:cs="Times New Roman"/>
              <w:spacing w:val="-36"/>
              <w:sz w:val="28"/>
              <w:szCs w:val="28"/>
            </w:rPr>
            <w:t xml:space="preserve"> </w:t>
          </w:r>
          <w:r>
            <w:rPr>
              <w:rFonts w:ascii="Times New Roman" w:hAnsi="Times New Roman" w:eastAsia="Times New Roman" w:cs="Times New Roman"/>
              <w:spacing w:val="-4"/>
              <w:sz w:val="28"/>
              <w:szCs w:val="28"/>
            </w:rPr>
            <w:t xml:space="preserve">1 </w:t>
          </w:r>
          <w:r>
            <w:rPr>
              <w:rFonts w:ascii="FangSong_GB2312" w:hAnsi="FangSong_GB2312" w:eastAsia="FangSong_GB2312" w:cs="FangSong_GB2312"/>
              <w:spacing w:val="-4"/>
              <w:sz w:val="28"/>
              <w:szCs w:val="28"/>
            </w:rPr>
            <w:t>水土流失现状</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"bookmark53" </w:instrText>
          </w:r>
          <w:r>
            <w:fldChar w:fldCharType="separate"/>
          </w:r>
          <w:r>
            <w:rPr>
              <w:rFonts w:ascii="FangSong_GB2312" w:hAnsi="FangSong_GB2312" w:eastAsia="FangSong_GB2312" w:cs="FangSong_GB2312"/>
              <w:spacing w:val="-105"/>
              <w:sz w:val="28"/>
              <w:szCs w:val="28"/>
            </w:rPr>
            <w:t xml:space="preserve"> </w:t>
          </w:r>
          <w:r>
            <w:rPr>
              <w:rFonts w:ascii="Times New Roman" w:hAnsi="Times New Roman" w:eastAsia="Times New Roman" w:cs="Times New Roman"/>
              <w:spacing w:val="-5"/>
              <w:sz w:val="28"/>
              <w:szCs w:val="28"/>
            </w:rPr>
            <w:t>31</w:t>
          </w:r>
          <w:r>
            <w:rPr>
              <w:rFonts w:ascii="Times New Roman" w:hAnsi="Times New Roman" w:eastAsia="Times New Roman" w:cs="Times New Roman"/>
              <w:spacing w:val="-5"/>
              <w:sz w:val="28"/>
              <w:szCs w:val="28"/>
            </w:rPr>
            <w:fldChar w:fldCharType="end"/>
          </w:r>
        </w:p>
        <w:p w14:paraId="486CC053">
          <w:pPr>
            <w:pStyle w:val="2"/>
            <w:spacing w:line="278" w:lineRule="auto"/>
          </w:pPr>
        </w:p>
        <w:p w14:paraId="49441712">
          <w:pPr>
            <w:tabs>
              <w:tab w:val="right" w:leader="dot" w:pos="9070"/>
            </w:tabs>
            <w:spacing w:before="91" w:line="184" w:lineRule="auto"/>
            <w:ind w:left="424"/>
            <w:rPr>
              <w:rFonts w:ascii="Times New Roman" w:hAnsi="Times New Roman" w:eastAsia="Times New Roman" w:cs="Times New Roman"/>
              <w:sz w:val="28"/>
              <w:szCs w:val="28"/>
            </w:rPr>
          </w:pPr>
          <w:r>
            <w:fldChar w:fldCharType="begin"/>
          </w:r>
          <w:r>
            <w:instrText xml:space="preserve"> HYPERLINK \l "bookmark56" </w:instrText>
          </w:r>
          <w:r>
            <w:fldChar w:fldCharType="separate"/>
          </w:r>
          <w:r>
            <w:rPr>
              <w:rFonts w:ascii="Times New Roman" w:hAnsi="Times New Roman" w:eastAsia="Times New Roman" w:cs="Times New Roman"/>
              <w:spacing w:val="-1"/>
              <w:sz w:val="28"/>
              <w:szCs w:val="28"/>
            </w:rPr>
            <w:t xml:space="preserve">4.2 </w:t>
          </w:r>
          <w:r>
            <w:rPr>
              <w:rFonts w:ascii="FangSong_GB2312" w:hAnsi="FangSong_GB2312" w:eastAsia="FangSong_GB2312" w:cs="FangSong_GB2312"/>
              <w:spacing w:val="-1"/>
              <w:sz w:val="28"/>
              <w:szCs w:val="28"/>
            </w:rPr>
            <w:t>水土流失影响因素分析</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"bookmark55" </w:instrText>
          </w:r>
          <w:r>
            <w:fldChar w:fldCharType="separate"/>
          </w:r>
          <w:r>
            <w:rPr>
              <w:rFonts w:ascii="Times New Roman" w:hAnsi="Times New Roman" w:eastAsia="Times New Roman" w:cs="Times New Roman"/>
              <w:spacing w:val="4"/>
              <w:sz w:val="28"/>
              <w:szCs w:val="28"/>
            </w:rPr>
            <w:t>32</w:t>
          </w:r>
          <w:r>
            <w:rPr>
              <w:rFonts w:ascii="Times New Roman" w:hAnsi="Times New Roman" w:eastAsia="Times New Roman" w:cs="Times New Roman"/>
              <w:spacing w:val="4"/>
              <w:sz w:val="28"/>
              <w:szCs w:val="28"/>
            </w:rPr>
            <w:fldChar w:fldCharType="end"/>
          </w:r>
        </w:p>
        <w:p w14:paraId="41853BF4">
          <w:pPr>
            <w:pStyle w:val="2"/>
            <w:spacing w:line="281" w:lineRule="auto"/>
          </w:pPr>
        </w:p>
        <w:p w14:paraId="685FFBCD">
          <w:pPr>
            <w:tabs>
              <w:tab w:val="right" w:leader="dot" w:pos="9070"/>
            </w:tabs>
            <w:spacing w:before="91" w:line="184" w:lineRule="auto"/>
            <w:ind w:left="424"/>
            <w:rPr>
              <w:rFonts w:ascii="Times New Roman" w:hAnsi="Times New Roman" w:eastAsia="Times New Roman" w:cs="Times New Roman"/>
              <w:sz w:val="28"/>
              <w:szCs w:val="28"/>
            </w:rPr>
          </w:pPr>
          <w:r>
            <w:fldChar w:fldCharType="begin"/>
          </w:r>
          <w:r>
            <w:instrText xml:space="preserve"> HYPERLINK \l "bookmark58" </w:instrText>
          </w:r>
          <w:r>
            <w:fldChar w:fldCharType="separate"/>
          </w:r>
          <w:r>
            <w:rPr>
              <w:rFonts w:ascii="Times New Roman" w:hAnsi="Times New Roman" w:eastAsia="Times New Roman" w:cs="Times New Roman"/>
              <w:spacing w:val="-1"/>
              <w:sz w:val="28"/>
              <w:szCs w:val="28"/>
            </w:rPr>
            <w:t xml:space="preserve">4.3 </w:t>
          </w:r>
          <w:r>
            <w:rPr>
              <w:rFonts w:ascii="FangSong_GB2312" w:hAnsi="FangSong_GB2312" w:eastAsia="FangSong_GB2312" w:cs="FangSong_GB2312"/>
              <w:spacing w:val="-1"/>
              <w:sz w:val="28"/>
              <w:szCs w:val="28"/>
            </w:rPr>
            <w:t>土壤流失量调查</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"bookmark57" </w:instrText>
          </w:r>
          <w:r>
            <w:fldChar w:fldCharType="separate"/>
          </w:r>
          <w:r>
            <w:rPr>
              <w:rFonts w:ascii="FangSong_GB2312" w:hAnsi="FangSong_GB2312" w:eastAsia="FangSong_GB2312" w:cs="FangSong_GB2312"/>
              <w:spacing w:val="-110"/>
              <w:sz w:val="28"/>
              <w:szCs w:val="28"/>
            </w:rPr>
            <w:t xml:space="preserve"> </w:t>
          </w:r>
          <w:r>
            <w:rPr>
              <w:rFonts w:ascii="Times New Roman" w:hAnsi="Times New Roman" w:eastAsia="Times New Roman" w:cs="Times New Roman"/>
              <w:spacing w:val="-5"/>
              <w:sz w:val="28"/>
              <w:szCs w:val="28"/>
            </w:rPr>
            <w:t>33</w:t>
          </w:r>
          <w:r>
            <w:rPr>
              <w:rFonts w:ascii="Times New Roman" w:hAnsi="Times New Roman" w:eastAsia="Times New Roman" w:cs="Times New Roman"/>
              <w:spacing w:val="-5"/>
              <w:sz w:val="28"/>
              <w:szCs w:val="28"/>
            </w:rPr>
            <w:fldChar w:fldCharType="end"/>
          </w:r>
        </w:p>
        <w:p w14:paraId="4B092C91">
          <w:pPr>
            <w:pStyle w:val="2"/>
            <w:spacing w:line="281" w:lineRule="auto"/>
          </w:pPr>
        </w:p>
        <w:p w14:paraId="5990B347">
          <w:pPr>
            <w:tabs>
              <w:tab w:val="right" w:leader="dot" w:pos="9070"/>
            </w:tabs>
            <w:spacing w:before="91" w:line="184" w:lineRule="auto"/>
            <w:ind w:left="9"/>
            <w:rPr>
              <w:rFonts w:ascii="Times New Roman" w:hAnsi="Times New Roman" w:eastAsia="Times New Roman" w:cs="Times New Roman"/>
              <w:sz w:val="28"/>
              <w:szCs w:val="28"/>
            </w:rPr>
          </w:pPr>
          <w:r>
            <w:fldChar w:fldCharType="begin"/>
          </w:r>
          <w:r>
            <w:instrText xml:space="preserve"> HYPERLINK \l "bookmark60" </w:instrText>
          </w:r>
          <w:r>
            <w:fldChar w:fldCharType="separate"/>
          </w:r>
          <w:r>
            <w:rPr>
              <w:rFonts w:ascii="Times New Roman" w:hAnsi="Times New Roman" w:eastAsia="Times New Roman" w:cs="Times New Roman"/>
              <w:b/>
              <w:bCs/>
              <w:spacing w:val="-3"/>
              <w:sz w:val="28"/>
              <w:szCs w:val="28"/>
            </w:rPr>
            <w:t xml:space="preserve">5  </w:t>
          </w:r>
          <w:r>
            <w:rPr>
              <w:rFonts w:ascii="FangSong_GB2312" w:hAnsi="FangSong_GB2312" w:eastAsia="FangSong_GB2312" w:cs="FangSong_GB2312"/>
              <w:b/>
              <w:bCs/>
              <w:spacing w:val="-3"/>
              <w:sz w:val="28"/>
              <w:szCs w:val="28"/>
            </w:rPr>
            <w:t>水土流失防治目标及水土保持措施设计</w:t>
          </w:r>
          <w:r>
            <w:rPr>
              <w:rFonts w:ascii="FangSong_GB2312" w:hAnsi="FangSong_GB2312" w:eastAsia="FangSong_GB2312" w:cs="FangSong_GB2312"/>
              <w:spacing w:val="-78"/>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"bookmark59" </w:instrText>
          </w:r>
          <w:r>
            <w:fldChar w:fldCharType="separate"/>
          </w:r>
          <w:r>
            <w:rPr>
              <w:rFonts w:ascii="FangSong_GB2312" w:hAnsi="FangSong_GB2312" w:eastAsia="FangSong_GB2312" w:cs="FangSong_GB2312"/>
              <w:spacing w:val="-95"/>
              <w:sz w:val="28"/>
              <w:szCs w:val="28"/>
            </w:rPr>
            <w:t xml:space="preserve"> </w:t>
          </w:r>
          <w:r>
            <w:rPr>
              <w:rFonts w:ascii="Times New Roman" w:hAnsi="Times New Roman" w:eastAsia="Times New Roman" w:cs="Times New Roman"/>
              <w:b/>
              <w:bCs/>
              <w:spacing w:val="-2"/>
              <w:sz w:val="28"/>
              <w:szCs w:val="28"/>
            </w:rPr>
            <w:t>38</w:t>
          </w:r>
          <w:r>
            <w:rPr>
              <w:rFonts w:ascii="Times New Roman" w:hAnsi="Times New Roman" w:eastAsia="Times New Roman" w:cs="Times New Roman"/>
              <w:b/>
              <w:bCs/>
              <w:spacing w:val="-2"/>
              <w:sz w:val="28"/>
              <w:szCs w:val="28"/>
            </w:rPr>
            <w:fldChar w:fldCharType="end"/>
          </w:r>
        </w:p>
        <w:p w14:paraId="6B42A0C8">
          <w:pPr>
            <w:pStyle w:val="2"/>
            <w:spacing w:line="278" w:lineRule="auto"/>
          </w:pPr>
        </w:p>
        <w:p w14:paraId="2C129F63">
          <w:pPr>
            <w:tabs>
              <w:tab w:val="right" w:leader="dot" w:pos="9070"/>
            </w:tabs>
            <w:spacing w:before="91" w:line="184" w:lineRule="auto"/>
            <w:ind w:left="433"/>
            <w:rPr>
              <w:rFonts w:ascii="Times New Roman" w:hAnsi="Times New Roman" w:eastAsia="Times New Roman" w:cs="Times New Roman"/>
              <w:sz w:val="28"/>
              <w:szCs w:val="28"/>
            </w:rPr>
          </w:pPr>
          <w:r>
            <w:fldChar w:fldCharType="begin"/>
          </w:r>
          <w:r>
            <w:instrText xml:space="preserve"> HYPERLINK \l "bookmark62" </w:instrText>
          </w:r>
          <w:r>
            <w:fldChar w:fldCharType="separate"/>
          </w:r>
          <w:r>
            <w:rPr>
              <w:rFonts w:ascii="Times New Roman" w:hAnsi="Times New Roman" w:eastAsia="Times New Roman" w:cs="Times New Roman"/>
              <w:spacing w:val="-10"/>
              <w:sz w:val="28"/>
              <w:szCs w:val="28"/>
            </w:rPr>
            <w:t>5.</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pacing w:val="-10"/>
              <w:sz w:val="28"/>
              <w:szCs w:val="28"/>
            </w:rPr>
            <w:t>1</w:t>
          </w:r>
          <w:r>
            <w:rPr>
              <w:rFonts w:ascii="Times New Roman" w:hAnsi="Times New Roman" w:eastAsia="Times New Roman" w:cs="Times New Roman"/>
              <w:spacing w:val="35"/>
              <w:sz w:val="28"/>
              <w:szCs w:val="28"/>
            </w:rPr>
            <w:t xml:space="preserve"> </w:t>
          </w:r>
          <w:r>
            <w:rPr>
              <w:rFonts w:ascii="FangSong_GB2312" w:hAnsi="FangSong_GB2312" w:eastAsia="FangSong_GB2312" w:cs="FangSong_GB2312"/>
              <w:spacing w:val="-10"/>
              <w:sz w:val="28"/>
              <w:szCs w:val="28"/>
            </w:rPr>
            <w:t>防治区划分</w:t>
          </w:r>
          <w:r>
            <w:rPr>
              <w:rFonts w:ascii="FangSong_GB2312" w:hAnsi="FangSong_GB2312" w:eastAsia="FangSong_GB2312" w:cs="FangSong_GB2312"/>
              <w:spacing w:val="-89"/>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"bookmark61" </w:instrText>
          </w:r>
          <w:r>
            <w:fldChar w:fldCharType="separate"/>
          </w:r>
          <w:r>
            <w:rPr>
              <w:rFonts w:ascii="FangSong_GB2312" w:hAnsi="FangSong_GB2312" w:eastAsia="FangSong_GB2312" w:cs="FangSong_GB2312"/>
              <w:spacing w:val="-100"/>
              <w:sz w:val="28"/>
              <w:szCs w:val="28"/>
            </w:rPr>
            <w:t xml:space="preserve"> </w:t>
          </w:r>
          <w:r>
            <w:rPr>
              <w:rFonts w:ascii="Times New Roman" w:hAnsi="Times New Roman" w:eastAsia="Times New Roman" w:cs="Times New Roman"/>
              <w:spacing w:val="-5"/>
              <w:sz w:val="28"/>
              <w:szCs w:val="28"/>
            </w:rPr>
            <w:t>38</w:t>
          </w:r>
          <w:r>
            <w:rPr>
              <w:rFonts w:ascii="Times New Roman" w:hAnsi="Times New Roman" w:eastAsia="Times New Roman" w:cs="Times New Roman"/>
              <w:spacing w:val="-5"/>
              <w:sz w:val="28"/>
              <w:szCs w:val="28"/>
            </w:rPr>
            <w:fldChar w:fldCharType="end"/>
          </w:r>
        </w:p>
        <w:p w14:paraId="48B1DD27">
          <w:pPr>
            <w:pStyle w:val="2"/>
            <w:spacing w:line="281" w:lineRule="auto"/>
          </w:pPr>
        </w:p>
        <w:p w14:paraId="5ED31571">
          <w:pPr>
            <w:tabs>
              <w:tab w:val="right" w:leader="dot" w:pos="9070"/>
            </w:tabs>
            <w:spacing w:before="91" w:line="184" w:lineRule="auto"/>
            <w:ind w:left="433"/>
            <w:rPr>
              <w:rFonts w:ascii="Times New Roman" w:hAnsi="Times New Roman" w:eastAsia="Times New Roman" w:cs="Times New Roman"/>
              <w:sz w:val="28"/>
              <w:szCs w:val="28"/>
            </w:rPr>
          </w:pPr>
          <w:r>
            <w:fldChar w:fldCharType="begin"/>
          </w:r>
          <w:r>
            <w:instrText xml:space="preserve"> HYPERLINK \l "bookmark64" </w:instrText>
          </w:r>
          <w:r>
            <w:fldChar w:fldCharType="separate"/>
          </w:r>
          <w:r>
            <w:rPr>
              <w:rFonts w:ascii="Times New Roman" w:hAnsi="Times New Roman" w:eastAsia="Times New Roman" w:cs="Times New Roman"/>
              <w:spacing w:val="-5"/>
              <w:sz w:val="28"/>
              <w:szCs w:val="28"/>
            </w:rPr>
            <w:t>5.2</w:t>
          </w:r>
          <w:r>
            <w:rPr>
              <w:rFonts w:ascii="Times New Roman" w:hAnsi="Times New Roman" w:eastAsia="Times New Roman" w:cs="Times New Roman"/>
              <w:spacing w:val="42"/>
              <w:sz w:val="28"/>
              <w:szCs w:val="28"/>
            </w:rPr>
            <w:t xml:space="preserve"> </w:t>
          </w:r>
          <w:r>
            <w:rPr>
              <w:rFonts w:ascii="FangSong_GB2312" w:hAnsi="FangSong_GB2312" w:eastAsia="FangSong_GB2312" w:cs="FangSong_GB2312"/>
              <w:spacing w:val="-5"/>
              <w:sz w:val="28"/>
              <w:szCs w:val="28"/>
            </w:rPr>
            <w:t>防治措施总体布局</w:t>
          </w:r>
          <w:r>
            <w:rPr>
              <w:rFonts w:ascii="FangSong_GB2312" w:hAnsi="FangSong_GB2312" w:eastAsia="FangSong_GB2312" w:cs="FangSong_GB2312"/>
              <w:spacing w:val="-89"/>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"bookmark63" </w:instrText>
          </w:r>
          <w:r>
            <w:fldChar w:fldCharType="separate"/>
          </w:r>
          <w:r>
            <w:rPr>
              <w:rFonts w:ascii="Times New Roman" w:hAnsi="Times New Roman" w:eastAsia="Times New Roman" w:cs="Times New Roman"/>
              <w:spacing w:val="9"/>
              <w:sz w:val="28"/>
              <w:szCs w:val="28"/>
            </w:rPr>
            <w:t>38</w:t>
          </w:r>
          <w:r>
            <w:rPr>
              <w:rFonts w:ascii="Times New Roman" w:hAnsi="Times New Roman" w:eastAsia="Times New Roman" w:cs="Times New Roman"/>
              <w:spacing w:val="9"/>
              <w:sz w:val="28"/>
              <w:szCs w:val="28"/>
            </w:rPr>
            <w:fldChar w:fldCharType="end"/>
          </w:r>
        </w:p>
        <w:p w14:paraId="1C81E6A1">
          <w:pPr>
            <w:pStyle w:val="2"/>
            <w:spacing w:line="281" w:lineRule="auto"/>
          </w:pPr>
        </w:p>
        <w:p w14:paraId="65833108">
          <w:pPr>
            <w:tabs>
              <w:tab w:val="right" w:leader="dot" w:pos="9070"/>
            </w:tabs>
            <w:spacing w:before="91" w:line="184" w:lineRule="auto"/>
            <w:ind w:left="433"/>
            <w:rPr>
              <w:rFonts w:ascii="Times New Roman" w:hAnsi="Times New Roman" w:eastAsia="Times New Roman" w:cs="Times New Roman"/>
              <w:sz w:val="28"/>
              <w:szCs w:val="28"/>
            </w:rPr>
          </w:pPr>
          <w:r>
            <w:fldChar w:fldCharType="begin"/>
          </w:r>
          <w:r>
            <w:instrText xml:space="preserve"> HYPERLINK \l "bookmark66" </w:instrText>
          </w:r>
          <w:r>
            <w:fldChar w:fldCharType="separate"/>
          </w:r>
          <w:r>
            <w:rPr>
              <w:rFonts w:ascii="Times New Roman" w:hAnsi="Times New Roman" w:eastAsia="Times New Roman" w:cs="Times New Roman"/>
              <w:spacing w:val="-2"/>
              <w:sz w:val="28"/>
              <w:szCs w:val="28"/>
            </w:rPr>
            <w:t xml:space="preserve">5.3 </w:t>
          </w:r>
          <w:r>
            <w:rPr>
              <w:rFonts w:ascii="FangSong_GB2312" w:hAnsi="FangSong_GB2312" w:eastAsia="FangSong_GB2312" w:cs="FangSong_GB2312"/>
              <w:spacing w:val="-2"/>
              <w:sz w:val="28"/>
              <w:szCs w:val="28"/>
            </w:rPr>
            <w:t>分区措施布设</w:t>
          </w:r>
          <w:r>
            <w:rPr>
              <w:rFonts w:ascii="FangSong_GB2312" w:hAnsi="FangSong_GB2312" w:eastAsia="FangSong_GB2312" w:cs="FangSong_GB2312"/>
              <w:spacing w:val="-81"/>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"bookmark65" </w:instrText>
          </w:r>
          <w:r>
            <w:fldChar w:fldCharType="separate"/>
          </w:r>
          <w:r>
            <w:rPr>
              <w:rFonts w:ascii="FangSong_GB2312" w:hAnsi="FangSong_GB2312" w:eastAsia="FangSong_GB2312" w:cs="FangSong_GB2312"/>
              <w:spacing w:val="-105"/>
              <w:sz w:val="28"/>
              <w:szCs w:val="28"/>
            </w:rPr>
            <w:t xml:space="preserve"> </w:t>
          </w:r>
          <w:r>
            <w:rPr>
              <w:rFonts w:ascii="Times New Roman" w:hAnsi="Times New Roman" w:eastAsia="Times New Roman" w:cs="Times New Roman"/>
              <w:spacing w:val="-5"/>
              <w:sz w:val="28"/>
              <w:szCs w:val="28"/>
            </w:rPr>
            <w:t>39</w:t>
          </w:r>
          <w:r>
            <w:rPr>
              <w:rFonts w:ascii="Times New Roman" w:hAnsi="Times New Roman" w:eastAsia="Times New Roman" w:cs="Times New Roman"/>
              <w:spacing w:val="-5"/>
              <w:sz w:val="28"/>
              <w:szCs w:val="28"/>
            </w:rPr>
            <w:fldChar w:fldCharType="end"/>
          </w:r>
        </w:p>
        <w:p w14:paraId="0044C0B9">
          <w:pPr>
            <w:pStyle w:val="2"/>
            <w:spacing w:line="278" w:lineRule="auto"/>
          </w:pPr>
        </w:p>
        <w:p w14:paraId="32679F7E">
          <w:pPr>
            <w:tabs>
              <w:tab w:val="right" w:leader="dot" w:pos="9070"/>
            </w:tabs>
            <w:spacing w:before="91" w:line="184" w:lineRule="auto"/>
            <w:ind w:left="433"/>
            <w:rPr>
              <w:rFonts w:ascii="Times New Roman" w:hAnsi="Times New Roman" w:eastAsia="Times New Roman" w:cs="Times New Roman"/>
              <w:sz w:val="28"/>
              <w:szCs w:val="28"/>
            </w:rPr>
          </w:pPr>
          <w:r>
            <w:fldChar w:fldCharType="begin"/>
          </w:r>
          <w:r>
            <w:instrText xml:space="preserve"> HYPERLINK \l "bookmark68" </w:instrText>
          </w:r>
          <w:r>
            <w:fldChar w:fldCharType="separate"/>
          </w:r>
          <w:r>
            <w:rPr>
              <w:rFonts w:ascii="Times New Roman" w:hAnsi="Times New Roman" w:eastAsia="Times New Roman" w:cs="Times New Roman"/>
              <w:spacing w:val="-2"/>
              <w:sz w:val="28"/>
              <w:szCs w:val="28"/>
            </w:rPr>
            <w:t xml:space="preserve">5.4  </w:t>
          </w:r>
          <w:r>
            <w:rPr>
              <w:rFonts w:ascii="FangSong_GB2312" w:hAnsi="FangSong_GB2312" w:eastAsia="FangSong_GB2312" w:cs="FangSong_GB2312"/>
              <w:spacing w:val="-2"/>
              <w:sz w:val="28"/>
              <w:szCs w:val="28"/>
            </w:rPr>
            <w:t>施工要求</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"bookmark67" </w:instrText>
          </w:r>
          <w:r>
            <w:fldChar w:fldCharType="separate"/>
          </w:r>
          <w:r>
            <w:rPr>
              <w:rFonts w:ascii="FangSong_GB2312" w:hAnsi="FangSong_GB2312" w:eastAsia="FangSong_GB2312" w:cs="FangSong_GB2312"/>
              <w:spacing w:val="-104"/>
              <w:sz w:val="28"/>
              <w:szCs w:val="28"/>
            </w:rPr>
            <w:t xml:space="preserve"> </w:t>
          </w:r>
          <w:r>
            <w:rPr>
              <w:rFonts w:ascii="Times New Roman" w:hAnsi="Times New Roman" w:eastAsia="Times New Roman" w:cs="Times New Roman"/>
              <w:spacing w:val="-2"/>
              <w:sz w:val="28"/>
              <w:szCs w:val="28"/>
            </w:rPr>
            <w:t>40</w:t>
          </w:r>
          <w:r>
            <w:rPr>
              <w:rFonts w:ascii="Times New Roman" w:hAnsi="Times New Roman" w:eastAsia="Times New Roman" w:cs="Times New Roman"/>
              <w:spacing w:val="-2"/>
              <w:sz w:val="28"/>
              <w:szCs w:val="28"/>
            </w:rPr>
            <w:fldChar w:fldCharType="end"/>
          </w:r>
        </w:p>
        <w:p w14:paraId="5DCC10AA">
          <w:pPr>
            <w:pStyle w:val="2"/>
            <w:spacing w:line="281" w:lineRule="auto"/>
          </w:pPr>
        </w:p>
        <w:p w14:paraId="01BB31D6">
          <w:pPr>
            <w:tabs>
              <w:tab w:val="right" w:leader="dot" w:pos="9070"/>
            </w:tabs>
            <w:spacing w:before="91" w:line="184" w:lineRule="auto"/>
            <w:ind w:left="10"/>
            <w:rPr>
              <w:rFonts w:ascii="Times New Roman" w:hAnsi="Times New Roman" w:eastAsia="Times New Roman" w:cs="Times New Roman"/>
              <w:sz w:val="28"/>
              <w:szCs w:val="28"/>
            </w:rPr>
          </w:pPr>
          <w:r>
            <w:fldChar w:fldCharType="begin"/>
          </w:r>
          <w:r>
            <w:instrText xml:space="preserve"> HYPERLINK \l "bookmark70" </w:instrText>
          </w:r>
          <w:r>
            <w:fldChar w:fldCharType="separate"/>
          </w:r>
          <w:r>
            <w:rPr>
              <w:rFonts w:ascii="Times New Roman" w:hAnsi="Times New Roman" w:eastAsia="Times New Roman" w:cs="Times New Roman"/>
              <w:b/>
              <w:bCs/>
              <w:spacing w:val="-3"/>
              <w:sz w:val="28"/>
              <w:szCs w:val="28"/>
            </w:rPr>
            <w:t xml:space="preserve">6 </w:t>
          </w:r>
          <w:r>
            <w:rPr>
              <w:rFonts w:ascii="FangSong_GB2312" w:hAnsi="FangSong_GB2312" w:eastAsia="FangSong_GB2312" w:cs="FangSong_GB2312"/>
              <w:b/>
              <w:bCs/>
              <w:spacing w:val="-3"/>
              <w:sz w:val="28"/>
              <w:szCs w:val="28"/>
            </w:rPr>
            <w:t>水土保持监测</w:t>
          </w:r>
          <w:r>
            <w:rPr>
              <w:rFonts w:ascii="FangSong_GB2312" w:hAnsi="FangSong_GB2312" w:eastAsia="FangSong_GB2312" w:cs="FangSong_GB2312"/>
              <w:spacing w:val="-94"/>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"bookmark69" </w:instrText>
          </w:r>
          <w:r>
            <w:fldChar w:fldCharType="separate"/>
          </w:r>
          <w:r>
            <w:rPr>
              <w:rFonts w:ascii="FangSong_GB2312" w:hAnsi="FangSong_GB2312" w:eastAsia="FangSong_GB2312" w:cs="FangSong_GB2312"/>
              <w:spacing w:val="-106"/>
              <w:sz w:val="28"/>
              <w:szCs w:val="28"/>
            </w:rPr>
            <w:t xml:space="preserve"> </w:t>
          </w:r>
          <w:r>
            <w:rPr>
              <w:rFonts w:ascii="Times New Roman" w:hAnsi="Times New Roman" w:eastAsia="Times New Roman" w:cs="Times New Roman"/>
              <w:b/>
              <w:bCs/>
              <w:spacing w:val="-3"/>
              <w:sz w:val="28"/>
              <w:szCs w:val="28"/>
            </w:rPr>
            <w:t>45</w:t>
          </w:r>
          <w:r>
            <w:rPr>
              <w:rFonts w:ascii="Times New Roman" w:hAnsi="Times New Roman" w:eastAsia="Times New Roman" w:cs="Times New Roman"/>
              <w:b/>
              <w:bCs/>
              <w:spacing w:val="-3"/>
              <w:sz w:val="28"/>
              <w:szCs w:val="28"/>
            </w:rPr>
            <w:fldChar w:fldCharType="end"/>
          </w:r>
        </w:p>
        <w:p w14:paraId="3FD8380D">
          <w:pPr>
            <w:pStyle w:val="2"/>
            <w:spacing w:line="281" w:lineRule="auto"/>
          </w:pPr>
        </w:p>
        <w:p w14:paraId="1B6BDF0D">
          <w:pPr>
            <w:tabs>
              <w:tab w:val="right" w:leader="dot" w:pos="9070"/>
            </w:tabs>
            <w:spacing w:before="91" w:line="184" w:lineRule="auto"/>
            <w:ind w:left="9"/>
            <w:rPr>
              <w:rFonts w:ascii="Times New Roman" w:hAnsi="Times New Roman" w:eastAsia="Times New Roman" w:cs="Times New Roman"/>
              <w:sz w:val="28"/>
              <w:szCs w:val="28"/>
            </w:rPr>
          </w:pPr>
          <w:r>
            <w:fldChar w:fldCharType="begin"/>
          </w:r>
          <w:r>
            <w:instrText xml:space="preserve"> HYPERLINK \l "bookmark72" </w:instrText>
          </w:r>
          <w:r>
            <w:fldChar w:fldCharType="separate"/>
          </w:r>
          <w:r>
            <w:rPr>
              <w:rFonts w:ascii="Times New Roman" w:hAnsi="Times New Roman" w:eastAsia="Times New Roman" w:cs="Times New Roman"/>
              <w:b/>
              <w:bCs/>
              <w:spacing w:val="-3"/>
              <w:sz w:val="28"/>
              <w:szCs w:val="28"/>
            </w:rPr>
            <w:t xml:space="preserve">7  </w:t>
          </w:r>
          <w:r>
            <w:rPr>
              <w:rFonts w:ascii="FangSong_GB2312" w:hAnsi="FangSong_GB2312" w:eastAsia="FangSong_GB2312" w:cs="FangSong_GB2312"/>
              <w:b/>
              <w:bCs/>
              <w:spacing w:val="-3"/>
              <w:sz w:val="28"/>
              <w:szCs w:val="28"/>
            </w:rPr>
            <w:t>水土保持投资概算及效益分析</w:t>
          </w:r>
          <w:r>
            <w:rPr>
              <w:rFonts w:ascii="FangSong_GB2312" w:hAnsi="FangSong_GB2312" w:eastAsia="FangSong_GB2312" w:cs="FangSong_GB2312"/>
              <w:spacing w:val="-82"/>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"bookmark71" </w:instrText>
          </w:r>
          <w:r>
            <w:fldChar w:fldCharType="separate"/>
          </w:r>
          <w:r>
            <w:rPr>
              <w:rFonts w:ascii="FangSong_GB2312" w:hAnsi="FangSong_GB2312" w:eastAsia="FangSong_GB2312" w:cs="FangSong_GB2312"/>
              <w:spacing w:val="-73"/>
              <w:sz w:val="28"/>
              <w:szCs w:val="28"/>
            </w:rPr>
            <w:t xml:space="preserve"> </w:t>
          </w:r>
          <w:r>
            <w:rPr>
              <w:rFonts w:ascii="Times New Roman" w:hAnsi="Times New Roman" w:eastAsia="Times New Roman" w:cs="Times New Roman"/>
              <w:b/>
              <w:bCs/>
              <w:spacing w:val="-3"/>
              <w:sz w:val="28"/>
              <w:szCs w:val="28"/>
            </w:rPr>
            <w:t>46</w:t>
          </w:r>
          <w:r>
            <w:rPr>
              <w:rFonts w:ascii="Times New Roman" w:hAnsi="Times New Roman" w:eastAsia="Times New Roman" w:cs="Times New Roman"/>
              <w:b/>
              <w:bCs/>
              <w:spacing w:val="-3"/>
              <w:sz w:val="28"/>
              <w:szCs w:val="28"/>
            </w:rPr>
            <w:fldChar w:fldCharType="end"/>
          </w:r>
        </w:p>
        <w:p w14:paraId="146F23AD">
          <w:pPr>
            <w:pStyle w:val="2"/>
            <w:spacing w:line="277" w:lineRule="auto"/>
          </w:pPr>
        </w:p>
        <w:p w14:paraId="1DAAD7B0">
          <w:pPr>
            <w:tabs>
              <w:tab w:val="right" w:leader="dot" w:pos="9070"/>
            </w:tabs>
            <w:spacing w:before="91" w:line="185" w:lineRule="auto"/>
            <w:ind w:left="430"/>
            <w:rPr>
              <w:rFonts w:ascii="Times New Roman" w:hAnsi="Times New Roman" w:eastAsia="Times New Roman" w:cs="Times New Roman"/>
              <w:sz w:val="28"/>
              <w:szCs w:val="28"/>
            </w:rPr>
          </w:pPr>
          <w:r>
            <w:fldChar w:fldCharType="begin"/>
          </w:r>
          <w:r>
            <w:instrText xml:space="preserve"> HYPERLINK \l "bookmark74" </w:instrText>
          </w:r>
          <w:r>
            <w:fldChar w:fldCharType="separate"/>
          </w:r>
          <w:r>
            <w:rPr>
              <w:rFonts w:ascii="Times New Roman" w:hAnsi="Times New Roman" w:eastAsia="Times New Roman" w:cs="Times New Roman"/>
              <w:spacing w:val="-6"/>
              <w:sz w:val="28"/>
              <w:szCs w:val="28"/>
            </w:rPr>
            <w:t>7.</w:t>
          </w:r>
          <w:r>
            <w:rPr>
              <w:rFonts w:ascii="Times New Roman" w:hAnsi="Times New Roman" w:eastAsia="Times New Roman" w:cs="Times New Roman"/>
              <w:spacing w:val="-33"/>
              <w:sz w:val="28"/>
              <w:szCs w:val="28"/>
            </w:rPr>
            <w:t xml:space="preserve"> </w:t>
          </w:r>
          <w:r>
            <w:rPr>
              <w:rFonts w:ascii="Times New Roman" w:hAnsi="Times New Roman" w:eastAsia="Times New Roman" w:cs="Times New Roman"/>
              <w:spacing w:val="-6"/>
              <w:sz w:val="28"/>
              <w:szCs w:val="28"/>
            </w:rPr>
            <w:t>1.</w:t>
          </w:r>
          <w:r>
            <w:rPr>
              <w:rFonts w:ascii="FangSong_GB2312" w:hAnsi="FangSong_GB2312" w:eastAsia="FangSong_GB2312" w:cs="FangSong_GB2312"/>
              <w:spacing w:val="-6"/>
              <w:sz w:val="28"/>
              <w:szCs w:val="28"/>
            </w:rPr>
            <w:t>投资</w:t>
          </w:r>
          <w:r>
            <w:rPr>
              <w:rFonts w:ascii="宋体" w:hAnsi="宋体" w:eastAsia="宋体" w:cs="宋体"/>
              <w:spacing w:val="-6"/>
              <w:sz w:val="28"/>
              <w:szCs w:val="28"/>
            </w:rPr>
            <w:t>概</w:t>
          </w:r>
          <w:r>
            <w:rPr>
              <w:rFonts w:ascii="FangSong_GB2312" w:hAnsi="FangSong_GB2312" w:eastAsia="FangSong_GB2312" w:cs="FangSong_GB2312"/>
              <w:spacing w:val="-6"/>
              <w:sz w:val="28"/>
              <w:szCs w:val="28"/>
            </w:rPr>
            <w:t>算</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"bookmark73" </w:instrText>
          </w:r>
          <w:r>
            <w:fldChar w:fldCharType="separate"/>
          </w:r>
          <w:r>
            <w:rPr>
              <w:rFonts w:ascii="FangSong_GB2312" w:hAnsi="FangSong_GB2312" w:eastAsia="FangSong_GB2312" w:cs="FangSong_GB2312"/>
              <w:spacing w:val="-104"/>
              <w:sz w:val="28"/>
              <w:szCs w:val="28"/>
            </w:rPr>
            <w:t xml:space="preserve"> </w:t>
          </w:r>
          <w:r>
            <w:rPr>
              <w:rFonts w:ascii="Times New Roman" w:hAnsi="Times New Roman" w:eastAsia="Times New Roman" w:cs="Times New Roman"/>
              <w:spacing w:val="-2"/>
              <w:sz w:val="28"/>
              <w:szCs w:val="28"/>
            </w:rPr>
            <w:t>46</w:t>
          </w:r>
          <w:r>
            <w:rPr>
              <w:rFonts w:ascii="Times New Roman" w:hAnsi="Times New Roman" w:eastAsia="Times New Roman" w:cs="Times New Roman"/>
              <w:spacing w:val="-2"/>
              <w:sz w:val="28"/>
              <w:szCs w:val="28"/>
            </w:rPr>
            <w:fldChar w:fldCharType="end"/>
          </w:r>
        </w:p>
        <w:p w14:paraId="08FD5524">
          <w:pPr>
            <w:pStyle w:val="2"/>
            <w:spacing w:line="281" w:lineRule="auto"/>
          </w:pPr>
        </w:p>
        <w:p w14:paraId="368351F9">
          <w:pPr>
            <w:tabs>
              <w:tab w:val="right" w:leader="dot" w:pos="9070"/>
            </w:tabs>
            <w:spacing w:before="91" w:line="184" w:lineRule="auto"/>
            <w:ind w:left="430"/>
            <w:rPr>
              <w:rFonts w:ascii="Times New Roman" w:hAnsi="Times New Roman" w:eastAsia="Times New Roman" w:cs="Times New Roman"/>
              <w:sz w:val="28"/>
              <w:szCs w:val="28"/>
            </w:rPr>
          </w:pPr>
          <w:r>
            <w:fldChar w:fldCharType="begin"/>
          </w:r>
          <w:r>
            <w:instrText xml:space="preserve"> HYPERLINK \l "bookmark76" </w:instrText>
          </w:r>
          <w:r>
            <w:fldChar w:fldCharType="separate"/>
          </w:r>
          <w:r>
            <w:rPr>
              <w:rFonts w:ascii="Times New Roman" w:hAnsi="Times New Roman" w:eastAsia="Times New Roman" w:cs="Times New Roman"/>
              <w:spacing w:val="-1"/>
              <w:sz w:val="28"/>
              <w:szCs w:val="28"/>
            </w:rPr>
            <w:t>7.2.</w:t>
          </w:r>
          <w:r>
            <w:rPr>
              <w:rFonts w:ascii="FangSong_GB2312" w:hAnsi="FangSong_GB2312" w:eastAsia="FangSong_GB2312" w:cs="FangSong_GB2312"/>
              <w:spacing w:val="-1"/>
              <w:sz w:val="28"/>
              <w:szCs w:val="28"/>
            </w:rPr>
            <w:t>水土保持效益分析</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"bookmark75" </w:instrText>
          </w:r>
          <w:r>
            <w:fldChar w:fldCharType="separate"/>
          </w:r>
          <w:r>
            <w:rPr>
              <w:rFonts w:ascii="FangSong_GB2312" w:hAnsi="FangSong_GB2312" w:eastAsia="FangSong_GB2312" w:cs="FangSong_GB2312"/>
              <w:spacing w:val="-110"/>
              <w:sz w:val="28"/>
              <w:szCs w:val="28"/>
            </w:rPr>
            <w:t xml:space="preserve"> </w:t>
          </w:r>
          <w:r>
            <w:rPr>
              <w:rFonts w:ascii="Times New Roman" w:hAnsi="Times New Roman" w:eastAsia="Times New Roman" w:cs="Times New Roman"/>
              <w:spacing w:val="-6"/>
              <w:sz w:val="28"/>
              <w:szCs w:val="28"/>
            </w:rPr>
            <w:t>56</w:t>
          </w:r>
          <w:r>
            <w:rPr>
              <w:rFonts w:ascii="Times New Roman" w:hAnsi="Times New Roman" w:eastAsia="Times New Roman" w:cs="Times New Roman"/>
              <w:spacing w:val="-6"/>
              <w:sz w:val="28"/>
              <w:szCs w:val="28"/>
            </w:rPr>
            <w:fldChar w:fldCharType="end"/>
          </w:r>
        </w:p>
        <w:p w14:paraId="3575207A">
          <w:pPr>
            <w:pStyle w:val="2"/>
            <w:spacing w:line="281" w:lineRule="auto"/>
          </w:pPr>
        </w:p>
        <w:p w14:paraId="6D5985A8">
          <w:pPr>
            <w:tabs>
              <w:tab w:val="right" w:leader="dot" w:pos="9070"/>
            </w:tabs>
            <w:spacing w:before="91" w:line="184" w:lineRule="auto"/>
            <w:ind w:left="10"/>
            <w:rPr>
              <w:rFonts w:ascii="Times New Roman" w:hAnsi="Times New Roman" w:eastAsia="Times New Roman" w:cs="Times New Roman"/>
              <w:sz w:val="28"/>
              <w:szCs w:val="28"/>
            </w:rPr>
          </w:pPr>
          <w:r>
            <w:fldChar w:fldCharType="begin"/>
          </w:r>
          <w:r>
            <w:instrText xml:space="preserve"> HYPERLINK \l "bookmark78" </w:instrText>
          </w:r>
          <w:r>
            <w:fldChar w:fldCharType="separate"/>
          </w:r>
          <w:r>
            <w:rPr>
              <w:rFonts w:ascii="Times New Roman" w:hAnsi="Times New Roman" w:eastAsia="Times New Roman" w:cs="Times New Roman"/>
              <w:b/>
              <w:bCs/>
              <w:spacing w:val="-7"/>
              <w:sz w:val="28"/>
              <w:szCs w:val="28"/>
            </w:rPr>
            <w:t>8</w:t>
          </w:r>
          <w:r>
            <w:rPr>
              <w:rFonts w:ascii="Times New Roman" w:hAnsi="Times New Roman" w:eastAsia="Times New Roman" w:cs="Times New Roman"/>
              <w:b/>
              <w:bCs/>
              <w:spacing w:val="9"/>
              <w:sz w:val="28"/>
              <w:szCs w:val="28"/>
            </w:rPr>
            <w:t xml:space="preserve">  </w:t>
          </w:r>
          <w:r>
            <w:rPr>
              <w:rFonts w:ascii="FangSong_GB2312" w:hAnsi="FangSong_GB2312" w:eastAsia="FangSong_GB2312" w:cs="FangSong_GB2312"/>
              <w:b/>
              <w:bCs/>
              <w:spacing w:val="-7"/>
              <w:sz w:val="28"/>
              <w:szCs w:val="28"/>
            </w:rPr>
            <w:t>结论与建议</w:t>
          </w:r>
          <w:r>
            <w:rPr>
              <w:rFonts w:ascii="FangSong_GB2312" w:hAnsi="FangSong_GB2312" w:eastAsia="FangSong_GB2312" w:cs="FangSong_GB2312"/>
              <w:spacing w:val="-91"/>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"bookmark77" </w:instrText>
          </w:r>
          <w:r>
            <w:fldChar w:fldCharType="separate"/>
          </w:r>
          <w:r>
            <w:rPr>
              <w:rFonts w:ascii="FangSong_GB2312" w:hAnsi="FangSong_GB2312" w:eastAsia="FangSong_GB2312" w:cs="FangSong_GB2312"/>
              <w:spacing w:val="-98"/>
              <w:sz w:val="28"/>
              <w:szCs w:val="28"/>
            </w:rPr>
            <w:t xml:space="preserve"> </w:t>
          </w:r>
          <w:r>
            <w:rPr>
              <w:rFonts w:ascii="Times New Roman" w:hAnsi="Times New Roman" w:eastAsia="Times New Roman" w:cs="Times New Roman"/>
              <w:b/>
              <w:bCs/>
              <w:spacing w:val="-5"/>
              <w:sz w:val="28"/>
              <w:szCs w:val="28"/>
            </w:rPr>
            <w:t>60</w:t>
          </w:r>
          <w:r>
            <w:rPr>
              <w:rFonts w:ascii="Times New Roman" w:hAnsi="Times New Roman" w:eastAsia="Times New Roman" w:cs="Times New Roman"/>
              <w:b/>
              <w:bCs/>
              <w:spacing w:val="-5"/>
              <w:sz w:val="28"/>
              <w:szCs w:val="28"/>
            </w:rPr>
            <w:fldChar w:fldCharType="end"/>
          </w:r>
        </w:p>
        <w:p w14:paraId="656F9952">
          <w:pPr>
            <w:pStyle w:val="2"/>
            <w:spacing w:line="278" w:lineRule="auto"/>
          </w:pPr>
        </w:p>
        <w:p w14:paraId="6DF7AFCC">
          <w:pPr>
            <w:tabs>
              <w:tab w:val="right" w:leader="dot" w:pos="9070"/>
            </w:tabs>
            <w:spacing w:before="92" w:line="184" w:lineRule="auto"/>
            <w:ind w:left="437"/>
            <w:rPr>
              <w:rFonts w:ascii="Times New Roman" w:hAnsi="Times New Roman" w:eastAsia="Times New Roman" w:cs="Times New Roman"/>
              <w:sz w:val="28"/>
              <w:szCs w:val="28"/>
            </w:rPr>
          </w:pPr>
          <w:r>
            <w:fldChar w:fldCharType="begin"/>
          </w:r>
          <w:r>
            <w:instrText xml:space="preserve"> HYPERLINK \l "bookmark80" </w:instrText>
          </w:r>
          <w:r>
            <w:fldChar w:fldCharType="separate"/>
          </w:r>
          <w:r>
            <w:rPr>
              <w:rFonts w:ascii="Times New Roman" w:hAnsi="Times New Roman" w:eastAsia="Times New Roman" w:cs="Times New Roman"/>
              <w:spacing w:val="-9"/>
              <w:sz w:val="28"/>
              <w:szCs w:val="28"/>
            </w:rPr>
            <w:t>8.</w:t>
          </w:r>
          <w:r>
            <w:rPr>
              <w:rFonts w:ascii="Times New Roman" w:hAnsi="Times New Roman" w:eastAsia="Times New Roman" w:cs="Times New Roman"/>
              <w:spacing w:val="-37"/>
              <w:sz w:val="28"/>
              <w:szCs w:val="28"/>
            </w:rPr>
            <w:t xml:space="preserve"> </w:t>
          </w:r>
          <w:r>
            <w:rPr>
              <w:rFonts w:ascii="Times New Roman" w:hAnsi="Times New Roman" w:eastAsia="Times New Roman" w:cs="Times New Roman"/>
              <w:spacing w:val="-9"/>
              <w:sz w:val="28"/>
              <w:szCs w:val="28"/>
            </w:rPr>
            <w:t>1</w:t>
          </w:r>
          <w:r>
            <w:rPr>
              <w:rFonts w:ascii="Times New Roman" w:hAnsi="Times New Roman" w:eastAsia="Times New Roman" w:cs="Times New Roman"/>
              <w:spacing w:val="6"/>
              <w:sz w:val="28"/>
              <w:szCs w:val="28"/>
            </w:rPr>
            <w:t xml:space="preserve">  </w:t>
          </w:r>
          <w:r>
            <w:rPr>
              <w:rFonts w:ascii="FangSong_GB2312" w:hAnsi="FangSong_GB2312" w:eastAsia="FangSong_GB2312" w:cs="FangSong_GB2312"/>
              <w:spacing w:val="-9"/>
              <w:sz w:val="28"/>
              <w:szCs w:val="28"/>
            </w:rPr>
            <w:t>组织管理</w:t>
          </w:r>
          <w:r>
            <w:rPr>
              <w:rFonts w:ascii="FangSong_GB2312" w:hAnsi="FangSong_GB2312" w:eastAsia="FangSong_GB2312" w:cs="FangSong_GB2312"/>
              <w:spacing w:val="-87"/>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"bookmark79" </w:instrText>
          </w:r>
          <w:r>
            <w:fldChar w:fldCharType="separate"/>
          </w:r>
          <w:r>
            <w:rPr>
              <w:rFonts w:ascii="FangSong_GB2312" w:hAnsi="FangSong_GB2312" w:eastAsia="FangSong_GB2312" w:cs="FangSong_GB2312"/>
              <w:spacing w:val="-97"/>
              <w:sz w:val="28"/>
              <w:szCs w:val="28"/>
            </w:rPr>
            <w:t xml:space="preserve"> </w:t>
          </w:r>
          <w:r>
            <w:rPr>
              <w:rFonts w:ascii="Times New Roman" w:hAnsi="Times New Roman" w:eastAsia="Times New Roman" w:cs="Times New Roman"/>
              <w:spacing w:val="-5"/>
              <w:sz w:val="28"/>
              <w:szCs w:val="28"/>
            </w:rPr>
            <w:t>60</w:t>
          </w:r>
          <w:r>
            <w:rPr>
              <w:rFonts w:ascii="Times New Roman" w:hAnsi="Times New Roman" w:eastAsia="Times New Roman" w:cs="Times New Roman"/>
              <w:spacing w:val="-5"/>
              <w:sz w:val="28"/>
              <w:szCs w:val="28"/>
            </w:rPr>
            <w:fldChar w:fldCharType="end"/>
          </w:r>
        </w:p>
        <w:p w14:paraId="4D6CDCE6">
          <w:pPr>
            <w:pStyle w:val="2"/>
            <w:spacing w:line="281" w:lineRule="auto"/>
          </w:pPr>
        </w:p>
        <w:p w14:paraId="2F16E781">
          <w:pPr>
            <w:tabs>
              <w:tab w:val="right" w:leader="dot" w:pos="9070"/>
            </w:tabs>
            <w:spacing w:before="91" w:line="184" w:lineRule="auto"/>
            <w:ind w:left="437"/>
            <w:rPr>
              <w:rFonts w:ascii="Times New Roman" w:hAnsi="Times New Roman" w:eastAsia="Times New Roman" w:cs="Times New Roman"/>
              <w:sz w:val="28"/>
              <w:szCs w:val="28"/>
            </w:rPr>
          </w:pPr>
          <w:r>
            <w:fldChar w:fldCharType="begin"/>
          </w:r>
          <w:r>
            <w:instrText xml:space="preserve"> HYPERLINK \l "bookmark82" </w:instrText>
          </w:r>
          <w:r>
            <w:fldChar w:fldCharType="separate"/>
          </w:r>
          <w:r>
            <w:rPr>
              <w:rFonts w:ascii="Times New Roman" w:hAnsi="Times New Roman" w:eastAsia="Times New Roman" w:cs="Times New Roman"/>
              <w:spacing w:val="-5"/>
              <w:sz w:val="28"/>
              <w:szCs w:val="28"/>
            </w:rPr>
            <w:t>8.2</w:t>
          </w:r>
          <w:r>
            <w:rPr>
              <w:rFonts w:ascii="Times New Roman" w:hAnsi="Times New Roman" w:eastAsia="Times New Roman" w:cs="Times New Roman"/>
              <w:spacing w:val="8"/>
              <w:sz w:val="28"/>
              <w:szCs w:val="28"/>
            </w:rPr>
            <w:t xml:space="preserve">  </w:t>
          </w:r>
          <w:r>
            <w:rPr>
              <w:rFonts w:ascii="FangSong_GB2312" w:hAnsi="FangSong_GB2312" w:eastAsia="FangSong_GB2312" w:cs="FangSong_GB2312"/>
              <w:spacing w:val="-5"/>
              <w:sz w:val="28"/>
              <w:szCs w:val="28"/>
            </w:rPr>
            <w:t>后续设计</w:t>
          </w:r>
          <w:r>
            <w:rPr>
              <w:rFonts w:ascii="FangSong_GB2312" w:hAnsi="FangSong_GB2312" w:eastAsia="FangSong_GB2312" w:cs="FangSong_GB2312"/>
              <w:spacing w:val="-86"/>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"bookmark81" </w:instrText>
          </w:r>
          <w:r>
            <w:fldChar w:fldCharType="separate"/>
          </w:r>
          <w:r>
            <w:rPr>
              <w:rFonts w:ascii="FangSong_GB2312" w:hAnsi="FangSong_GB2312" w:eastAsia="FangSong_GB2312" w:cs="FangSong_GB2312"/>
              <w:spacing w:val="-97"/>
              <w:sz w:val="28"/>
              <w:szCs w:val="28"/>
            </w:rPr>
            <w:t xml:space="preserve"> </w:t>
          </w:r>
          <w:r>
            <w:rPr>
              <w:rFonts w:ascii="Times New Roman" w:hAnsi="Times New Roman" w:eastAsia="Times New Roman" w:cs="Times New Roman"/>
              <w:spacing w:val="-5"/>
              <w:sz w:val="28"/>
              <w:szCs w:val="28"/>
            </w:rPr>
            <w:t>60</w:t>
          </w:r>
          <w:r>
            <w:rPr>
              <w:rFonts w:ascii="Times New Roman" w:hAnsi="Times New Roman" w:eastAsia="Times New Roman" w:cs="Times New Roman"/>
              <w:spacing w:val="-5"/>
              <w:sz w:val="28"/>
              <w:szCs w:val="28"/>
            </w:rPr>
            <w:fldChar w:fldCharType="end"/>
          </w:r>
        </w:p>
        <w:p w14:paraId="0D2E5FD3">
          <w:pPr>
            <w:pStyle w:val="2"/>
            <w:spacing w:line="279" w:lineRule="auto"/>
          </w:pPr>
        </w:p>
        <w:p w14:paraId="219A426E">
          <w:pPr>
            <w:tabs>
              <w:tab w:val="right" w:leader="dot" w:pos="9070"/>
            </w:tabs>
            <w:spacing w:before="92" w:line="216" w:lineRule="auto"/>
            <w:ind w:left="437"/>
            <w:rPr>
              <w:rFonts w:ascii="Times New Roman" w:hAnsi="Times New Roman" w:eastAsia="Times New Roman" w:cs="Times New Roman"/>
              <w:sz w:val="28"/>
              <w:szCs w:val="28"/>
            </w:rPr>
          </w:pPr>
          <w:r>
            <w:fldChar w:fldCharType="begin"/>
          </w:r>
          <w:r>
            <w:instrText xml:space="preserve"> HYPERLINK \l "bookmark84" </w:instrText>
          </w:r>
          <w:r>
            <w:fldChar w:fldCharType="separate"/>
          </w:r>
          <w:r>
            <w:rPr>
              <w:rFonts w:ascii="Times New Roman" w:hAnsi="Times New Roman" w:eastAsia="Times New Roman" w:cs="Times New Roman"/>
              <w:spacing w:val="-2"/>
              <w:sz w:val="28"/>
              <w:szCs w:val="28"/>
            </w:rPr>
            <w:t xml:space="preserve">8.3  </w:t>
          </w:r>
          <w:r>
            <w:rPr>
              <w:rFonts w:ascii="FangSong_GB2312" w:hAnsi="FangSong_GB2312" w:eastAsia="FangSong_GB2312" w:cs="FangSong_GB2312"/>
              <w:spacing w:val="-2"/>
              <w:sz w:val="28"/>
              <w:szCs w:val="28"/>
            </w:rPr>
            <w:t>水土保持监测</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"bookmark83" </w:instrText>
          </w:r>
          <w:r>
            <w:fldChar w:fldCharType="separate"/>
          </w:r>
          <w:r>
            <w:rPr>
              <w:rFonts w:ascii="FangSong_GB2312" w:hAnsi="FangSong_GB2312" w:eastAsia="FangSong_GB2312" w:cs="FangSong_GB2312"/>
              <w:spacing w:val="-104"/>
              <w:sz w:val="28"/>
              <w:szCs w:val="28"/>
            </w:rPr>
            <w:t xml:space="preserve"> </w:t>
          </w:r>
          <w:r>
            <w:rPr>
              <w:rFonts w:ascii="Times New Roman" w:hAnsi="Times New Roman" w:eastAsia="Times New Roman" w:cs="Times New Roman"/>
              <w:spacing w:val="-5"/>
              <w:sz w:val="28"/>
              <w:szCs w:val="28"/>
            </w:rPr>
            <w:t>60</w:t>
          </w:r>
          <w:r>
            <w:rPr>
              <w:rFonts w:ascii="Times New Roman" w:hAnsi="Times New Roman" w:eastAsia="Times New Roman" w:cs="Times New Roman"/>
              <w:spacing w:val="-5"/>
              <w:sz w:val="28"/>
              <w:szCs w:val="28"/>
            </w:rPr>
            <w:fldChar w:fldCharType="end"/>
          </w:r>
        </w:p>
      </w:sdtContent>
    </w:sdt>
    <w:p w14:paraId="14EF17B4">
      <w:pPr>
        <w:spacing w:line="216" w:lineRule="auto"/>
        <w:rPr>
          <w:rFonts w:ascii="Times New Roman" w:hAnsi="Times New Roman" w:eastAsia="Times New Roman" w:cs="Times New Roman"/>
          <w:sz w:val="28"/>
          <w:szCs w:val="28"/>
        </w:rPr>
        <w:sectPr>
          <w:headerReference r:id="rId14" w:type="default"/>
          <w:footerReference r:id="rId15" w:type="default"/>
          <w:pgSz w:w="11906" w:h="16839"/>
          <w:pgMar w:top="1167" w:right="1416" w:bottom="1149" w:left="1418" w:header="830" w:footer="989" w:gutter="0"/>
          <w:cols w:space="720" w:num="1"/>
        </w:sectPr>
      </w:pPr>
    </w:p>
    <w:p w14:paraId="7B2F03F7">
      <w:pPr>
        <w:pStyle w:val="2"/>
        <w:spacing w:line="344" w:lineRule="auto"/>
      </w:pPr>
    </w:p>
    <w:sdt>
      <w:sdtPr>
        <w:rPr>
          <w:rFonts w:ascii="Times New Roman" w:hAnsi="Times New Roman" w:eastAsia="Times New Roman" w:cs="Times New Roman"/>
          <w:sz w:val="28"/>
          <w:szCs w:val="28"/>
        </w:rPr>
        <w:id w:val="147451350"/>
        <w:docPartObj>
          <w:docPartGallery w:val="Table of Contents"/>
          <w:docPartUnique/>
        </w:docPartObj>
      </w:sdtPr>
      <w:sdtEndPr>
        <w:rPr>
          <w:rFonts w:ascii="Times New Roman" w:hAnsi="Times New Roman" w:eastAsia="Times New Roman" w:cs="Times New Roman"/>
          <w:sz w:val="28"/>
          <w:szCs w:val="28"/>
        </w:rPr>
      </w:sdtEndPr>
      <w:sdtContent>
        <w:p w14:paraId="7DDDFEC2">
          <w:pPr>
            <w:tabs>
              <w:tab w:val="right" w:leader="dot" w:pos="9070"/>
            </w:tabs>
            <w:spacing w:before="91" w:line="184" w:lineRule="auto"/>
            <w:ind w:left="437"/>
            <w:rPr>
              <w:rFonts w:ascii="Times New Roman" w:hAnsi="Times New Roman" w:eastAsia="Times New Roman" w:cs="Times New Roman"/>
              <w:sz w:val="28"/>
              <w:szCs w:val="28"/>
            </w:rPr>
          </w:pPr>
          <w:bookmarkStart w:id="2" w:name="bookmark85"/>
          <w:bookmarkEnd w:id="2"/>
          <w:r>
            <w:fldChar w:fldCharType="begin"/>
          </w:r>
          <w:r>
            <w:instrText xml:space="preserve"> HYPERLINK \l "bookmark87" </w:instrText>
          </w:r>
          <w:r>
            <w:fldChar w:fldCharType="separate"/>
          </w:r>
          <w:r>
            <w:rPr>
              <w:rFonts w:ascii="Times New Roman" w:hAnsi="Times New Roman" w:eastAsia="Times New Roman" w:cs="Times New Roman"/>
              <w:spacing w:val="-2"/>
              <w:sz w:val="28"/>
              <w:szCs w:val="28"/>
            </w:rPr>
            <w:t xml:space="preserve">8.4  </w:t>
          </w:r>
          <w:r>
            <w:rPr>
              <w:rFonts w:ascii="FangSong_GB2312" w:hAnsi="FangSong_GB2312" w:eastAsia="FangSong_GB2312" w:cs="FangSong_GB2312"/>
              <w:spacing w:val="-2"/>
              <w:sz w:val="28"/>
              <w:szCs w:val="28"/>
            </w:rPr>
            <w:t>水土保持监理</w:t>
          </w:r>
          <w:r>
            <w:rPr>
              <w:rFonts w:ascii="FangSong_GB2312" w:hAnsi="FangSong_GB2312" w:eastAsia="FangSong_GB2312" w:cs="FangSong_GB2312"/>
              <w:spacing w:val="-83"/>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"bookmark86" </w:instrText>
          </w:r>
          <w:r>
            <w:fldChar w:fldCharType="separate"/>
          </w:r>
          <w:r>
            <w:rPr>
              <w:rFonts w:ascii="FangSong_GB2312" w:hAnsi="FangSong_GB2312" w:eastAsia="FangSong_GB2312" w:cs="FangSong_GB2312"/>
              <w:spacing w:val="-104"/>
              <w:sz w:val="28"/>
              <w:szCs w:val="28"/>
            </w:rPr>
            <w:t xml:space="preserve"> </w:t>
          </w:r>
          <w:r>
            <w:rPr>
              <w:rFonts w:ascii="Times New Roman" w:hAnsi="Times New Roman" w:eastAsia="Times New Roman" w:cs="Times New Roman"/>
              <w:spacing w:val="-5"/>
              <w:sz w:val="28"/>
              <w:szCs w:val="28"/>
            </w:rPr>
            <w:t>60</w:t>
          </w:r>
          <w:r>
            <w:rPr>
              <w:rFonts w:ascii="Times New Roman" w:hAnsi="Times New Roman" w:eastAsia="Times New Roman" w:cs="Times New Roman"/>
              <w:spacing w:val="-5"/>
              <w:sz w:val="28"/>
              <w:szCs w:val="28"/>
            </w:rPr>
            <w:fldChar w:fldCharType="end"/>
          </w:r>
        </w:p>
        <w:p w14:paraId="664F45FC">
          <w:pPr>
            <w:pStyle w:val="2"/>
            <w:spacing w:line="281" w:lineRule="auto"/>
          </w:pPr>
        </w:p>
        <w:p w14:paraId="19B504CB">
          <w:pPr>
            <w:tabs>
              <w:tab w:val="right" w:leader="dot" w:pos="9070"/>
            </w:tabs>
            <w:spacing w:before="91" w:line="184" w:lineRule="auto"/>
            <w:ind w:left="437"/>
            <w:rPr>
              <w:rFonts w:ascii="Times New Roman" w:hAnsi="Times New Roman" w:eastAsia="Times New Roman" w:cs="Times New Roman"/>
              <w:sz w:val="28"/>
              <w:szCs w:val="28"/>
            </w:rPr>
          </w:pPr>
          <w:r>
            <w:fldChar w:fldCharType="begin"/>
          </w:r>
          <w:r>
            <w:instrText xml:space="preserve"> HYPERLINK \l "bookmark89" </w:instrText>
          </w:r>
          <w:r>
            <w:fldChar w:fldCharType="separate"/>
          </w:r>
          <w:r>
            <w:rPr>
              <w:rFonts w:ascii="Times New Roman" w:hAnsi="Times New Roman" w:eastAsia="Times New Roman" w:cs="Times New Roman"/>
              <w:spacing w:val="-2"/>
              <w:sz w:val="28"/>
              <w:szCs w:val="28"/>
            </w:rPr>
            <w:t xml:space="preserve">8.5 </w:t>
          </w:r>
          <w:r>
            <w:rPr>
              <w:rFonts w:ascii="FangSong_GB2312" w:hAnsi="FangSong_GB2312" w:eastAsia="FangSong_GB2312" w:cs="FangSong_GB2312"/>
              <w:spacing w:val="-2"/>
              <w:sz w:val="28"/>
              <w:szCs w:val="28"/>
            </w:rPr>
            <w:t>水土保持施工</w:t>
          </w:r>
          <w:r>
            <w:rPr>
              <w:rFonts w:ascii="FangSong_GB2312" w:hAnsi="FangSong_GB2312" w:eastAsia="FangSong_GB2312" w:cs="FangSong_GB2312"/>
              <w:spacing w:val="-85"/>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"bookmark88" </w:instrText>
          </w:r>
          <w:r>
            <w:fldChar w:fldCharType="separate"/>
          </w:r>
          <w:r>
            <w:rPr>
              <w:rFonts w:ascii="FangSong_GB2312" w:hAnsi="FangSong_GB2312" w:eastAsia="FangSong_GB2312" w:cs="FangSong_GB2312"/>
              <w:spacing w:val="-104"/>
              <w:sz w:val="28"/>
              <w:szCs w:val="28"/>
            </w:rPr>
            <w:t xml:space="preserve"> </w:t>
          </w:r>
          <w:r>
            <w:rPr>
              <w:rFonts w:ascii="Times New Roman" w:hAnsi="Times New Roman" w:eastAsia="Times New Roman" w:cs="Times New Roman"/>
              <w:spacing w:val="-5"/>
              <w:sz w:val="28"/>
              <w:szCs w:val="28"/>
            </w:rPr>
            <w:t>61</w:t>
          </w:r>
          <w:r>
            <w:rPr>
              <w:rFonts w:ascii="Times New Roman" w:hAnsi="Times New Roman" w:eastAsia="Times New Roman" w:cs="Times New Roman"/>
              <w:spacing w:val="-5"/>
              <w:sz w:val="28"/>
              <w:szCs w:val="28"/>
            </w:rPr>
            <w:fldChar w:fldCharType="end"/>
          </w:r>
        </w:p>
        <w:p w14:paraId="0FC1D15C">
          <w:pPr>
            <w:pStyle w:val="2"/>
            <w:spacing w:line="279" w:lineRule="auto"/>
          </w:pPr>
        </w:p>
        <w:p w14:paraId="519796ED">
          <w:pPr>
            <w:tabs>
              <w:tab w:val="right" w:leader="dot" w:pos="9070"/>
            </w:tabs>
            <w:spacing w:before="91" w:line="216" w:lineRule="auto"/>
            <w:ind w:left="437"/>
            <w:rPr>
              <w:rFonts w:ascii="Times New Roman" w:hAnsi="Times New Roman" w:eastAsia="Times New Roman" w:cs="Times New Roman"/>
              <w:sz w:val="28"/>
              <w:szCs w:val="28"/>
            </w:rPr>
          </w:pPr>
          <w:r>
            <w:fldChar w:fldCharType="begin"/>
          </w:r>
          <w:r>
            <w:instrText xml:space="preserve"> HYPERLINK \l "bookmark91" </w:instrText>
          </w:r>
          <w:r>
            <w:fldChar w:fldCharType="separate"/>
          </w:r>
          <w:r>
            <w:rPr>
              <w:rFonts w:ascii="Times New Roman" w:hAnsi="Times New Roman" w:eastAsia="Times New Roman" w:cs="Times New Roman"/>
              <w:spacing w:val="-2"/>
              <w:sz w:val="28"/>
              <w:szCs w:val="28"/>
            </w:rPr>
            <w:t xml:space="preserve">8.6  </w:t>
          </w:r>
          <w:r>
            <w:rPr>
              <w:rFonts w:ascii="FangSong_GB2312" w:hAnsi="FangSong_GB2312" w:eastAsia="FangSong_GB2312" w:cs="FangSong_GB2312"/>
              <w:spacing w:val="-2"/>
              <w:sz w:val="28"/>
              <w:szCs w:val="28"/>
            </w:rPr>
            <w:t>水土保持设施验收</w:t>
          </w:r>
          <w:r>
            <w:rPr>
              <w:rFonts w:ascii="FangSong_GB2312" w:hAnsi="FangSong_GB2312" w:eastAsia="FangSong_GB2312" w:cs="FangSong_GB2312"/>
              <w:spacing w:val="-80"/>
              <w:sz w:val="28"/>
              <w:szCs w:val="28"/>
            </w:rPr>
            <w:t xml:space="preserve"> </w:t>
          </w:r>
          <w:r>
            <w:rPr>
              <w:rFonts w:ascii="FangSong_GB2312" w:hAnsi="FangSong_GB2312" w:eastAsia="FangSong_GB2312" w:cs="FangSong_GB2312"/>
              <w:sz w:val="28"/>
              <w:szCs w:val="28"/>
            </w:rPr>
            <w:tab/>
          </w:r>
          <w:r>
            <w:rPr>
              <w:rFonts w:ascii="FangSong_GB2312" w:hAnsi="FangSong_GB2312" w:eastAsia="FangSong_GB2312" w:cs="FangSong_GB2312"/>
              <w:sz w:val="28"/>
              <w:szCs w:val="28"/>
            </w:rPr>
            <w:fldChar w:fldCharType="end"/>
          </w:r>
          <w:r>
            <w:fldChar w:fldCharType="begin"/>
          </w:r>
          <w:r>
            <w:instrText xml:space="preserve"> HYPERLINK \l "bookmark90" </w:instrText>
          </w:r>
          <w:r>
            <w:fldChar w:fldCharType="separate"/>
          </w:r>
          <w:r>
            <w:rPr>
              <w:rFonts w:ascii="Times New Roman" w:hAnsi="Times New Roman" w:eastAsia="Times New Roman" w:cs="Times New Roman"/>
              <w:spacing w:val="9"/>
              <w:sz w:val="28"/>
              <w:szCs w:val="28"/>
            </w:rPr>
            <w:t>61</w:t>
          </w:r>
          <w:r>
            <w:rPr>
              <w:rFonts w:ascii="Times New Roman" w:hAnsi="Times New Roman" w:eastAsia="Times New Roman" w:cs="Times New Roman"/>
              <w:spacing w:val="9"/>
              <w:sz w:val="28"/>
              <w:szCs w:val="28"/>
            </w:rPr>
            <w:fldChar w:fldCharType="end"/>
          </w:r>
        </w:p>
      </w:sdtContent>
    </w:sdt>
    <w:p w14:paraId="2CAFA700">
      <w:pPr>
        <w:spacing w:line="216" w:lineRule="auto"/>
        <w:rPr>
          <w:rFonts w:ascii="Times New Roman" w:hAnsi="Times New Roman" w:eastAsia="Times New Roman" w:cs="Times New Roman"/>
          <w:sz w:val="28"/>
          <w:szCs w:val="28"/>
        </w:rPr>
        <w:sectPr>
          <w:footerReference r:id="rId16" w:type="default"/>
          <w:pgSz w:w="11906" w:h="16839"/>
          <w:pgMar w:top="1167" w:right="1416" w:bottom="1149" w:left="1418" w:header="830" w:footer="989" w:gutter="0"/>
          <w:cols w:space="720" w:num="1"/>
        </w:sectPr>
      </w:pPr>
    </w:p>
    <w:p w14:paraId="14835F22">
      <w:pPr>
        <w:spacing w:before="204" w:line="214" w:lineRule="auto"/>
        <w:ind w:left="32"/>
        <w:rPr>
          <w:rFonts w:ascii="FangSong_GB2312" w:hAnsi="FangSong_GB2312" w:eastAsia="FangSong_GB2312" w:cs="FangSong_GB2312"/>
          <w:sz w:val="28"/>
          <w:szCs w:val="28"/>
        </w:rPr>
      </w:pPr>
      <w:bookmarkStart w:id="3" w:name="bookmark92"/>
      <w:bookmarkEnd w:id="3"/>
      <w:r>
        <w:rPr>
          <w:rFonts w:ascii="FangSong_GB2312" w:hAnsi="FangSong_GB2312" w:eastAsia="FangSong_GB2312" w:cs="FangSong_GB2312"/>
          <w:b/>
          <w:bCs/>
          <w:spacing w:val="-18"/>
          <w:sz w:val="28"/>
          <w:szCs w:val="28"/>
        </w:rPr>
        <w:t>附件</w:t>
      </w:r>
    </w:p>
    <w:p w14:paraId="171A975B">
      <w:pPr>
        <w:spacing w:before="40" w:line="214"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12"/>
          <w:sz w:val="28"/>
          <w:szCs w:val="28"/>
        </w:rPr>
        <w:t>附件</w:t>
      </w:r>
      <w:r>
        <w:rPr>
          <w:rFonts w:ascii="FangSong_GB2312" w:hAnsi="FangSong_GB2312" w:eastAsia="FangSong_GB2312" w:cs="FangSong_GB2312"/>
          <w:spacing w:val="-38"/>
          <w:sz w:val="28"/>
          <w:szCs w:val="28"/>
        </w:rPr>
        <w:t xml:space="preserve"> </w:t>
      </w:r>
      <w:r>
        <w:rPr>
          <w:rFonts w:ascii="Times New Roman" w:hAnsi="Times New Roman" w:eastAsia="Times New Roman" w:cs="Times New Roman"/>
          <w:spacing w:val="-12"/>
          <w:sz w:val="28"/>
          <w:szCs w:val="28"/>
        </w:rPr>
        <w:t>1</w:t>
      </w:r>
      <w:r>
        <w:rPr>
          <w:rFonts w:ascii="Times New Roman" w:hAnsi="Times New Roman" w:eastAsia="Times New Roman" w:cs="Times New Roman"/>
          <w:spacing w:val="-38"/>
          <w:sz w:val="28"/>
          <w:szCs w:val="28"/>
        </w:rPr>
        <w:t xml:space="preserve"> </w:t>
      </w:r>
      <w:r>
        <w:rPr>
          <w:rFonts w:ascii="FangSong_GB2312" w:hAnsi="FangSong_GB2312" w:eastAsia="FangSong_GB2312" w:cs="FangSong_GB2312"/>
          <w:spacing w:val="-12"/>
          <w:sz w:val="28"/>
          <w:szCs w:val="28"/>
        </w:rPr>
        <w:t>、委托书；</w:t>
      </w:r>
    </w:p>
    <w:p w14:paraId="63157B4C">
      <w:pPr>
        <w:spacing w:before="216" w:line="359" w:lineRule="auto"/>
        <w:ind w:left="18" w:right="140" w:firstLine="573"/>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附件</w:t>
      </w:r>
      <w:r>
        <w:rPr>
          <w:rFonts w:ascii="FangSong_GB2312" w:hAnsi="FangSong_GB2312" w:eastAsia="FangSong_GB2312" w:cs="FangSong_GB2312"/>
          <w:spacing w:val="-57"/>
          <w:sz w:val="28"/>
          <w:szCs w:val="28"/>
        </w:rPr>
        <w:t xml:space="preserve"> </w:t>
      </w:r>
      <w:r>
        <w:rPr>
          <w:rFonts w:ascii="Times New Roman" w:hAnsi="Times New Roman" w:eastAsia="Times New Roman" w:cs="Times New Roman"/>
          <w:spacing w:val="-3"/>
          <w:sz w:val="28"/>
          <w:szCs w:val="28"/>
        </w:rPr>
        <w:t>2</w:t>
      </w:r>
      <w:r>
        <w:rPr>
          <w:rFonts w:ascii="Times New Roman" w:hAnsi="Times New Roman" w:eastAsia="Times New Roman" w:cs="Times New Roman"/>
          <w:spacing w:val="-38"/>
          <w:sz w:val="28"/>
          <w:szCs w:val="28"/>
        </w:rPr>
        <w:t xml:space="preserve"> </w:t>
      </w:r>
      <w:r>
        <w:rPr>
          <w:rFonts w:ascii="FangSong_GB2312" w:hAnsi="FangSong_GB2312" w:eastAsia="FangSong_GB2312" w:cs="FangSong_GB2312"/>
          <w:spacing w:val="-3"/>
          <w:sz w:val="28"/>
          <w:szCs w:val="28"/>
        </w:rPr>
        <w:t>、《剑阁县发展和改革局关于审批剑阁县义兴镇干部职工周转</w:t>
      </w:r>
      <w:r>
        <w:rPr>
          <w:rFonts w:ascii="FangSong_GB2312" w:hAnsi="FangSong_GB2312" w:eastAsia="FangSong_GB2312" w:cs="FangSong_GB2312"/>
          <w:spacing w:val="-1"/>
          <w:sz w:val="28"/>
          <w:szCs w:val="28"/>
        </w:rPr>
        <w:t>房建设项目可行性研究报告的批复》（剑发改发〔</w:t>
      </w:r>
      <w:r>
        <w:rPr>
          <w:rFonts w:ascii="Times New Roman" w:hAnsi="Times New Roman" w:eastAsia="Times New Roman" w:cs="Times New Roman"/>
          <w:spacing w:val="-2"/>
          <w:sz w:val="28"/>
          <w:szCs w:val="28"/>
        </w:rPr>
        <w:t>2022</w:t>
      </w:r>
      <w:r>
        <w:rPr>
          <w:rFonts w:ascii="FangSong_GB2312" w:hAnsi="FangSong_GB2312" w:eastAsia="FangSong_GB2312" w:cs="FangSong_GB2312"/>
          <w:spacing w:val="-2"/>
          <w:sz w:val="28"/>
          <w:szCs w:val="28"/>
        </w:rPr>
        <w:t>〕</w:t>
      </w:r>
      <w:r>
        <w:rPr>
          <w:rFonts w:ascii="Times New Roman" w:hAnsi="Times New Roman" w:eastAsia="Times New Roman" w:cs="Times New Roman"/>
          <w:spacing w:val="-2"/>
          <w:sz w:val="28"/>
          <w:szCs w:val="28"/>
        </w:rPr>
        <w:t>14</w:t>
      </w:r>
      <w:r>
        <w:rPr>
          <w:rFonts w:ascii="Times New Roman" w:hAnsi="Times New Roman" w:eastAsia="Times New Roman" w:cs="Times New Roman"/>
          <w:spacing w:val="21"/>
          <w:sz w:val="28"/>
          <w:szCs w:val="28"/>
        </w:rPr>
        <w:t xml:space="preserve"> </w:t>
      </w:r>
      <w:r>
        <w:rPr>
          <w:rFonts w:ascii="FangSong_GB2312" w:hAnsi="FangSong_GB2312" w:eastAsia="FangSong_GB2312" w:cs="FangSong_GB2312"/>
          <w:spacing w:val="-2"/>
          <w:sz w:val="28"/>
          <w:szCs w:val="28"/>
        </w:rPr>
        <w:t>号）</w:t>
      </w:r>
    </w:p>
    <w:p w14:paraId="5B9FE18F">
      <w:pPr>
        <w:spacing w:before="1" w:line="359" w:lineRule="auto"/>
        <w:ind w:left="13" w:right="73" w:firstLine="577"/>
        <w:rPr>
          <w:rFonts w:ascii="FangSong_GB2312" w:hAnsi="FangSong_GB2312" w:eastAsia="FangSong_GB2312" w:cs="FangSong_GB2312"/>
          <w:sz w:val="28"/>
          <w:szCs w:val="28"/>
        </w:rPr>
      </w:pPr>
      <w:r>
        <w:rPr>
          <w:rFonts w:ascii="FangSong_GB2312" w:hAnsi="FangSong_GB2312" w:eastAsia="FangSong_GB2312" w:cs="FangSong_GB2312"/>
          <w:spacing w:val="-10"/>
          <w:sz w:val="28"/>
          <w:szCs w:val="28"/>
        </w:rPr>
        <w:t>附件</w:t>
      </w:r>
      <w:r>
        <w:rPr>
          <w:rFonts w:ascii="FangSong_GB2312" w:hAnsi="FangSong_GB2312" w:eastAsia="FangSong_GB2312" w:cs="FangSong_GB2312"/>
          <w:spacing w:val="-51"/>
          <w:sz w:val="28"/>
          <w:szCs w:val="28"/>
        </w:rPr>
        <w:t xml:space="preserve"> </w:t>
      </w:r>
      <w:r>
        <w:rPr>
          <w:rFonts w:ascii="Times New Roman" w:hAnsi="Times New Roman" w:eastAsia="Times New Roman" w:cs="Times New Roman"/>
          <w:spacing w:val="-10"/>
          <w:sz w:val="28"/>
          <w:szCs w:val="28"/>
        </w:rPr>
        <w:t>3</w:t>
      </w:r>
      <w:r>
        <w:rPr>
          <w:rFonts w:ascii="Times New Roman" w:hAnsi="Times New Roman" w:eastAsia="Times New Roman" w:cs="Times New Roman"/>
          <w:spacing w:val="-37"/>
          <w:sz w:val="28"/>
          <w:szCs w:val="28"/>
        </w:rPr>
        <w:t xml:space="preserve"> </w:t>
      </w:r>
      <w:r>
        <w:rPr>
          <w:rFonts w:ascii="FangSong_GB2312" w:hAnsi="FangSong_GB2312" w:eastAsia="FangSong_GB2312" w:cs="FangSong_GB2312"/>
          <w:spacing w:val="-10"/>
          <w:sz w:val="28"/>
          <w:szCs w:val="28"/>
        </w:rPr>
        <w:t>、《中华人民共和国国有建设用地划拨决定书》，电子监管号：</w:t>
      </w:r>
      <w:r>
        <w:rPr>
          <w:rFonts w:ascii="FangSong_GB2312" w:hAnsi="FangSong_GB2312" w:eastAsia="FangSong_GB2312" w:cs="FangSong_GB2312"/>
          <w:sz w:val="28"/>
          <w:szCs w:val="28"/>
        </w:rPr>
        <w:t xml:space="preserve"> </w:t>
      </w:r>
      <w:r>
        <w:rPr>
          <w:rFonts w:ascii="Times New Roman" w:hAnsi="Times New Roman" w:eastAsia="Times New Roman" w:cs="Times New Roman"/>
          <w:spacing w:val="-2"/>
          <w:sz w:val="28"/>
          <w:szCs w:val="28"/>
        </w:rPr>
        <w:t>5108232022A02659</w:t>
      </w:r>
      <w:r>
        <w:rPr>
          <w:rFonts w:ascii="Times New Roman" w:hAnsi="Times New Roman" w:eastAsia="Times New Roman" w:cs="Times New Roman"/>
          <w:spacing w:val="-16"/>
          <w:sz w:val="28"/>
          <w:szCs w:val="28"/>
        </w:rPr>
        <w:t xml:space="preserve"> </w:t>
      </w:r>
      <w:r>
        <w:rPr>
          <w:rFonts w:ascii="FangSong_GB2312" w:hAnsi="FangSong_GB2312" w:eastAsia="FangSong_GB2312" w:cs="FangSong_GB2312"/>
          <w:spacing w:val="-2"/>
          <w:sz w:val="28"/>
          <w:szCs w:val="28"/>
        </w:rPr>
        <w:t>，编号：</w:t>
      </w:r>
      <w:r>
        <w:rPr>
          <w:rFonts w:ascii="Times New Roman" w:hAnsi="Times New Roman" w:eastAsia="Times New Roman" w:cs="Times New Roman"/>
          <w:spacing w:val="-2"/>
          <w:sz w:val="28"/>
          <w:szCs w:val="28"/>
        </w:rPr>
        <w:t>5107012022009</w:t>
      </w:r>
      <w:r>
        <w:rPr>
          <w:rFonts w:ascii="FangSong_GB2312" w:hAnsi="FangSong_GB2312" w:eastAsia="FangSong_GB2312" w:cs="FangSong_GB2312"/>
          <w:spacing w:val="-2"/>
          <w:sz w:val="28"/>
          <w:szCs w:val="28"/>
        </w:rPr>
        <w:t>；</w:t>
      </w:r>
    </w:p>
    <w:p w14:paraId="639EC418">
      <w:pPr>
        <w:spacing w:before="1" w:line="359" w:lineRule="auto"/>
        <w:ind w:left="11" w:firstLine="579"/>
        <w:jc w:val="both"/>
        <w:rPr>
          <w:rFonts w:ascii="FangSong_GB2312" w:hAnsi="FangSong_GB2312" w:eastAsia="FangSong_GB2312" w:cs="FangSong_GB2312"/>
          <w:sz w:val="28"/>
          <w:szCs w:val="28"/>
        </w:rPr>
      </w:pPr>
      <w:r>
        <w:rPr>
          <w:rFonts w:ascii="FangSong_GB2312" w:hAnsi="FangSong_GB2312" w:eastAsia="FangSong_GB2312" w:cs="FangSong_GB2312"/>
          <w:spacing w:val="-3"/>
          <w:sz w:val="28"/>
          <w:szCs w:val="28"/>
        </w:rPr>
        <w:t>附件</w:t>
      </w:r>
      <w:r>
        <w:rPr>
          <w:rFonts w:ascii="FangSong_GB2312" w:hAnsi="FangSong_GB2312" w:eastAsia="FangSong_GB2312" w:cs="FangSong_GB2312"/>
          <w:spacing w:val="-57"/>
          <w:sz w:val="28"/>
          <w:szCs w:val="28"/>
        </w:rPr>
        <w:t xml:space="preserve"> </w:t>
      </w:r>
      <w:r>
        <w:rPr>
          <w:rFonts w:ascii="Times New Roman" w:hAnsi="Times New Roman" w:eastAsia="Times New Roman" w:cs="Times New Roman"/>
          <w:spacing w:val="-3"/>
          <w:sz w:val="28"/>
          <w:szCs w:val="28"/>
        </w:rPr>
        <w:t>4</w:t>
      </w:r>
      <w:r>
        <w:rPr>
          <w:rFonts w:ascii="Times New Roman" w:hAnsi="Times New Roman" w:eastAsia="Times New Roman" w:cs="Times New Roman"/>
          <w:spacing w:val="-38"/>
          <w:sz w:val="28"/>
          <w:szCs w:val="28"/>
        </w:rPr>
        <w:t xml:space="preserve"> </w:t>
      </w:r>
      <w:r>
        <w:rPr>
          <w:rFonts w:ascii="FangSong_GB2312" w:hAnsi="FangSong_GB2312" w:eastAsia="FangSong_GB2312" w:cs="FangSong_GB2312"/>
          <w:spacing w:val="-3"/>
          <w:sz w:val="28"/>
          <w:szCs w:val="28"/>
        </w:rPr>
        <w:t>、《剑阁县发展和改革局文件剑阁县发展和改革局关于调整剑</w:t>
      </w:r>
      <w:r>
        <w:rPr>
          <w:rFonts w:ascii="FangSong_GB2312" w:hAnsi="FangSong_GB2312" w:eastAsia="FangSong_GB2312" w:cs="FangSong_GB2312"/>
          <w:spacing w:val="-7"/>
          <w:sz w:val="28"/>
          <w:szCs w:val="28"/>
        </w:rPr>
        <w:t>阁县义兴镇干部职工周转房建设项目规划用地的批复》（剑发改发〔</w:t>
      </w:r>
      <w:r>
        <w:rPr>
          <w:rFonts w:ascii="Times New Roman" w:hAnsi="Times New Roman" w:eastAsia="Times New Roman" w:cs="Times New Roman"/>
          <w:spacing w:val="-7"/>
          <w:sz w:val="28"/>
          <w:szCs w:val="28"/>
        </w:rPr>
        <w:t>2022</w:t>
      </w:r>
      <w:r>
        <w:rPr>
          <w:rFonts w:ascii="FangSong_GB2312" w:hAnsi="FangSong_GB2312" w:eastAsia="FangSong_GB2312" w:cs="FangSong_GB2312"/>
          <w:spacing w:val="-7"/>
          <w:sz w:val="28"/>
          <w:szCs w:val="28"/>
        </w:rPr>
        <w:t>〕</w:t>
      </w:r>
      <w:r>
        <w:rPr>
          <w:rFonts w:ascii="FangSong_GB2312" w:hAnsi="FangSong_GB2312" w:eastAsia="FangSong_GB2312" w:cs="FangSong_GB2312"/>
          <w:spacing w:val="10"/>
          <w:sz w:val="28"/>
          <w:szCs w:val="28"/>
        </w:rPr>
        <w:t xml:space="preserve"> </w:t>
      </w:r>
      <w:r>
        <w:rPr>
          <w:rFonts w:ascii="Times New Roman" w:hAnsi="Times New Roman" w:eastAsia="Times New Roman" w:cs="Times New Roman"/>
          <w:spacing w:val="-9"/>
          <w:sz w:val="28"/>
          <w:szCs w:val="28"/>
        </w:rPr>
        <w:t>306</w:t>
      </w:r>
      <w:r>
        <w:rPr>
          <w:rFonts w:ascii="Times New Roman" w:hAnsi="Times New Roman" w:eastAsia="Times New Roman" w:cs="Times New Roman"/>
          <w:spacing w:val="22"/>
          <w:sz w:val="28"/>
          <w:szCs w:val="28"/>
        </w:rPr>
        <w:t xml:space="preserve"> </w:t>
      </w:r>
      <w:r>
        <w:rPr>
          <w:rFonts w:ascii="FangSong_GB2312" w:hAnsi="FangSong_GB2312" w:eastAsia="FangSong_GB2312" w:cs="FangSong_GB2312"/>
          <w:spacing w:val="-9"/>
          <w:sz w:val="28"/>
          <w:szCs w:val="28"/>
        </w:rPr>
        <w:t>号</w:t>
      </w:r>
      <w:r>
        <w:rPr>
          <w:rFonts w:ascii="FangSong_GB2312" w:hAnsi="FangSong_GB2312" w:eastAsia="FangSong_GB2312" w:cs="FangSong_GB2312"/>
          <w:spacing w:val="1"/>
          <w:sz w:val="28"/>
          <w:szCs w:val="28"/>
        </w:rPr>
        <w:t>）；</w:t>
      </w:r>
    </w:p>
    <w:p w14:paraId="0DF097F6">
      <w:pPr>
        <w:spacing w:line="213"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8"/>
          <w:sz w:val="28"/>
          <w:szCs w:val="28"/>
        </w:rPr>
        <w:t>附件</w:t>
      </w:r>
      <w:r>
        <w:rPr>
          <w:rFonts w:ascii="FangSong_GB2312" w:hAnsi="FangSong_GB2312" w:eastAsia="FangSong_GB2312" w:cs="FangSong_GB2312"/>
          <w:spacing w:val="-55"/>
          <w:sz w:val="28"/>
          <w:szCs w:val="28"/>
        </w:rPr>
        <w:t xml:space="preserve"> </w:t>
      </w:r>
      <w:r>
        <w:rPr>
          <w:rFonts w:ascii="Times New Roman" w:hAnsi="Times New Roman" w:eastAsia="Times New Roman" w:cs="Times New Roman"/>
          <w:spacing w:val="-8"/>
          <w:sz w:val="28"/>
          <w:szCs w:val="28"/>
        </w:rPr>
        <w:t>5</w:t>
      </w:r>
      <w:r>
        <w:rPr>
          <w:rFonts w:ascii="Times New Roman" w:hAnsi="Times New Roman" w:eastAsia="Times New Roman" w:cs="Times New Roman"/>
          <w:spacing w:val="-38"/>
          <w:sz w:val="28"/>
          <w:szCs w:val="28"/>
        </w:rPr>
        <w:t xml:space="preserve"> </w:t>
      </w:r>
      <w:r>
        <w:rPr>
          <w:rFonts w:ascii="FangSong_GB2312" w:hAnsi="FangSong_GB2312" w:eastAsia="FangSong_GB2312" w:cs="FangSong_GB2312"/>
          <w:spacing w:val="-8"/>
          <w:sz w:val="28"/>
          <w:szCs w:val="28"/>
        </w:rPr>
        <w:t>、修改对照表；</w:t>
      </w:r>
    </w:p>
    <w:p w14:paraId="073DC90D">
      <w:pPr>
        <w:spacing w:before="222" w:line="214"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9"/>
          <w:sz w:val="28"/>
          <w:szCs w:val="28"/>
        </w:rPr>
        <w:t>附件</w:t>
      </w:r>
      <w:r>
        <w:rPr>
          <w:rFonts w:ascii="FangSong_GB2312" w:hAnsi="FangSong_GB2312" w:eastAsia="FangSong_GB2312" w:cs="FangSong_GB2312"/>
          <w:spacing w:val="-53"/>
          <w:sz w:val="28"/>
          <w:szCs w:val="28"/>
        </w:rPr>
        <w:t xml:space="preserve"> </w:t>
      </w:r>
      <w:r>
        <w:rPr>
          <w:rFonts w:ascii="Times New Roman" w:hAnsi="Times New Roman" w:eastAsia="Times New Roman" w:cs="Times New Roman"/>
          <w:spacing w:val="-9"/>
          <w:sz w:val="28"/>
          <w:szCs w:val="28"/>
        </w:rPr>
        <w:t>6</w:t>
      </w:r>
      <w:r>
        <w:rPr>
          <w:rFonts w:ascii="Times New Roman" w:hAnsi="Times New Roman" w:eastAsia="Times New Roman" w:cs="Times New Roman"/>
          <w:spacing w:val="-37"/>
          <w:sz w:val="28"/>
          <w:szCs w:val="28"/>
        </w:rPr>
        <w:t xml:space="preserve"> </w:t>
      </w:r>
      <w:r>
        <w:rPr>
          <w:rFonts w:ascii="FangSong_GB2312" w:hAnsi="FangSong_GB2312" w:eastAsia="FangSong_GB2312" w:cs="FangSong_GB2312"/>
          <w:spacing w:val="-9"/>
          <w:sz w:val="28"/>
          <w:szCs w:val="28"/>
        </w:rPr>
        <w:t>、专家签字。</w:t>
      </w:r>
    </w:p>
    <w:p w14:paraId="7149235B">
      <w:pPr>
        <w:spacing w:before="220" w:line="220" w:lineRule="auto"/>
        <w:ind w:left="32"/>
        <w:rPr>
          <w:rFonts w:ascii="FangSong_GB2312" w:hAnsi="FangSong_GB2312" w:eastAsia="FangSong_GB2312" w:cs="FangSong_GB2312"/>
          <w:sz w:val="28"/>
          <w:szCs w:val="28"/>
        </w:rPr>
      </w:pPr>
      <w:r>
        <w:rPr>
          <w:rFonts w:ascii="FangSong_GB2312" w:hAnsi="FangSong_GB2312" w:eastAsia="FangSong_GB2312" w:cs="FangSong_GB2312"/>
          <w:b/>
          <w:bCs/>
          <w:spacing w:val="-18"/>
          <w:sz w:val="28"/>
          <w:szCs w:val="28"/>
        </w:rPr>
        <w:t>附图</w:t>
      </w:r>
    </w:p>
    <w:p w14:paraId="27F606DF">
      <w:pPr>
        <w:spacing w:before="211" w:line="214"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5"/>
          <w:sz w:val="28"/>
          <w:szCs w:val="28"/>
        </w:rPr>
        <w:t>附图</w:t>
      </w:r>
      <w:r>
        <w:rPr>
          <w:rFonts w:ascii="FangSong_GB2312" w:hAnsi="FangSong_GB2312" w:eastAsia="FangSong_GB2312" w:cs="FangSong_GB2312"/>
          <w:spacing w:val="-35"/>
          <w:sz w:val="28"/>
          <w:szCs w:val="28"/>
        </w:rPr>
        <w:t xml:space="preserve"> </w:t>
      </w:r>
      <w:r>
        <w:rPr>
          <w:rFonts w:ascii="Times New Roman" w:hAnsi="Times New Roman" w:eastAsia="Times New Roman" w:cs="Times New Roman"/>
          <w:spacing w:val="-5"/>
          <w:sz w:val="28"/>
          <w:szCs w:val="28"/>
        </w:rPr>
        <w:t>1</w:t>
      </w:r>
      <w:r>
        <w:rPr>
          <w:rFonts w:ascii="FangSong_GB2312" w:hAnsi="FangSong_GB2312" w:eastAsia="FangSong_GB2312" w:cs="FangSong_GB2312"/>
          <w:spacing w:val="-5"/>
          <w:sz w:val="28"/>
          <w:szCs w:val="28"/>
        </w:rPr>
        <w:t>：项目区地理位置图；</w:t>
      </w:r>
    </w:p>
    <w:p w14:paraId="1F55AFAB">
      <w:pPr>
        <w:spacing w:before="220" w:line="214"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附图</w:t>
      </w:r>
      <w:r>
        <w:rPr>
          <w:rFonts w:ascii="FangSong_GB2312" w:hAnsi="FangSong_GB2312" w:eastAsia="FangSong_GB2312" w:cs="FangSong_GB2312"/>
          <w:spacing w:val="-58"/>
          <w:sz w:val="28"/>
          <w:szCs w:val="28"/>
        </w:rPr>
        <w:t xml:space="preserve"> </w:t>
      </w:r>
      <w:r>
        <w:rPr>
          <w:rFonts w:ascii="Times New Roman" w:hAnsi="Times New Roman" w:eastAsia="Times New Roman" w:cs="Times New Roman"/>
          <w:spacing w:val="-4"/>
          <w:sz w:val="28"/>
          <w:szCs w:val="28"/>
        </w:rPr>
        <w:t>2</w:t>
      </w:r>
      <w:r>
        <w:rPr>
          <w:rFonts w:ascii="FangSong_GB2312" w:hAnsi="FangSong_GB2312" w:eastAsia="FangSong_GB2312" w:cs="FangSong_GB2312"/>
          <w:spacing w:val="-4"/>
          <w:sz w:val="28"/>
          <w:szCs w:val="28"/>
        </w:rPr>
        <w:t>：项目区水系图；</w:t>
      </w:r>
    </w:p>
    <w:p w14:paraId="3518C291">
      <w:pPr>
        <w:spacing w:before="220" w:line="215"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附图</w:t>
      </w:r>
      <w:r>
        <w:rPr>
          <w:rFonts w:ascii="FangSong_GB2312" w:hAnsi="FangSong_GB2312" w:eastAsia="FangSong_GB2312" w:cs="FangSong_GB2312"/>
          <w:spacing w:val="-48"/>
          <w:sz w:val="28"/>
          <w:szCs w:val="28"/>
        </w:rPr>
        <w:t xml:space="preserve"> </w:t>
      </w:r>
      <w:r>
        <w:rPr>
          <w:rFonts w:ascii="Times New Roman" w:hAnsi="Times New Roman" w:eastAsia="Times New Roman" w:cs="Times New Roman"/>
          <w:spacing w:val="-4"/>
          <w:sz w:val="28"/>
          <w:szCs w:val="28"/>
        </w:rPr>
        <w:t>3</w:t>
      </w:r>
      <w:r>
        <w:rPr>
          <w:rFonts w:ascii="FangSong_GB2312" w:hAnsi="FangSong_GB2312" w:eastAsia="FangSong_GB2312" w:cs="FangSong_GB2312"/>
          <w:spacing w:val="-4"/>
          <w:sz w:val="28"/>
          <w:szCs w:val="28"/>
        </w:rPr>
        <w:t>：项目区土壤侵蚀图；</w:t>
      </w:r>
    </w:p>
    <w:p w14:paraId="7DA69CBC">
      <w:pPr>
        <w:spacing w:before="219" w:line="215" w:lineRule="auto"/>
        <w:ind w:left="591"/>
        <w:rPr>
          <w:rFonts w:ascii="FangSong_GB2312" w:hAnsi="FangSong_GB2312" w:eastAsia="FangSong_GB2312" w:cs="FangSong_GB2312"/>
          <w:sz w:val="28"/>
          <w:szCs w:val="28"/>
        </w:rPr>
      </w:pPr>
      <w:r>
        <w:rPr>
          <w:rFonts w:ascii="FangSong_GB2312" w:hAnsi="FangSong_GB2312" w:eastAsia="FangSong_GB2312" w:cs="FangSong_GB2312"/>
          <w:spacing w:val="-4"/>
          <w:sz w:val="28"/>
          <w:szCs w:val="28"/>
        </w:rPr>
        <w:t>附图</w:t>
      </w:r>
      <w:r>
        <w:rPr>
          <w:rFonts w:ascii="FangSong_GB2312" w:hAnsi="FangSong_GB2312" w:eastAsia="FangSong_GB2312" w:cs="FangSong_GB2312"/>
          <w:spacing w:val="-58"/>
          <w:sz w:val="28"/>
          <w:szCs w:val="28"/>
        </w:rPr>
        <w:t xml:space="preserve"> </w:t>
      </w:r>
      <w:r>
        <w:rPr>
          <w:rFonts w:ascii="Times New Roman" w:hAnsi="Times New Roman" w:eastAsia="Times New Roman" w:cs="Times New Roman"/>
          <w:spacing w:val="-4"/>
          <w:sz w:val="28"/>
          <w:szCs w:val="28"/>
        </w:rPr>
        <w:t>4</w:t>
      </w:r>
      <w:r>
        <w:rPr>
          <w:rFonts w:ascii="FangSong_GB2312" w:hAnsi="FangSong_GB2312" w:eastAsia="FangSong_GB2312" w:cs="FangSong_GB2312"/>
          <w:spacing w:val="-4"/>
          <w:sz w:val="28"/>
          <w:szCs w:val="28"/>
        </w:rPr>
        <w:t>：总平面布置图；</w:t>
      </w:r>
    </w:p>
    <w:p w14:paraId="557F3565">
      <w:pPr>
        <w:spacing w:before="219" w:line="214" w:lineRule="auto"/>
        <w:ind w:left="591"/>
        <w:rPr>
          <w:rFonts w:ascii="FangSong_GB2312" w:hAnsi="FangSong_GB2312" w:eastAsia="FangSong_GB2312" w:cs="FangSong_GB2312"/>
          <w:sz w:val="28"/>
          <w:szCs w:val="28"/>
        </w:rPr>
      </w:pPr>
      <w:bookmarkStart w:id="4" w:name="bookmark2"/>
      <w:bookmarkEnd w:id="4"/>
      <w:bookmarkStart w:id="5" w:name="bookmark3"/>
      <w:bookmarkEnd w:id="5"/>
      <w:r>
        <w:rPr>
          <w:rFonts w:ascii="FangSong_GB2312" w:hAnsi="FangSong_GB2312" w:eastAsia="FangSong_GB2312" w:cs="FangSong_GB2312"/>
          <w:spacing w:val="-3"/>
          <w:sz w:val="28"/>
          <w:szCs w:val="28"/>
        </w:rPr>
        <w:t>附图</w:t>
      </w:r>
      <w:r>
        <w:rPr>
          <w:rFonts w:ascii="FangSong_GB2312" w:hAnsi="FangSong_GB2312" w:eastAsia="FangSong_GB2312" w:cs="FangSong_GB2312"/>
          <w:spacing w:val="-52"/>
          <w:sz w:val="28"/>
          <w:szCs w:val="28"/>
        </w:rPr>
        <w:t xml:space="preserve"> </w:t>
      </w:r>
      <w:r>
        <w:rPr>
          <w:rFonts w:ascii="Times New Roman" w:hAnsi="Times New Roman" w:eastAsia="Times New Roman" w:cs="Times New Roman"/>
          <w:spacing w:val="-3"/>
          <w:sz w:val="28"/>
          <w:szCs w:val="28"/>
        </w:rPr>
        <w:t>5</w:t>
      </w:r>
      <w:r>
        <w:rPr>
          <w:rFonts w:ascii="FangSong_GB2312" w:hAnsi="FangSong_GB2312" w:eastAsia="FangSong_GB2312" w:cs="FangSong_GB2312"/>
          <w:spacing w:val="-3"/>
          <w:sz w:val="28"/>
          <w:szCs w:val="28"/>
        </w:rPr>
        <w:t>：分区防治措施总体布局图；</w:t>
      </w:r>
    </w:p>
    <w:p w14:paraId="280D4C1E">
      <w:pPr>
        <w:pStyle w:val="2"/>
      </w:pPr>
    </w:p>
    <w:p w14:paraId="49C338AB">
      <w:pPr>
        <w:pStyle w:val="2"/>
      </w:pPr>
    </w:p>
    <w:p w14:paraId="2A4635FC">
      <w:pPr>
        <w:pStyle w:val="2"/>
      </w:pPr>
    </w:p>
    <w:p w14:paraId="466DFB1B">
      <w:pPr>
        <w:pStyle w:val="2"/>
      </w:pPr>
    </w:p>
    <w:p w14:paraId="1450FB28">
      <w:pPr>
        <w:pStyle w:val="2"/>
      </w:pPr>
    </w:p>
    <w:p w14:paraId="0920E8D0">
      <w:pPr>
        <w:pStyle w:val="2"/>
      </w:pPr>
    </w:p>
    <w:p w14:paraId="226FEE1E">
      <w:pPr>
        <w:pStyle w:val="2"/>
      </w:pPr>
    </w:p>
    <w:p w14:paraId="165444C6">
      <w:pPr>
        <w:pStyle w:val="2"/>
      </w:pPr>
    </w:p>
    <w:p w14:paraId="44C6AA71">
      <w:pPr>
        <w:pStyle w:val="2"/>
      </w:pPr>
    </w:p>
    <w:p w14:paraId="3AD868E1">
      <w:pPr>
        <w:pStyle w:val="2"/>
      </w:pPr>
    </w:p>
    <w:p w14:paraId="1FA6B29B">
      <w:pPr>
        <w:pStyle w:val="2"/>
      </w:pPr>
    </w:p>
    <w:p w14:paraId="4C93183E">
      <w:pPr>
        <w:pStyle w:val="2"/>
      </w:pPr>
    </w:p>
    <w:p w14:paraId="464AD73D">
      <w:pPr>
        <w:pStyle w:val="2"/>
      </w:pPr>
    </w:p>
    <w:p w14:paraId="34A7059F">
      <w:pPr>
        <w:pStyle w:val="2"/>
      </w:pPr>
    </w:p>
    <w:p w14:paraId="6061AC24">
      <w:pPr>
        <w:pStyle w:val="2"/>
      </w:pPr>
    </w:p>
    <w:p w14:paraId="759FAF46">
      <w:pPr>
        <w:pStyle w:val="2"/>
      </w:pPr>
    </w:p>
    <w:p w14:paraId="47DD2BDB">
      <w:pPr>
        <w:pStyle w:val="2"/>
      </w:pPr>
    </w:p>
    <w:p w14:paraId="79D49670">
      <w:pPr>
        <w:pStyle w:val="2"/>
      </w:pPr>
    </w:p>
    <w:p w14:paraId="65EC86A1">
      <w:pPr>
        <w:pStyle w:val="2"/>
      </w:pPr>
    </w:p>
    <w:p w14:paraId="3852DCCE">
      <w:pPr>
        <w:pStyle w:val="2"/>
      </w:pPr>
    </w:p>
    <w:p w14:paraId="44082C76">
      <w:pPr>
        <w:pStyle w:val="2"/>
      </w:pPr>
    </w:p>
    <w:p w14:paraId="36534B54">
      <w:pPr>
        <w:pStyle w:val="2"/>
      </w:pPr>
    </w:p>
    <w:p w14:paraId="112A627E">
      <w:pPr>
        <w:spacing w:before="65" w:line="229" w:lineRule="auto"/>
        <w:ind w:left="5384"/>
        <w:rPr>
          <w:rFonts w:ascii="FangSong_GB2312" w:hAnsi="FangSong_GB2312" w:eastAsia="FangSong_GB2312" w:cs="FangSong_GB2312"/>
          <w:sz w:val="20"/>
          <w:szCs w:val="20"/>
        </w:rPr>
      </w:pPr>
      <w:r>
        <w:pict>
          <v:shape id="_x0000_s1026" o:spid="_x0000_s1026" o:spt="202" type="#_x0000_t202" style="position:absolute;left:0pt;margin-left:219.75pt;margin-top:3pt;height:10.15pt;width:5.45pt;z-index:251671552;mso-width-relative:page;mso-height-relative:page;" filled="f" stroked="f" coordsize="21600,21600">
            <v:path/>
            <v:fill on="f" focussize="0,0"/>
            <v:stroke on="f"/>
            <v:imagedata o:title=""/>
            <o:lock v:ext="edit" aspectratio="f"/>
            <v:textbox inset="0mm,0mm,0mm,0mm">
              <w:txbxContent>
                <w:p w14:paraId="5876D138">
                  <w:pPr>
                    <w:spacing w:before="2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2"/>
                      <w:sz w:val="18"/>
                      <w:szCs w:val="18"/>
                    </w:rPr>
                    <w:t>1</w:t>
                  </w:r>
                </w:p>
              </w:txbxContent>
            </v:textbox>
          </v:shape>
        </w:pict>
      </w:r>
      <w:r>
        <w:rPr>
          <w:rFonts w:ascii="FangSong_GB2312" w:hAnsi="FangSong_GB2312" w:eastAsia="FangSong_GB2312" w:cs="FangSong_GB2312"/>
          <w:spacing w:val="8"/>
          <w:sz w:val="20"/>
          <w:szCs w:val="20"/>
        </w:rPr>
        <w:t>剑阁县绿森林业勘察设计有限公司</w:t>
      </w:r>
    </w:p>
    <w:p w14:paraId="66DDC359">
      <w:pPr>
        <w:spacing w:line="229" w:lineRule="auto"/>
        <w:rPr>
          <w:rFonts w:ascii="FangSong_GB2312" w:hAnsi="FangSong_GB2312" w:eastAsia="FangSong_GB2312" w:cs="FangSong_GB2312"/>
          <w:sz w:val="20"/>
          <w:szCs w:val="20"/>
        </w:rPr>
        <w:sectPr>
          <w:headerReference r:id="rId17" w:type="default"/>
          <w:footerReference r:id="rId18" w:type="default"/>
          <w:pgSz w:w="11906" w:h="16839"/>
          <w:pgMar w:top="1164" w:right="1373" w:bottom="400" w:left="1513" w:header="831" w:footer="0" w:gutter="0"/>
          <w:cols w:space="720" w:num="1"/>
        </w:sectPr>
      </w:pPr>
    </w:p>
    <w:p w14:paraId="175913E5">
      <w:pPr>
        <w:spacing w:before="212" w:line="221" w:lineRule="auto"/>
        <w:ind w:left="3657"/>
        <w:outlineLvl w:val="0"/>
        <w:rPr>
          <w:rFonts w:ascii="FangSong_GB2312" w:hAnsi="FangSong_GB2312" w:eastAsia="FangSong_GB2312" w:cs="FangSong_GB2312"/>
          <w:sz w:val="31"/>
          <w:szCs w:val="31"/>
        </w:rPr>
      </w:pPr>
      <w:bookmarkStart w:id="6" w:name="bookmark93"/>
      <w:bookmarkEnd w:id="6"/>
      <w:r>
        <w:rPr>
          <w:rFonts w:ascii="Times New Roman" w:hAnsi="Times New Roman" w:eastAsia="Times New Roman" w:cs="Times New Roman"/>
          <w:b/>
          <w:bCs/>
          <w:spacing w:val="-3"/>
          <w:sz w:val="31"/>
          <w:szCs w:val="31"/>
        </w:rPr>
        <w:t>1</w:t>
      </w:r>
      <w:r>
        <w:rPr>
          <w:rFonts w:ascii="Times New Roman" w:hAnsi="Times New Roman" w:eastAsia="Times New Roman" w:cs="Times New Roman"/>
          <w:b/>
          <w:bCs/>
          <w:spacing w:val="16"/>
          <w:sz w:val="31"/>
          <w:szCs w:val="31"/>
        </w:rPr>
        <w:t xml:space="preserve">  </w:t>
      </w:r>
      <w:r>
        <w:rPr>
          <w:rFonts w:ascii="FangSong_GB2312" w:hAnsi="FangSong_GB2312" w:eastAsia="FangSong_GB2312" w:cs="FangSong_GB2312"/>
          <w:b/>
          <w:bCs/>
          <w:spacing w:val="-3"/>
          <w:sz w:val="31"/>
          <w:szCs w:val="31"/>
        </w:rPr>
        <w:t>综合说明</w:t>
      </w:r>
    </w:p>
    <w:p w14:paraId="1E7E87F1">
      <w:pPr>
        <w:pStyle w:val="2"/>
        <w:spacing w:line="386" w:lineRule="auto"/>
      </w:pPr>
    </w:p>
    <w:p w14:paraId="2458D00C">
      <w:pPr>
        <w:spacing w:before="98" w:line="214" w:lineRule="auto"/>
        <w:ind w:left="20"/>
        <w:outlineLvl w:val="1"/>
        <w:rPr>
          <w:rFonts w:ascii="FangSong_GB2312" w:hAnsi="FangSong_GB2312" w:eastAsia="FangSong_GB2312" w:cs="FangSong_GB2312"/>
          <w:sz w:val="30"/>
          <w:szCs w:val="30"/>
        </w:rPr>
      </w:pPr>
      <w:bookmarkStart w:id="7" w:name="bookmark5"/>
      <w:bookmarkEnd w:id="7"/>
      <w:bookmarkStart w:id="8" w:name="bookmark4"/>
      <w:bookmarkEnd w:id="8"/>
      <w:r>
        <w:rPr>
          <w:rFonts w:ascii="Times New Roman" w:hAnsi="Times New Roman" w:eastAsia="Times New Roman" w:cs="Times New Roman"/>
          <w:b/>
          <w:bCs/>
          <w:spacing w:val="-7"/>
          <w:sz w:val="30"/>
          <w:szCs w:val="30"/>
        </w:rPr>
        <w:t>1.1</w:t>
      </w:r>
      <w:r>
        <w:rPr>
          <w:rFonts w:ascii="Times New Roman" w:hAnsi="Times New Roman" w:eastAsia="Times New Roman" w:cs="Times New Roman"/>
          <w:b/>
          <w:bCs/>
          <w:spacing w:val="16"/>
          <w:sz w:val="30"/>
          <w:szCs w:val="30"/>
        </w:rPr>
        <w:t xml:space="preserve"> </w:t>
      </w:r>
      <w:r>
        <w:rPr>
          <w:rFonts w:ascii="FangSong_GB2312" w:hAnsi="FangSong_GB2312" w:eastAsia="FangSong_GB2312" w:cs="FangSong_GB2312"/>
          <w:b/>
          <w:bCs/>
          <w:spacing w:val="-7"/>
          <w:sz w:val="30"/>
          <w:szCs w:val="30"/>
        </w:rPr>
        <w:t>项目简况</w:t>
      </w:r>
    </w:p>
    <w:p w14:paraId="07E0BB4A">
      <w:pPr>
        <w:spacing w:before="233"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3"/>
          <w:sz w:val="28"/>
          <w:szCs w:val="28"/>
        </w:rPr>
        <w:t xml:space="preserve">1.1.1 </w:t>
      </w:r>
      <w:r>
        <w:rPr>
          <w:rFonts w:ascii="FangSong_GB2312" w:hAnsi="FangSong_GB2312" w:eastAsia="FangSong_GB2312" w:cs="FangSong_GB2312"/>
          <w:b/>
          <w:bCs/>
          <w:spacing w:val="-3"/>
          <w:sz w:val="28"/>
          <w:szCs w:val="28"/>
        </w:rPr>
        <w:t>项目基本情况</w:t>
      </w:r>
    </w:p>
    <w:p w14:paraId="748329CF">
      <w:pPr>
        <w:spacing w:before="207"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7"/>
          <w:sz w:val="24"/>
          <w:szCs w:val="24"/>
        </w:rPr>
        <w:t>、项目建设必要性</w:t>
      </w:r>
    </w:p>
    <w:p w14:paraId="428B0CFF">
      <w:pPr>
        <w:spacing w:before="191" w:line="359" w:lineRule="auto"/>
        <w:ind w:left="14" w:right="115" w:firstLine="470"/>
        <w:rPr>
          <w:rFonts w:ascii="FangSong_GB2312" w:hAnsi="FangSong_GB2312" w:eastAsia="FangSong_GB2312" w:cs="FangSong_GB2312"/>
          <w:sz w:val="24"/>
          <w:szCs w:val="24"/>
        </w:rPr>
      </w:pPr>
      <w:r>
        <w:rPr>
          <w:rFonts w:ascii="Times New Roman" w:hAnsi="Times New Roman" w:eastAsia="Times New Roman" w:cs="Times New Roman"/>
          <w:sz w:val="24"/>
          <w:szCs w:val="24"/>
        </w:rPr>
        <w:t xml:space="preserve">2020  </w:t>
      </w:r>
      <w:r>
        <w:rPr>
          <w:rFonts w:ascii="FangSong_GB2312" w:hAnsi="FangSong_GB2312" w:eastAsia="FangSong_GB2312" w:cs="FangSong_GB2312"/>
          <w:sz w:val="24"/>
          <w:szCs w:val="24"/>
        </w:rPr>
        <w:t>年剑阁县实施乡镇行政区划调整改革，撤销原义兴乡，设</w:t>
      </w:r>
      <w:r>
        <w:rPr>
          <w:rFonts w:ascii="FangSong_GB2312" w:hAnsi="FangSong_GB2312" w:eastAsia="FangSong_GB2312" w:cs="FangSong_GB2312"/>
          <w:spacing w:val="-1"/>
          <w:sz w:val="24"/>
          <w:szCs w:val="24"/>
        </w:rPr>
        <w:t>立义兴镇，以原</w:t>
      </w:r>
      <w:r>
        <w:rPr>
          <w:rFonts w:ascii="FangSong_GB2312" w:hAnsi="FangSong_GB2312" w:eastAsia="FangSong_GB2312" w:cs="FangSong_GB2312"/>
          <w:sz w:val="24"/>
          <w:szCs w:val="24"/>
        </w:rPr>
        <w:t>义兴乡，原高池乡大营村和原凉山乡甘水村</w:t>
      </w:r>
      <w:r>
        <w:rPr>
          <w:rFonts w:ascii="FangSong_GB2312" w:hAnsi="FangSong_GB2312" w:eastAsia="FangSong_GB2312" w:cs="FangSong_GB2312"/>
          <w:spacing w:val="-1"/>
          <w:sz w:val="24"/>
          <w:szCs w:val="24"/>
        </w:rPr>
        <w:t>、珠珍村为义兴镇的行政区域，义兴镇人</w:t>
      </w:r>
      <w:r>
        <w:rPr>
          <w:rFonts w:ascii="FangSong_GB2312" w:hAnsi="FangSong_GB2312" w:eastAsia="FangSong_GB2312" w:cs="FangSong_GB2312"/>
          <w:spacing w:val="-4"/>
          <w:sz w:val="24"/>
          <w:szCs w:val="24"/>
        </w:rPr>
        <w:t>民政府驻原义兴乡感恩街</w:t>
      </w:r>
      <w:r>
        <w:rPr>
          <w:rFonts w:ascii="FangSong_GB2312" w:hAnsi="FangSong_GB2312" w:eastAsia="FangSong_GB2312" w:cs="FangSong_GB2312"/>
          <w:spacing w:val="30"/>
          <w:sz w:val="24"/>
          <w:szCs w:val="24"/>
        </w:rPr>
        <w:t xml:space="preserve"> </w:t>
      </w:r>
      <w:r>
        <w:rPr>
          <w:rFonts w:ascii="Times New Roman" w:hAnsi="Times New Roman" w:eastAsia="Times New Roman" w:cs="Times New Roman"/>
          <w:spacing w:val="-4"/>
          <w:sz w:val="24"/>
          <w:szCs w:val="24"/>
        </w:rPr>
        <w:t xml:space="preserve">1  </w:t>
      </w:r>
      <w:r>
        <w:rPr>
          <w:rFonts w:ascii="FangSong_GB2312" w:hAnsi="FangSong_GB2312" w:eastAsia="FangSong_GB2312" w:cs="FangSong_GB2312"/>
          <w:spacing w:val="-4"/>
          <w:sz w:val="24"/>
          <w:szCs w:val="24"/>
        </w:rPr>
        <w:t xml:space="preserve">号；乡镇行政区划调整改革后义兴镇编制人数 </w:t>
      </w:r>
      <w:r>
        <w:rPr>
          <w:rFonts w:ascii="Times New Roman" w:hAnsi="Times New Roman" w:eastAsia="Times New Roman" w:cs="Times New Roman"/>
          <w:spacing w:val="-4"/>
          <w:sz w:val="24"/>
          <w:szCs w:val="24"/>
        </w:rPr>
        <w:t xml:space="preserve">38  </w:t>
      </w:r>
      <w:r>
        <w:rPr>
          <w:rFonts w:ascii="FangSong_GB2312" w:hAnsi="FangSong_GB2312" w:eastAsia="FangSong_GB2312" w:cs="FangSong_GB2312"/>
          <w:spacing w:val="-4"/>
          <w:sz w:val="24"/>
          <w:szCs w:val="24"/>
        </w:rPr>
        <w:t>人（行政编制</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 xml:space="preserve">18 </w:t>
      </w:r>
      <w:r>
        <w:rPr>
          <w:rFonts w:ascii="FangSong_GB2312" w:hAnsi="FangSong_GB2312" w:eastAsia="FangSong_GB2312" w:cs="FangSong_GB2312"/>
          <w:spacing w:val="-4"/>
          <w:sz w:val="24"/>
          <w:szCs w:val="24"/>
        </w:rPr>
        <w:t>人</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4"/>
          <w:sz w:val="24"/>
          <w:szCs w:val="24"/>
        </w:rPr>
        <w:t>造成干部周转房缺口。</w:t>
      </w:r>
    </w:p>
    <w:p w14:paraId="34EAEEDE">
      <w:pPr>
        <w:spacing w:before="6" w:line="358" w:lineRule="auto"/>
        <w:ind w:left="9" w:right="115" w:firstLine="513"/>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乡政府是基层建设的重要基础，是政府设立的最基层</w:t>
      </w:r>
      <w:r>
        <w:rPr>
          <w:rFonts w:ascii="FangSong_GB2312" w:hAnsi="FangSong_GB2312" w:eastAsia="FangSong_GB2312" w:cs="FangSong_GB2312"/>
          <w:spacing w:val="-2"/>
          <w:sz w:val="24"/>
          <w:szCs w:val="24"/>
        </w:rPr>
        <w:t>的政府机构，乡政府干部周</w:t>
      </w:r>
      <w:r>
        <w:rPr>
          <w:rFonts w:ascii="FangSong_GB2312" w:hAnsi="FangSong_GB2312" w:eastAsia="FangSong_GB2312" w:cs="FangSong_GB2312"/>
          <w:sz w:val="24"/>
          <w:szCs w:val="24"/>
        </w:rPr>
        <w:t>转房缺失，严重制约了义兴镇公共事业的发展。面对社</w:t>
      </w:r>
      <w:r>
        <w:rPr>
          <w:rFonts w:ascii="FangSong_GB2312" w:hAnsi="FangSong_GB2312" w:eastAsia="FangSong_GB2312" w:cs="FangSong_GB2312"/>
          <w:spacing w:val="-1"/>
          <w:sz w:val="24"/>
          <w:szCs w:val="24"/>
        </w:rPr>
        <w:t>会主义建设服务型政府的重大</w:t>
      </w:r>
      <w:r>
        <w:rPr>
          <w:rFonts w:ascii="FangSong_GB2312" w:hAnsi="FangSong_GB2312" w:eastAsia="FangSong_GB2312" w:cs="FangSong_GB2312"/>
          <w:sz w:val="24"/>
          <w:szCs w:val="24"/>
        </w:rPr>
        <w:t>历史任务，剑阁县义兴镇干部周转房项目建设为广大义</w:t>
      </w:r>
      <w:r>
        <w:rPr>
          <w:rFonts w:ascii="FangSong_GB2312" w:hAnsi="FangSong_GB2312" w:eastAsia="FangSong_GB2312" w:cs="FangSong_GB2312"/>
          <w:spacing w:val="-1"/>
          <w:sz w:val="24"/>
          <w:szCs w:val="24"/>
        </w:rPr>
        <w:t>兴镇干部提供良好的工作生活</w:t>
      </w:r>
      <w:r>
        <w:rPr>
          <w:rFonts w:ascii="FangSong_GB2312" w:hAnsi="FangSong_GB2312" w:eastAsia="FangSong_GB2312" w:cs="FangSong_GB2312"/>
          <w:sz w:val="24"/>
          <w:szCs w:val="24"/>
        </w:rPr>
        <w:t>条件，成为义兴镇基层工作的重中之重。经济在发展，</w:t>
      </w:r>
      <w:r>
        <w:rPr>
          <w:rFonts w:ascii="FangSong_GB2312" w:hAnsi="FangSong_GB2312" w:eastAsia="FangSong_GB2312" w:cs="FangSong_GB2312"/>
          <w:spacing w:val="-1"/>
          <w:sz w:val="24"/>
          <w:szCs w:val="24"/>
        </w:rPr>
        <w:t>社会在进步，义兴镇干部周转房建设已经是政府服务人民的必然需求。</w:t>
      </w:r>
    </w:p>
    <w:p w14:paraId="7016BC5F">
      <w:pPr>
        <w:spacing w:before="1"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）干部的居住现状条件急需改善</w:t>
      </w:r>
    </w:p>
    <w:p w14:paraId="7F541BF6">
      <w:pPr>
        <w:spacing w:before="189" w:line="359" w:lineRule="auto"/>
        <w:ind w:left="4" w:right="54" w:firstLine="49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剑阁县义兴镇在</w:t>
      </w:r>
      <w:r>
        <w:rPr>
          <w:rFonts w:ascii="FangSong_GB2312" w:hAnsi="FangSong_GB2312" w:eastAsia="FangSong_GB2312" w:cs="FangSong_GB2312"/>
          <w:spacing w:val="-40"/>
          <w:sz w:val="24"/>
          <w:szCs w:val="24"/>
        </w:rPr>
        <w:t xml:space="preserve"> </w:t>
      </w:r>
      <w:r>
        <w:rPr>
          <w:rFonts w:ascii="Times New Roman" w:hAnsi="Times New Roman" w:eastAsia="Times New Roman" w:cs="Times New Roman"/>
          <w:spacing w:val="-1"/>
          <w:sz w:val="24"/>
          <w:szCs w:val="24"/>
        </w:rPr>
        <w:t xml:space="preserve">2020 </w:t>
      </w:r>
      <w:r>
        <w:rPr>
          <w:rFonts w:ascii="FangSong_GB2312" w:hAnsi="FangSong_GB2312" w:eastAsia="FangSong_GB2312" w:cs="FangSong_GB2312"/>
          <w:spacing w:val="-1"/>
          <w:sz w:val="24"/>
          <w:szCs w:val="24"/>
        </w:rPr>
        <w:t>年剑阁县乡镇行政区划调整改革撤销原义兴乡，设立义兴</w:t>
      </w:r>
      <w:r>
        <w:rPr>
          <w:rFonts w:ascii="FangSong_GB2312" w:hAnsi="FangSong_GB2312" w:eastAsia="FangSong_GB2312" w:cs="FangSong_GB2312"/>
          <w:spacing w:val="-4"/>
          <w:sz w:val="24"/>
          <w:szCs w:val="24"/>
        </w:rPr>
        <w:t>镇（原高池乡大营村和原凉山乡甘水村、珠珍村为义兴镇的行政区域</w:t>
      </w:r>
      <w:r>
        <w:rPr>
          <w:rFonts w:ascii="FangSong_GB2312" w:hAnsi="FangSong_GB2312" w:eastAsia="FangSong_GB2312" w:cs="FangSong_GB2312"/>
          <w:spacing w:val="-22"/>
          <w:sz w:val="24"/>
          <w:szCs w:val="24"/>
        </w:rPr>
        <w:t>），</w:t>
      </w:r>
      <w:r>
        <w:rPr>
          <w:rFonts w:ascii="FangSong_GB2312" w:hAnsi="FangSong_GB2312" w:eastAsia="FangSong_GB2312" w:cs="FangSong_GB2312"/>
          <w:spacing w:val="-4"/>
          <w:sz w:val="24"/>
          <w:szCs w:val="24"/>
        </w:rPr>
        <w:t>行政区扩大，</w:t>
      </w:r>
      <w:r>
        <w:rPr>
          <w:rFonts w:ascii="FangSong_GB2312" w:hAnsi="FangSong_GB2312" w:eastAsia="FangSong_GB2312" w:cs="FangSong_GB2312"/>
          <w:spacing w:val="1"/>
          <w:sz w:val="24"/>
          <w:szCs w:val="24"/>
        </w:rPr>
        <w:t>干部团队扩容，编制</w:t>
      </w:r>
      <w:r>
        <w:rPr>
          <w:rFonts w:ascii="Times New Roman" w:hAnsi="Times New Roman" w:eastAsia="Times New Roman" w:cs="Times New Roman"/>
          <w:spacing w:val="1"/>
          <w:sz w:val="24"/>
          <w:szCs w:val="24"/>
        </w:rPr>
        <w:t xml:space="preserve">38 </w:t>
      </w:r>
      <w:r>
        <w:rPr>
          <w:rFonts w:ascii="FangSong_GB2312" w:hAnsi="FangSong_GB2312" w:eastAsia="FangSong_GB2312" w:cs="FangSong_GB2312"/>
          <w:spacing w:val="1"/>
          <w:sz w:val="24"/>
          <w:szCs w:val="24"/>
        </w:rPr>
        <w:t>人集中于原义兴镇政府驻地办公。原义兴镇政府驻地办公没有专门的干部居住用房，房屋缺口</w:t>
      </w:r>
      <w:r>
        <w:rPr>
          <w:rFonts w:ascii="Times New Roman" w:hAnsi="Times New Roman" w:eastAsia="Times New Roman" w:cs="Times New Roman"/>
          <w:spacing w:val="1"/>
          <w:sz w:val="24"/>
          <w:szCs w:val="24"/>
        </w:rPr>
        <w:t xml:space="preserve">38 </w:t>
      </w:r>
      <w:r>
        <w:rPr>
          <w:rFonts w:ascii="FangSong_GB2312" w:hAnsi="FangSong_GB2312" w:eastAsia="FangSong_GB2312" w:cs="FangSong_GB2312"/>
          <w:spacing w:val="1"/>
          <w:sz w:val="24"/>
          <w:szCs w:val="24"/>
        </w:rPr>
        <w:t>套急需解决现状的居住问题；由于没有统一的</w:t>
      </w:r>
      <w:r>
        <w:rPr>
          <w:rFonts w:ascii="FangSong_GB2312" w:hAnsi="FangSong_GB2312" w:eastAsia="FangSong_GB2312" w:cs="FangSong_GB2312"/>
          <w:sz w:val="24"/>
          <w:szCs w:val="24"/>
        </w:rPr>
        <w:t>居住用房，干部分散居住在义兴镇及周边原乡镇驻地，生活设施有</w:t>
      </w:r>
      <w:r>
        <w:rPr>
          <w:rFonts w:ascii="FangSong_GB2312" w:hAnsi="FangSong_GB2312" w:eastAsia="FangSong_GB2312" w:cs="FangSong_GB2312"/>
          <w:spacing w:val="-1"/>
          <w:sz w:val="24"/>
          <w:szCs w:val="24"/>
        </w:rPr>
        <w:t>好有坏，标准难以统一，造成了一定的矛盾因素。</w:t>
      </w:r>
    </w:p>
    <w:p w14:paraId="7ECCD932">
      <w:pPr>
        <w:spacing w:before="2"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）剑阁县义兴镇自身的发展需要</w:t>
      </w:r>
    </w:p>
    <w:p w14:paraId="5DC49569">
      <w:pPr>
        <w:spacing w:before="188" w:line="359" w:lineRule="auto"/>
        <w:ind w:left="9" w:right="115" w:firstLine="482"/>
        <w:rPr>
          <w:rFonts w:ascii="FangSong_GB2312" w:hAnsi="FangSong_GB2312" w:eastAsia="FangSong_GB2312" w:cs="FangSong_GB2312"/>
          <w:sz w:val="24"/>
          <w:szCs w:val="24"/>
        </w:rPr>
      </w:pPr>
      <w:r>
        <w:rPr>
          <w:rFonts w:ascii="FangSong_GB2312" w:hAnsi="FangSong_GB2312" w:eastAsia="FangSong_GB2312" w:cs="FangSong_GB2312"/>
          <w:sz w:val="24"/>
          <w:szCs w:val="24"/>
        </w:rPr>
        <w:t>在剑阁县义兴镇干部的生活问题直接影响到</w:t>
      </w:r>
      <w:r>
        <w:rPr>
          <w:rFonts w:ascii="FangSong_GB2312" w:hAnsi="FangSong_GB2312" w:eastAsia="FangSong_GB2312" w:cs="FangSong_GB2312"/>
          <w:spacing w:val="-1"/>
          <w:sz w:val="24"/>
          <w:szCs w:val="24"/>
        </w:rPr>
        <w:t>能否留住人才的问题，人才得多少直</w:t>
      </w:r>
      <w:r>
        <w:rPr>
          <w:rFonts w:ascii="FangSong_GB2312" w:hAnsi="FangSong_GB2312" w:eastAsia="FangSong_GB2312" w:cs="FangSong_GB2312"/>
          <w:sz w:val="24"/>
          <w:szCs w:val="24"/>
        </w:rPr>
        <w:t>接关系到剑阁县义兴镇建设的快与慢，将影响当地的发</w:t>
      </w:r>
      <w:r>
        <w:rPr>
          <w:rFonts w:ascii="FangSong_GB2312" w:hAnsi="FangSong_GB2312" w:eastAsia="FangSong_GB2312" w:cs="FangSong_GB2312"/>
          <w:spacing w:val="-1"/>
          <w:sz w:val="24"/>
          <w:szCs w:val="24"/>
        </w:rPr>
        <w:t>展速度，从社会进步和社会经</w:t>
      </w:r>
      <w:r>
        <w:rPr>
          <w:rFonts w:ascii="FangSong_GB2312" w:hAnsi="FangSong_GB2312" w:eastAsia="FangSong_GB2312" w:cs="FangSong_GB2312"/>
          <w:sz w:val="24"/>
          <w:szCs w:val="24"/>
        </w:rPr>
        <w:t>济、教育、医疗卫生乡镇形象等各方面长远发展讲，剑</w:t>
      </w:r>
      <w:r>
        <w:rPr>
          <w:rFonts w:ascii="FangSong_GB2312" w:hAnsi="FangSong_GB2312" w:eastAsia="FangSong_GB2312" w:cs="FangSong_GB2312"/>
          <w:spacing w:val="-1"/>
          <w:sz w:val="24"/>
          <w:szCs w:val="24"/>
        </w:rPr>
        <w:t>阁县义兴镇干部周转房项目是</w:t>
      </w:r>
      <w:r>
        <w:rPr>
          <w:rFonts w:ascii="FangSong_GB2312" w:hAnsi="FangSong_GB2312" w:eastAsia="FangSong_GB2312" w:cs="FangSong_GB2312"/>
          <w:spacing w:val="-3"/>
          <w:sz w:val="24"/>
          <w:szCs w:val="24"/>
        </w:rPr>
        <w:t>必要的。</w:t>
      </w:r>
    </w:p>
    <w:p w14:paraId="682A7F8B">
      <w:pPr>
        <w:spacing w:line="359" w:lineRule="auto"/>
        <w:ind w:left="20" w:firstLine="465"/>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w:t>
      </w:r>
      <w:r>
        <w:rPr>
          <w:rFonts w:ascii="Times New Roman" w:hAnsi="Times New Roman" w:eastAsia="Times New Roman" w:cs="Times New Roman"/>
          <w:spacing w:val="-6"/>
          <w:sz w:val="24"/>
          <w:szCs w:val="24"/>
        </w:rPr>
        <w:t>3</w:t>
      </w:r>
      <w:r>
        <w:rPr>
          <w:rFonts w:ascii="FangSong_GB2312" w:hAnsi="FangSong_GB2312" w:eastAsia="FangSong_GB2312" w:cs="FangSong_GB2312"/>
          <w:spacing w:val="-6"/>
          <w:sz w:val="24"/>
          <w:szCs w:val="24"/>
        </w:rPr>
        <w:t>）落实《关于做好乡镇行政区划和村级建制调整改革</w:t>
      </w:r>
      <w:r>
        <w:rPr>
          <w:rFonts w:ascii="Times New Roman" w:hAnsi="Times New Roman" w:eastAsia="Times New Roman" w:cs="Times New Roman"/>
          <w:spacing w:val="-6"/>
          <w:sz w:val="24"/>
          <w:szCs w:val="24"/>
        </w:rPr>
        <w:t>“</w:t>
      </w:r>
      <w:r>
        <w:rPr>
          <w:rFonts w:ascii="FangSong_GB2312" w:hAnsi="FangSong_GB2312" w:eastAsia="FangSong_GB2312" w:cs="FangSong_GB2312"/>
          <w:spacing w:val="-6"/>
          <w:sz w:val="24"/>
          <w:szCs w:val="24"/>
        </w:rPr>
        <w:t>后半篇</w:t>
      </w:r>
      <w:r>
        <w:rPr>
          <w:rFonts w:ascii="Times New Roman" w:hAnsi="Times New Roman" w:eastAsia="Times New Roman" w:cs="Times New Roman"/>
          <w:spacing w:val="-6"/>
          <w:sz w:val="24"/>
          <w:szCs w:val="24"/>
        </w:rPr>
        <w:t>”</w:t>
      </w:r>
      <w:r>
        <w:rPr>
          <w:rFonts w:ascii="FangSong_GB2312" w:hAnsi="FangSong_GB2312" w:eastAsia="FangSong_GB2312" w:cs="FangSong_GB2312"/>
          <w:spacing w:val="-6"/>
          <w:sz w:val="24"/>
          <w:szCs w:val="24"/>
        </w:rPr>
        <w:t>文章的实施方案》</w:t>
      </w:r>
      <w:r>
        <w:rPr>
          <w:rFonts w:ascii="FangSong_GB2312" w:hAnsi="FangSong_GB2312" w:eastAsia="FangSong_GB2312" w:cs="FangSong_GB2312"/>
          <w:spacing w:val="-5"/>
          <w:sz w:val="24"/>
          <w:szCs w:val="24"/>
        </w:rPr>
        <w:t>文件精神</w:t>
      </w:r>
    </w:p>
    <w:p w14:paraId="02C8BA91">
      <w:pPr>
        <w:spacing w:before="1" w:line="359" w:lineRule="auto"/>
        <w:ind w:left="20" w:right="87" w:firstLine="465"/>
        <w:rPr>
          <w:rFonts w:ascii="Times New Roman" w:hAnsi="Times New Roman" w:eastAsia="Times New Roman" w:cs="Times New Roman"/>
          <w:sz w:val="24"/>
          <w:szCs w:val="24"/>
        </w:rPr>
      </w:pPr>
      <w:r>
        <w:rPr>
          <w:rFonts w:ascii="FangSong_GB2312" w:hAnsi="FangSong_GB2312" w:eastAsia="FangSong_GB2312" w:cs="FangSong_GB2312"/>
          <w:spacing w:val="-2"/>
          <w:sz w:val="24"/>
          <w:szCs w:val="24"/>
        </w:rPr>
        <w:t>《关于做好乡镇行政区划和村级建制调整改革</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 xml:space="preserve">后半篇 </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文章的实施方案》指出：</w:t>
      </w:r>
      <w:r>
        <w:rPr>
          <w:rFonts w:ascii="FangSong_GB2312" w:hAnsi="FangSong_GB2312" w:eastAsia="FangSong_GB2312" w:cs="FangSong_GB2312"/>
          <w:spacing w:val="-8"/>
          <w:sz w:val="24"/>
          <w:szCs w:val="24"/>
        </w:rPr>
        <w:t>坚持</w:t>
      </w:r>
      <w:r>
        <w:rPr>
          <w:rFonts w:ascii="Times New Roman" w:hAnsi="Times New Roman" w:eastAsia="Times New Roman" w:cs="Times New Roman"/>
          <w:spacing w:val="-8"/>
          <w:sz w:val="24"/>
          <w:szCs w:val="24"/>
        </w:rPr>
        <w:t>“</w:t>
      </w:r>
      <w:r>
        <w:rPr>
          <w:rFonts w:ascii="FangSong_GB2312" w:hAnsi="FangSong_GB2312" w:eastAsia="FangSong_GB2312" w:cs="FangSong_GB2312"/>
          <w:spacing w:val="-8"/>
          <w:sz w:val="24"/>
          <w:szCs w:val="24"/>
        </w:rPr>
        <w:t>统筹规划、试点先行，多措并举、分类推</w:t>
      </w:r>
      <w:r>
        <w:rPr>
          <w:rFonts w:ascii="FangSong_GB2312" w:hAnsi="FangSong_GB2312" w:eastAsia="FangSong_GB2312" w:cs="FangSong_GB2312"/>
          <w:spacing w:val="-9"/>
          <w:sz w:val="24"/>
          <w:szCs w:val="24"/>
        </w:rPr>
        <w:t xml:space="preserve">进，市县主体、省级补助 </w:t>
      </w:r>
      <w:r>
        <w:rPr>
          <w:rFonts w:ascii="Times New Roman" w:hAnsi="Times New Roman" w:eastAsia="Times New Roman" w:cs="Times New Roman"/>
          <w:spacing w:val="-9"/>
          <w:sz w:val="24"/>
          <w:szCs w:val="24"/>
        </w:rPr>
        <w:t>”</w:t>
      </w:r>
      <w:r>
        <w:rPr>
          <w:rFonts w:ascii="FangSong_GB2312" w:hAnsi="FangSong_GB2312" w:eastAsia="FangSong_GB2312" w:cs="FangSong_GB2312"/>
          <w:spacing w:val="-9"/>
          <w:sz w:val="24"/>
          <w:szCs w:val="24"/>
        </w:rPr>
        <w:t>的原则，</w:t>
      </w:r>
      <w:r>
        <w:rPr>
          <w:rFonts w:ascii="Times New Roman" w:hAnsi="Times New Roman" w:eastAsia="Times New Roman" w:cs="Times New Roman"/>
          <w:spacing w:val="-9"/>
          <w:sz w:val="24"/>
          <w:szCs w:val="24"/>
        </w:rPr>
        <w:t>2021</w:t>
      </w:r>
    </w:p>
    <w:p w14:paraId="66418426">
      <w:pPr>
        <w:spacing w:before="114" w:line="229" w:lineRule="auto"/>
        <w:ind w:left="5384"/>
        <w:rPr>
          <w:rFonts w:ascii="FangSong_GB2312" w:hAnsi="FangSong_GB2312" w:eastAsia="FangSong_GB2312" w:cs="FangSong_GB2312"/>
          <w:sz w:val="20"/>
          <w:szCs w:val="20"/>
        </w:rPr>
      </w:pPr>
      <w:r>
        <w:pict>
          <v:shape id="_x0000_s1027" o:spid="_x0000_s1027" o:spt="202" type="#_x0000_t202" style="position:absolute;left:0pt;margin-left:219.75pt;margin-top:5.4pt;height:10.15pt;width:5.45pt;z-index:251673600;mso-width-relative:page;mso-height-relative:page;" filled="f" stroked="f" coordsize="21600,21600">
            <v:path/>
            <v:fill on="f" focussize="0,0"/>
            <v:stroke on="f"/>
            <v:imagedata o:title=""/>
            <o:lock v:ext="edit" aspectratio="f"/>
            <v:textbox inset="0mm,0mm,0mm,0mm">
              <w:txbxContent>
                <w:p w14:paraId="4CD7055A">
                  <w:pPr>
                    <w:spacing w:before="20"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22"/>
                      <w:sz w:val="18"/>
                      <w:szCs w:val="18"/>
                    </w:rPr>
                    <w:t>1</w:t>
                  </w:r>
                </w:p>
              </w:txbxContent>
            </v:textbox>
          </v:shape>
        </w:pict>
      </w:r>
      <w:r>
        <w:rPr>
          <w:rFonts w:ascii="FangSong_GB2312" w:hAnsi="FangSong_GB2312" w:eastAsia="FangSong_GB2312" w:cs="FangSong_GB2312"/>
          <w:spacing w:val="8"/>
          <w:sz w:val="20"/>
          <w:szCs w:val="20"/>
        </w:rPr>
        <w:t>剑阁县绿森林业勘察设计有限公司</w:t>
      </w:r>
    </w:p>
    <w:p w14:paraId="136CA67E">
      <w:pPr>
        <w:spacing w:line="229" w:lineRule="auto"/>
        <w:rPr>
          <w:rFonts w:ascii="FangSong_GB2312" w:hAnsi="FangSong_GB2312" w:eastAsia="FangSong_GB2312" w:cs="FangSong_GB2312"/>
          <w:sz w:val="20"/>
          <w:szCs w:val="20"/>
        </w:rPr>
        <w:sectPr>
          <w:headerReference r:id="rId19" w:type="default"/>
          <w:pgSz w:w="11906" w:h="16839"/>
          <w:pgMar w:top="1164" w:right="1399" w:bottom="400" w:left="1513" w:header="831" w:footer="0" w:gutter="0"/>
          <w:cols w:space="720" w:num="1"/>
        </w:sectPr>
      </w:pPr>
    </w:p>
    <w:p w14:paraId="4B9A4AFF">
      <w:pPr>
        <w:spacing w:before="198" w:line="359" w:lineRule="auto"/>
        <w:ind w:left="9" w:right="66" w:firstLine="2"/>
        <w:jc w:val="both"/>
        <w:rPr>
          <w:rFonts w:ascii="FangSong_GB2312" w:hAnsi="FangSong_GB2312" w:eastAsia="FangSong_GB2312" w:cs="FangSong_GB2312"/>
          <w:sz w:val="24"/>
          <w:szCs w:val="24"/>
        </w:rPr>
      </w:pPr>
      <w:bookmarkStart w:id="9" w:name="bookmark94"/>
      <w:bookmarkEnd w:id="9"/>
      <w:r>
        <w:rPr>
          <w:rFonts w:ascii="FangSong_GB2312" w:hAnsi="FangSong_GB2312" w:eastAsia="FangSong_GB2312" w:cs="FangSong_GB2312"/>
          <w:spacing w:val="-2"/>
          <w:sz w:val="24"/>
          <w:szCs w:val="24"/>
        </w:rPr>
        <w:t>年优先选择合并乡镇较多、距离县城较远、</w:t>
      </w:r>
      <w:r>
        <w:rPr>
          <w:rFonts w:ascii="FangSong_GB2312" w:hAnsi="FangSong_GB2312" w:eastAsia="FangSong_GB2312" w:cs="FangSong_GB2312"/>
          <w:spacing w:val="52"/>
          <w:sz w:val="24"/>
          <w:szCs w:val="24"/>
        </w:rPr>
        <w:t xml:space="preserve"> </w:t>
      </w:r>
      <w:r>
        <w:rPr>
          <w:rFonts w:ascii="FangSong_GB2312" w:hAnsi="FangSong_GB2312" w:eastAsia="FangSong_GB2312" w:cs="FangSong_GB2312"/>
          <w:spacing w:val="-2"/>
          <w:sz w:val="24"/>
          <w:szCs w:val="24"/>
        </w:rPr>
        <w:t>自</w:t>
      </w:r>
      <w:r>
        <w:rPr>
          <w:rFonts w:ascii="FangSong_GB2312" w:hAnsi="FangSong_GB2312" w:eastAsia="FangSong_GB2312" w:cs="FangSong_GB2312"/>
          <w:spacing w:val="-3"/>
          <w:sz w:val="24"/>
          <w:szCs w:val="24"/>
        </w:rPr>
        <w:t>然条件艰苦的</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 xml:space="preserve">140 </w:t>
      </w:r>
      <w:r>
        <w:rPr>
          <w:rFonts w:ascii="FangSong_GB2312" w:hAnsi="FangSong_GB2312" w:eastAsia="FangSong_GB2312" w:cs="FangSong_GB2312"/>
          <w:spacing w:val="-3"/>
          <w:sz w:val="24"/>
          <w:szCs w:val="24"/>
        </w:rPr>
        <w:t>个涉改乡镇开展干</w:t>
      </w:r>
      <w:r>
        <w:rPr>
          <w:rFonts w:ascii="FangSong_GB2312" w:hAnsi="FangSong_GB2312" w:eastAsia="FangSong_GB2312" w:cs="FangSong_GB2312"/>
          <w:sz w:val="24"/>
          <w:szCs w:val="24"/>
        </w:rPr>
        <w:t>部周转房保障试点，采取盘活存量一批、社会租赁一批</w:t>
      </w:r>
      <w:r>
        <w:rPr>
          <w:rFonts w:ascii="FangSong_GB2312" w:hAnsi="FangSong_GB2312" w:eastAsia="FangSong_GB2312" w:cs="FangSong_GB2312"/>
          <w:spacing w:val="-1"/>
          <w:sz w:val="24"/>
          <w:szCs w:val="24"/>
        </w:rPr>
        <w:t>、新建购置一批等方式，解决</w:t>
      </w:r>
      <w:r>
        <w:rPr>
          <w:rFonts w:ascii="Times New Roman" w:hAnsi="Times New Roman" w:eastAsia="Times New Roman" w:cs="Times New Roman"/>
          <w:sz w:val="24"/>
          <w:szCs w:val="24"/>
        </w:rPr>
        <w:t xml:space="preserve">8200 </w:t>
      </w:r>
      <w:r>
        <w:rPr>
          <w:rFonts w:ascii="FangSong_GB2312" w:hAnsi="FangSong_GB2312" w:eastAsia="FangSong_GB2312" w:cs="FangSong_GB2312"/>
          <w:sz w:val="24"/>
          <w:szCs w:val="24"/>
        </w:rPr>
        <w:t>名干部周转房保障问题。</w:t>
      </w:r>
      <w:r>
        <w:rPr>
          <w:rFonts w:ascii="Times New Roman" w:hAnsi="Times New Roman" w:eastAsia="Times New Roman" w:cs="Times New Roman"/>
          <w:sz w:val="24"/>
          <w:szCs w:val="24"/>
        </w:rPr>
        <w:t xml:space="preserve">2022—2023 </w:t>
      </w:r>
      <w:r>
        <w:rPr>
          <w:rFonts w:ascii="FangSong_GB2312" w:hAnsi="FangSong_GB2312" w:eastAsia="FangSong_GB2312" w:cs="FangSong_GB2312"/>
          <w:sz w:val="24"/>
          <w:szCs w:val="24"/>
        </w:rPr>
        <w:t>年，在试点总结</w:t>
      </w:r>
      <w:r>
        <w:rPr>
          <w:rFonts w:ascii="FangSong_GB2312" w:hAnsi="FangSong_GB2312" w:eastAsia="FangSong_GB2312" w:cs="FangSong_GB2312"/>
          <w:spacing w:val="-1"/>
          <w:sz w:val="24"/>
          <w:szCs w:val="24"/>
        </w:rPr>
        <w:t>评估的基础上，全面推进涉改乡镇干部周转房保障工作。本项目的实施有效解决</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1"/>
          <w:sz w:val="24"/>
          <w:szCs w:val="24"/>
        </w:rPr>
        <w:t xml:space="preserve">80 </w:t>
      </w:r>
      <w:r>
        <w:rPr>
          <w:rFonts w:ascii="FangSong_GB2312" w:hAnsi="FangSong_GB2312" w:eastAsia="FangSong_GB2312" w:cs="FangSong_GB2312"/>
          <w:spacing w:val="-1"/>
          <w:sz w:val="24"/>
          <w:szCs w:val="24"/>
        </w:rPr>
        <w:t>名干部无住房的问题。</w:t>
      </w:r>
    </w:p>
    <w:p w14:paraId="585EA1BA">
      <w:pPr>
        <w:spacing w:line="213"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4</w:t>
      </w:r>
      <w:r>
        <w:rPr>
          <w:rFonts w:ascii="FangSong_GB2312" w:hAnsi="FangSong_GB2312" w:eastAsia="FangSong_GB2312" w:cs="FangSong_GB2312"/>
          <w:spacing w:val="-1"/>
          <w:sz w:val="24"/>
          <w:szCs w:val="24"/>
        </w:rPr>
        <w:t>）提高剑阁县行政实力的需要</w:t>
      </w:r>
    </w:p>
    <w:p w14:paraId="5B5FB06C">
      <w:pPr>
        <w:spacing w:before="189" w:line="359" w:lineRule="auto"/>
        <w:ind w:left="9" w:firstLine="485"/>
        <w:rPr>
          <w:rFonts w:ascii="FangSong_GB2312" w:hAnsi="FangSong_GB2312" w:eastAsia="FangSong_GB2312" w:cs="FangSong_GB2312"/>
          <w:sz w:val="24"/>
          <w:szCs w:val="24"/>
        </w:rPr>
      </w:pPr>
      <w:r>
        <w:rPr>
          <w:rFonts w:ascii="FangSong_GB2312" w:hAnsi="FangSong_GB2312" w:eastAsia="FangSong_GB2312" w:cs="FangSong_GB2312"/>
          <w:sz w:val="24"/>
          <w:szCs w:val="24"/>
        </w:rPr>
        <w:t>近年来，剑阁县人民政府为了营造</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栓心留人</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环境，通过各方面的努力，提高干</w:t>
      </w:r>
      <w:r>
        <w:rPr>
          <w:rFonts w:ascii="FangSong_GB2312" w:hAnsi="FangSong_GB2312" w:eastAsia="FangSong_GB2312" w:cs="FangSong_GB2312"/>
          <w:spacing w:val="-5"/>
          <w:sz w:val="24"/>
          <w:szCs w:val="24"/>
        </w:rPr>
        <w:t>部职工的住房条件以及居住环境，但是由于各方面资金的制约，未能达到预期的效果。</w:t>
      </w:r>
      <w:r>
        <w:rPr>
          <w:rFonts w:ascii="FangSong_GB2312" w:hAnsi="FangSong_GB2312" w:eastAsia="FangSong_GB2312" w:cs="FangSong_GB2312"/>
          <w:spacing w:val="-3"/>
          <w:sz w:val="24"/>
          <w:szCs w:val="24"/>
        </w:rPr>
        <w:t>一是本项目的建设可以</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 xml:space="preserve">栓心留人 </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，能创造良好的工作环境。通过本项目的建设，能</w:t>
      </w:r>
      <w:r>
        <w:rPr>
          <w:rFonts w:ascii="FangSong_GB2312" w:hAnsi="FangSong_GB2312" w:eastAsia="FangSong_GB2312" w:cs="FangSong_GB2312"/>
          <w:sz w:val="24"/>
          <w:szCs w:val="24"/>
        </w:rPr>
        <w:t>有效改善干部职工生活与居住条件，能使干部职工能安</w:t>
      </w:r>
      <w:r>
        <w:rPr>
          <w:rFonts w:ascii="FangSong_GB2312" w:hAnsi="FangSong_GB2312" w:eastAsia="FangSong_GB2312" w:cs="FangSong_GB2312"/>
          <w:spacing w:val="-1"/>
          <w:sz w:val="24"/>
          <w:szCs w:val="24"/>
        </w:rPr>
        <w:t>心工作，扎根基层；二是通过</w:t>
      </w:r>
      <w:r>
        <w:rPr>
          <w:rFonts w:ascii="FangSong_GB2312" w:hAnsi="FangSong_GB2312" w:eastAsia="FangSong_GB2312" w:cs="FangSong_GB2312"/>
          <w:sz w:val="24"/>
          <w:szCs w:val="24"/>
        </w:rPr>
        <w:t>生活环境的改善，让干部职工能够空出更多时间用于工</w:t>
      </w:r>
      <w:r>
        <w:rPr>
          <w:rFonts w:ascii="FangSong_GB2312" w:hAnsi="FangSong_GB2312" w:eastAsia="FangSong_GB2312" w:cs="FangSong_GB2312"/>
          <w:spacing w:val="-1"/>
          <w:sz w:val="24"/>
          <w:szCs w:val="24"/>
        </w:rPr>
        <w:t>作，能对剑阁县经济的发展和</w:t>
      </w:r>
      <w:r>
        <w:rPr>
          <w:rFonts w:ascii="FangSong_GB2312" w:hAnsi="FangSong_GB2312" w:eastAsia="FangSong_GB2312" w:cs="FangSong_GB2312"/>
          <w:sz w:val="24"/>
          <w:szCs w:val="24"/>
        </w:rPr>
        <w:t>社会的发展多做贡献；三是能吸引更多的人才，特别是</w:t>
      </w:r>
      <w:r>
        <w:rPr>
          <w:rFonts w:ascii="FangSong_GB2312" w:hAnsi="FangSong_GB2312" w:eastAsia="FangSong_GB2312" w:cs="FangSong_GB2312"/>
          <w:spacing w:val="-1"/>
          <w:sz w:val="24"/>
          <w:szCs w:val="24"/>
        </w:rPr>
        <w:t>领导和专业人才到剑阁县来工</w:t>
      </w:r>
      <w:r>
        <w:rPr>
          <w:rFonts w:ascii="FangSong_GB2312" w:hAnsi="FangSong_GB2312" w:eastAsia="FangSong_GB2312" w:cs="FangSong_GB2312"/>
          <w:spacing w:val="-5"/>
          <w:sz w:val="24"/>
          <w:szCs w:val="24"/>
        </w:rPr>
        <w:t>作。</w:t>
      </w:r>
    </w:p>
    <w:p w14:paraId="524B0D6E">
      <w:pPr>
        <w:spacing w:line="213" w:lineRule="auto"/>
        <w:ind w:left="485"/>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5</w:t>
      </w:r>
      <w:r>
        <w:rPr>
          <w:rFonts w:ascii="FangSong_GB2312" w:hAnsi="FangSong_GB2312" w:eastAsia="FangSong_GB2312" w:cs="FangSong_GB2312"/>
          <w:sz w:val="24"/>
          <w:szCs w:val="24"/>
        </w:rPr>
        <w:t>）项目建设是推动当地国民经济发展和社会</w:t>
      </w:r>
      <w:r>
        <w:rPr>
          <w:rFonts w:ascii="FangSong_GB2312" w:hAnsi="FangSong_GB2312" w:eastAsia="FangSong_GB2312" w:cs="FangSong_GB2312"/>
          <w:spacing w:val="-1"/>
          <w:sz w:val="24"/>
          <w:szCs w:val="24"/>
        </w:rPr>
        <w:t>事业进步的需要</w:t>
      </w:r>
    </w:p>
    <w:p w14:paraId="79D33617">
      <w:pPr>
        <w:spacing w:before="191" w:line="359" w:lineRule="auto"/>
        <w:ind w:left="7" w:right="66" w:firstLine="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近年来，随着国民经济持续、稳定、快速发展和剑阁县义兴镇建设进程的加快，</w:t>
      </w:r>
      <w:r>
        <w:rPr>
          <w:rFonts w:ascii="FangSong_GB2312" w:hAnsi="FangSong_GB2312" w:eastAsia="FangSong_GB2312" w:cs="FangSong_GB2312"/>
          <w:sz w:val="24"/>
          <w:szCs w:val="24"/>
        </w:rPr>
        <w:t>当地经济得到了较快的发展，从而带来了发展空间和发展机</w:t>
      </w:r>
      <w:r>
        <w:rPr>
          <w:rFonts w:ascii="FangSong_GB2312" w:hAnsi="FangSong_GB2312" w:eastAsia="FangSong_GB2312" w:cs="FangSong_GB2312"/>
          <w:spacing w:val="-1"/>
          <w:sz w:val="24"/>
          <w:szCs w:val="24"/>
        </w:rPr>
        <w:t>遇。同时，经济建设速度</w:t>
      </w:r>
      <w:r>
        <w:rPr>
          <w:rFonts w:ascii="FangSong_GB2312" w:hAnsi="FangSong_GB2312" w:eastAsia="FangSong_GB2312" w:cs="FangSong_GB2312"/>
          <w:sz w:val="24"/>
          <w:szCs w:val="24"/>
        </w:rPr>
        <w:t>的加快，进一步缩小了城乡之间的差距，大力发展第三产业</w:t>
      </w:r>
      <w:r>
        <w:rPr>
          <w:rFonts w:ascii="FangSong_GB2312" w:hAnsi="FangSong_GB2312" w:eastAsia="FangSong_GB2312" w:cs="FangSong_GB2312"/>
          <w:spacing w:val="-1"/>
          <w:sz w:val="24"/>
          <w:szCs w:val="24"/>
        </w:rPr>
        <w:t>，有利于实现劳动力的转</w:t>
      </w:r>
      <w:r>
        <w:rPr>
          <w:rFonts w:ascii="FangSong_GB2312" w:hAnsi="FangSong_GB2312" w:eastAsia="FangSong_GB2312" w:cs="FangSong_GB2312"/>
          <w:sz w:val="24"/>
          <w:szCs w:val="24"/>
        </w:rPr>
        <w:t>化和增值，有利于产业结构的优化和升级。积极发展公共服</w:t>
      </w:r>
      <w:r>
        <w:rPr>
          <w:rFonts w:ascii="FangSong_GB2312" w:hAnsi="FangSong_GB2312" w:eastAsia="FangSong_GB2312" w:cs="FangSong_GB2312"/>
          <w:spacing w:val="-1"/>
          <w:sz w:val="24"/>
          <w:szCs w:val="24"/>
        </w:rPr>
        <w:t>务设施的建设是加快第三</w:t>
      </w:r>
      <w:r>
        <w:rPr>
          <w:rFonts w:ascii="FangSong_GB2312" w:hAnsi="FangSong_GB2312" w:eastAsia="FangSong_GB2312" w:cs="FangSong_GB2312"/>
          <w:sz w:val="24"/>
          <w:szCs w:val="24"/>
        </w:rPr>
        <w:t>产业建设的重要组成部分之一。项目建设可提供更优质的公</w:t>
      </w:r>
      <w:r>
        <w:rPr>
          <w:rFonts w:ascii="FangSong_GB2312" w:hAnsi="FangSong_GB2312" w:eastAsia="FangSong_GB2312" w:cs="FangSong_GB2312"/>
          <w:spacing w:val="-1"/>
          <w:sz w:val="24"/>
          <w:szCs w:val="24"/>
        </w:rPr>
        <w:t>共服务，能更好地促进当地经济发展和社会事业进步。</w:t>
      </w:r>
    </w:p>
    <w:p w14:paraId="4EDD501F">
      <w:pPr>
        <w:spacing w:before="1" w:line="213" w:lineRule="auto"/>
        <w:ind w:left="500"/>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综上所述，本项目的建设是必要且可行的。</w:t>
      </w:r>
    </w:p>
    <w:p w14:paraId="05142774">
      <w:pPr>
        <w:spacing w:before="190" w:line="216"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、基本情况</w:t>
      </w:r>
    </w:p>
    <w:p w14:paraId="1D5AB7F7">
      <w:pPr>
        <w:spacing w:before="185" w:line="214" w:lineRule="auto"/>
        <w:ind w:left="492"/>
        <w:rPr>
          <w:rFonts w:ascii="FangSong_GB2312" w:hAnsi="FangSong_GB2312" w:eastAsia="FangSong_GB2312" w:cs="FangSong_GB2312"/>
          <w:sz w:val="24"/>
          <w:szCs w:val="24"/>
        </w:rPr>
      </w:pPr>
      <w:r>
        <w:rPr>
          <w:rFonts w:ascii="FangSong_GB2312" w:hAnsi="FangSong_GB2312" w:eastAsia="FangSong_GB2312" w:cs="FangSong_GB2312"/>
          <w:b/>
          <w:bCs/>
          <w:spacing w:val="-1"/>
          <w:sz w:val="24"/>
          <w:szCs w:val="24"/>
        </w:rPr>
        <w:t>项目名称</w:t>
      </w:r>
      <w:r>
        <w:rPr>
          <w:rFonts w:ascii="FangSong_GB2312" w:hAnsi="FangSong_GB2312" w:eastAsia="FangSong_GB2312" w:cs="FangSong_GB2312"/>
          <w:spacing w:val="-1"/>
          <w:sz w:val="24"/>
          <w:szCs w:val="24"/>
        </w:rPr>
        <w:t>：剑阁县义兴镇干部职工周转房建设项目</w:t>
      </w:r>
    </w:p>
    <w:p w14:paraId="02E313BE">
      <w:pPr>
        <w:spacing w:before="190" w:line="214" w:lineRule="auto"/>
        <w:ind w:left="487"/>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建设单位</w:t>
      </w:r>
      <w:r>
        <w:rPr>
          <w:rFonts w:ascii="FangSong_GB2312" w:hAnsi="FangSong_GB2312" w:eastAsia="FangSong_GB2312" w:cs="FangSong_GB2312"/>
          <w:spacing w:val="-2"/>
          <w:sz w:val="24"/>
          <w:szCs w:val="24"/>
        </w:rPr>
        <w:t>：剑阁县义兴镇人民政府</w:t>
      </w:r>
    </w:p>
    <w:p w14:paraId="272B9FCC">
      <w:pPr>
        <w:spacing w:before="188" w:line="359" w:lineRule="auto"/>
        <w:ind w:left="14" w:right="113" w:firstLine="478"/>
        <w:rPr>
          <w:rFonts w:ascii="Times New Roman" w:hAnsi="Times New Roman" w:eastAsia="Times New Roman" w:cs="Times New Roman"/>
          <w:sz w:val="24"/>
          <w:szCs w:val="24"/>
        </w:rPr>
      </w:pPr>
      <w:r>
        <w:rPr>
          <w:rFonts w:ascii="FangSong_GB2312" w:hAnsi="FangSong_GB2312" w:eastAsia="FangSong_GB2312" w:cs="FangSong_GB2312"/>
          <w:b/>
          <w:bCs/>
          <w:spacing w:val="-3"/>
          <w:sz w:val="24"/>
          <w:szCs w:val="24"/>
        </w:rPr>
        <w:t>项目位置</w:t>
      </w:r>
      <w:r>
        <w:rPr>
          <w:rFonts w:ascii="FangSong_GB2312" w:hAnsi="FangSong_GB2312" w:eastAsia="FangSong_GB2312" w:cs="FangSong_GB2312"/>
          <w:spacing w:val="-3"/>
          <w:sz w:val="24"/>
          <w:szCs w:val="24"/>
        </w:rPr>
        <w:t>：四川省广元市剑阁县义兴镇人民政府西北侧，东经</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3"/>
          <w:sz w:val="24"/>
          <w:szCs w:val="24"/>
        </w:rPr>
        <w:t>105°24'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19.5388"</w:t>
      </w:r>
      <w:r>
        <w:rPr>
          <w:rFonts w:ascii="FangSong_GB2312" w:hAnsi="FangSong_GB2312" w:eastAsia="FangSong_GB2312" w:cs="FangSong_GB2312"/>
          <w:spacing w:val="-3"/>
          <w:sz w:val="24"/>
          <w:szCs w:val="24"/>
        </w:rPr>
        <w:t>、</w:t>
      </w:r>
      <w:r>
        <w:rPr>
          <w:rFonts w:ascii="FangSong_GB2312" w:hAnsi="FangSong_GB2312" w:eastAsia="FangSong_GB2312" w:cs="FangSong_GB2312"/>
          <w:spacing w:val="-2"/>
          <w:sz w:val="24"/>
          <w:szCs w:val="24"/>
        </w:rPr>
        <w:t>北纬</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31°53'39.8717"</w:t>
      </w:r>
    </w:p>
    <w:p w14:paraId="2B5B82C7">
      <w:pPr>
        <w:spacing w:before="1" w:line="212" w:lineRule="auto"/>
        <w:ind w:left="487"/>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建设性质</w:t>
      </w:r>
      <w:r>
        <w:rPr>
          <w:rFonts w:ascii="FangSong_GB2312" w:hAnsi="FangSong_GB2312" w:eastAsia="FangSong_GB2312" w:cs="FangSong_GB2312"/>
          <w:spacing w:val="-2"/>
          <w:sz w:val="24"/>
          <w:szCs w:val="24"/>
        </w:rPr>
        <w:t>：新建，建设类项目</w:t>
      </w:r>
    </w:p>
    <w:p w14:paraId="0F5C6CFE">
      <w:pPr>
        <w:spacing w:before="191" w:line="214" w:lineRule="auto"/>
        <w:ind w:left="490"/>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所属流域</w:t>
      </w:r>
      <w:r>
        <w:rPr>
          <w:rFonts w:ascii="FangSong_GB2312" w:hAnsi="FangSong_GB2312" w:eastAsia="FangSong_GB2312" w:cs="FangSong_GB2312"/>
          <w:spacing w:val="-2"/>
          <w:sz w:val="24"/>
          <w:szCs w:val="24"/>
        </w:rPr>
        <w:t>：长江流域</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嘉陵江流域</w:t>
      </w:r>
    </w:p>
    <w:p w14:paraId="2984230A">
      <w:pPr>
        <w:spacing w:before="187" w:line="360" w:lineRule="auto"/>
        <w:ind w:left="9" w:right="66" w:firstLine="482"/>
        <w:jc w:val="both"/>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项目建设内容及规模</w:t>
      </w:r>
      <w:r>
        <w:rPr>
          <w:rFonts w:ascii="FangSong_GB2312" w:hAnsi="FangSong_GB2312" w:eastAsia="FangSong_GB2312" w:cs="FangSong_GB2312"/>
          <w:spacing w:val="-2"/>
          <w:sz w:val="24"/>
          <w:szCs w:val="24"/>
        </w:rPr>
        <w:t>：总用地面积</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2</w:t>
      </w:r>
      <w:r>
        <w:rPr>
          <w:rFonts w:ascii="FangSong_GB2312" w:hAnsi="FangSong_GB2312" w:eastAsia="FangSong_GB2312" w:cs="FangSong_GB2312"/>
          <w:spacing w:val="3"/>
          <w:sz w:val="24"/>
          <w:szCs w:val="24"/>
        </w:rPr>
        <w:t>），</w:t>
      </w:r>
      <w:r>
        <w:rPr>
          <w:rFonts w:ascii="FangSong_GB2312" w:hAnsi="FangSong_GB2312" w:eastAsia="FangSong_GB2312" w:cs="FangSong_GB2312"/>
          <w:spacing w:val="-3"/>
          <w:sz w:val="24"/>
          <w:szCs w:val="24"/>
        </w:rPr>
        <w:t>建筑面积</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1330m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，均为地上建筑面积，容积率</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2.70</w:t>
      </w:r>
      <w:r>
        <w:rPr>
          <w:rFonts w:ascii="FangSong_GB2312" w:hAnsi="FangSong_GB2312" w:eastAsia="FangSong_GB2312" w:cs="FangSong_GB2312"/>
          <w:spacing w:val="-3"/>
          <w:sz w:val="24"/>
          <w:szCs w:val="24"/>
        </w:rPr>
        <w:t>，建筑密度</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3"/>
          <w:sz w:val="24"/>
          <w:szCs w:val="24"/>
        </w:rPr>
        <w:t>53.40%</w:t>
      </w:r>
      <w:r>
        <w:rPr>
          <w:rFonts w:ascii="FangSong_GB2312" w:hAnsi="FangSong_GB2312" w:eastAsia="FangSong_GB2312" w:cs="FangSong_GB2312"/>
          <w:spacing w:val="-3"/>
          <w:sz w:val="24"/>
          <w:szCs w:val="24"/>
        </w:rPr>
        <w:t>，绿地率</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20%</w:t>
      </w:r>
      <w:r>
        <w:rPr>
          <w:rFonts w:ascii="FangSong_GB2312" w:hAnsi="FangSong_GB2312" w:eastAsia="FangSong_GB2312" w:cs="FangSong_GB2312"/>
          <w:spacing w:val="-3"/>
          <w:sz w:val="24"/>
          <w:szCs w:val="24"/>
        </w:rPr>
        <w:t>。建设内</w:t>
      </w:r>
      <w:r>
        <w:rPr>
          <w:rFonts w:ascii="FangSong_GB2312" w:hAnsi="FangSong_GB2312" w:eastAsia="FangSong_GB2312" w:cs="FangSong_GB2312"/>
          <w:spacing w:val="-4"/>
          <w:sz w:val="24"/>
          <w:szCs w:val="24"/>
        </w:rPr>
        <w:t>容包括新建干</w:t>
      </w:r>
      <w:r>
        <w:rPr>
          <w:rFonts w:ascii="FangSong_GB2312" w:hAnsi="FangSong_GB2312" w:eastAsia="FangSong_GB2312" w:cs="FangSong_GB2312"/>
          <w:spacing w:val="-2"/>
          <w:sz w:val="24"/>
          <w:szCs w:val="24"/>
        </w:rPr>
        <w:t>部周转房</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栋（</w:t>
      </w:r>
      <w:r>
        <w:rPr>
          <w:rFonts w:ascii="Times New Roman" w:hAnsi="Times New Roman" w:eastAsia="Times New Roman" w:cs="Times New Roman"/>
          <w:spacing w:val="-2"/>
          <w:sz w:val="24"/>
          <w:szCs w:val="24"/>
        </w:rPr>
        <w:t xml:space="preserve">38 </w:t>
      </w:r>
      <w:r>
        <w:rPr>
          <w:rFonts w:ascii="FangSong_GB2312" w:hAnsi="FangSong_GB2312" w:eastAsia="FangSong_GB2312" w:cs="FangSong_GB2312"/>
          <w:spacing w:val="-2"/>
          <w:sz w:val="24"/>
          <w:szCs w:val="24"/>
        </w:rPr>
        <w:t>套</w:t>
      </w:r>
      <w:r>
        <w:rPr>
          <w:rFonts w:ascii="FangSong_GB2312" w:hAnsi="FangSong_GB2312" w:eastAsia="FangSong_GB2312" w:cs="FangSong_GB2312"/>
          <w:spacing w:val="10"/>
          <w:sz w:val="24"/>
          <w:szCs w:val="24"/>
        </w:rPr>
        <w:t>），</w:t>
      </w:r>
      <w:r>
        <w:rPr>
          <w:rFonts w:ascii="FangSong_GB2312" w:hAnsi="FangSong_GB2312" w:eastAsia="FangSong_GB2312" w:cs="FangSong_GB2312"/>
          <w:spacing w:val="-2"/>
          <w:sz w:val="24"/>
          <w:szCs w:val="24"/>
        </w:rPr>
        <w:t>配套附属设施建设及居住设备</w:t>
      </w:r>
      <w:r>
        <w:rPr>
          <w:rFonts w:ascii="FangSong_GB2312" w:hAnsi="FangSong_GB2312" w:eastAsia="FangSong_GB2312" w:cs="FangSong_GB2312"/>
          <w:spacing w:val="-3"/>
          <w:sz w:val="24"/>
          <w:szCs w:val="24"/>
        </w:rPr>
        <w:t>购置。</w:t>
      </w:r>
    </w:p>
    <w:p w14:paraId="3A300C09">
      <w:pPr>
        <w:spacing w:before="235" w:line="229" w:lineRule="auto"/>
        <w:ind w:left="5384"/>
        <w:rPr>
          <w:rFonts w:ascii="FangSong_GB2312" w:hAnsi="FangSong_GB2312" w:eastAsia="FangSong_GB2312" w:cs="FangSong_GB2312"/>
          <w:sz w:val="20"/>
          <w:szCs w:val="20"/>
        </w:rPr>
      </w:pPr>
      <w:r>
        <w:pict>
          <v:shape id="_x0000_s1028" o:spid="_x0000_s1028" o:spt="202" type="#_x0000_t202" style="position:absolute;left:0pt;margin-left:218.9pt;margin-top:11.5pt;height:10.15pt;width:6.35pt;z-index:251675648;mso-width-relative:page;mso-height-relative:page;" filled="f" stroked="f" coordsize="21600,21600">
            <v:path/>
            <v:fill on="f" focussize="0,0"/>
            <v:stroke on="f"/>
            <v:imagedata o:title=""/>
            <o:lock v:ext="edit" aspectratio="f"/>
            <v:textbox inset="0mm,0mm,0mm,0mm">
              <w:txbxContent>
                <w:p w14:paraId="469BACE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xbxContent>
            </v:textbox>
          </v:shape>
        </w:pict>
      </w:r>
      <w:r>
        <w:rPr>
          <w:rFonts w:ascii="FangSong_GB2312" w:hAnsi="FangSong_GB2312" w:eastAsia="FangSong_GB2312" w:cs="FangSong_GB2312"/>
          <w:spacing w:val="8"/>
          <w:sz w:val="20"/>
          <w:szCs w:val="20"/>
        </w:rPr>
        <w:t>剑阁县绿森林业勘察设计有限公司</w:t>
      </w:r>
    </w:p>
    <w:p w14:paraId="38C86F9A">
      <w:pPr>
        <w:spacing w:line="229" w:lineRule="auto"/>
        <w:rPr>
          <w:rFonts w:ascii="FangSong_GB2312" w:hAnsi="FangSong_GB2312" w:eastAsia="FangSong_GB2312" w:cs="FangSong_GB2312"/>
          <w:sz w:val="20"/>
          <w:szCs w:val="20"/>
        </w:rPr>
        <w:sectPr>
          <w:headerReference r:id="rId20" w:type="default"/>
          <w:pgSz w:w="11906" w:h="16839"/>
          <w:pgMar w:top="1164" w:right="1447" w:bottom="400" w:left="1513" w:header="831" w:footer="0" w:gutter="0"/>
          <w:cols w:space="720" w:num="1"/>
        </w:sectPr>
      </w:pPr>
    </w:p>
    <w:p w14:paraId="78BB26CE">
      <w:pPr>
        <w:spacing w:before="197" w:line="359" w:lineRule="auto"/>
        <w:ind w:left="12" w:right="70" w:firstLine="478"/>
        <w:jc w:val="both"/>
        <w:rPr>
          <w:rFonts w:ascii="FangSong_GB2312" w:hAnsi="FangSong_GB2312" w:eastAsia="FangSong_GB2312" w:cs="FangSong_GB2312"/>
          <w:sz w:val="24"/>
          <w:szCs w:val="24"/>
        </w:rPr>
      </w:pPr>
      <w:bookmarkStart w:id="10" w:name="bookmark95"/>
      <w:bookmarkEnd w:id="10"/>
      <w:r>
        <w:rPr>
          <w:rFonts w:ascii="FangSong_GB2312" w:hAnsi="FangSong_GB2312" w:eastAsia="FangSong_GB2312" w:cs="FangSong_GB2312"/>
          <w:b/>
          <w:bCs/>
          <w:spacing w:val="-1"/>
          <w:sz w:val="24"/>
          <w:szCs w:val="24"/>
        </w:rPr>
        <w:t>施工组织</w:t>
      </w:r>
      <w:r>
        <w:rPr>
          <w:rFonts w:ascii="FangSong_GB2312" w:hAnsi="FangSong_GB2312" w:eastAsia="FangSong_GB2312" w:cs="FangSong_GB2312"/>
          <w:spacing w:val="-1"/>
          <w:sz w:val="24"/>
          <w:szCs w:val="24"/>
        </w:rPr>
        <w:t>：施工作业较为简单，施工生产利用红线范围内现有场地灵活安排施工</w:t>
      </w:r>
      <w:r>
        <w:rPr>
          <w:rFonts w:ascii="FangSong_GB2312" w:hAnsi="FangSong_GB2312" w:eastAsia="FangSong_GB2312" w:cs="FangSong_GB2312"/>
          <w:sz w:val="24"/>
          <w:szCs w:val="24"/>
        </w:rPr>
        <w:t>作业，不再单独布设施工生产区；另外本项目附</w:t>
      </w:r>
      <w:r>
        <w:rPr>
          <w:rFonts w:ascii="FangSong_GB2312" w:hAnsi="FangSong_GB2312" w:eastAsia="FangSong_GB2312" w:cs="FangSong_GB2312"/>
          <w:spacing w:val="-1"/>
          <w:sz w:val="24"/>
          <w:szCs w:val="24"/>
        </w:rPr>
        <w:t>近居民分布比较密集，因此施工办公</w:t>
      </w:r>
      <w:r>
        <w:rPr>
          <w:rFonts w:ascii="FangSong_GB2312" w:hAnsi="FangSong_GB2312" w:eastAsia="FangSong_GB2312" w:cs="FangSong_GB2312"/>
          <w:sz w:val="24"/>
          <w:szCs w:val="24"/>
        </w:rPr>
        <w:t>室及住宿采用就近租房，不再单独布设施工生活</w:t>
      </w:r>
      <w:r>
        <w:rPr>
          <w:rFonts w:ascii="FangSong_GB2312" w:hAnsi="FangSong_GB2312" w:eastAsia="FangSong_GB2312" w:cs="FangSong_GB2312"/>
          <w:spacing w:val="-1"/>
          <w:sz w:val="24"/>
          <w:szCs w:val="24"/>
        </w:rPr>
        <w:t>区；项目剥离表土较少，表土剥离后</w:t>
      </w:r>
      <w:r>
        <w:rPr>
          <w:rFonts w:ascii="FangSong_GB2312" w:hAnsi="FangSong_GB2312" w:eastAsia="FangSong_GB2312" w:cs="FangSong_GB2312"/>
          <w:sz w:val="24"/>
          <w:szCs w:val="24"/>
        </w:rPr>
        <w:t>已及时回覆在绿化工程内并进行绿化，临时堆土</w:t>
      </w:r>
      <w:r>
        <w:rPr>
          <w:rFonts w:ascii="FangSong_GB2312" w:hAnsi="FangSong_GB2312" w:eastAsia="FangSong_GB2312" w:cs="FangSong_GB2312"/>
          <w:spacing w:val="-1"/>
          <w:sz w:val="24"/>
          <w:szCs w:val="24"/>
        </w:rPr>
        <w:t>占地为本项目红线内占地，不新增临时用地，未设置独立的临时堆土场；未设置取土场、弃渣场。</w:t>
      </w:r>
    </w:p>
    <w:p w14:paraId="72FE220E">
      <w:pPr>
        <w:spacing w:before="1" w:line="214" w:lineRule="auto"/>
        <w:ind w:left="492"/>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拆迁（移民）数量及安置方式</w:t>
      </w:r>
      <w:r>
        <w:rPr>
          <w:rFonts w:ascii="FangSong_GB2312" w:hAnsi="FangSong_GB2312" w:eastAsia="FangSong_GB2312" w:cs="FangSong_GB2312"/>
          <w:spacing w:val="-2"/>
          <w:sz w:val="24"/>
          <w:szCs w:val="24"/>
        </w:rPr>
        <w:t>：不涉及拆迁及安置工程。</w:t>
      </w:r>
    </w:p>
    <w:p w14:paraId="26CEAE0F">
      <w:pPr>
        <w:spacing w:before="187" w:line="214" w:lineRule="auto"/>
        <w:ind w:left="497"/>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专项设施改（迁）建</w:t>
      </w:r>
      <w:r>
        <w:rPr>
          <w:rFonts w:ascii="FangSong_GB2312" w:hAnsi="FangSong_GB2312" w:eastAsia="FangSong_GB2312" w:cs="FangSong_GB2312"/>
          <w:spacing w:val="-2"/>
          <w:sz w:val="24"/>
          <w:szCs w:val="24"/>
        </w:rPr>
        <w:t>：不涉及专项设施改（迁）建工程。</w:t>
      </w:r>
    </w:p>
    <w:p w14:paraId="2CA35D25">
      <w:pPr>
        <w:spacing w:before="190" w:line="359" w:lineRule="auto"/>
        <w:ind w:left="25" w:right="10" w:firstLine="471"/>
        <w:rPr>
          <w:rFonts w:ascii="FangSong_GB2312" w:hAnsi="FangSong_GB2312" w:eastAsia="FangSong_GB2312" w:cs="FangSong_GB2312"/>
          <w:sz w:val="24"/>
          <w:szCs w:val="24"/>
        </w:rPr>
      </w:pPr>
      <w:r>
        <w:rPr>
          <w:rFonts w:ascii="FangSong_GB2312" w:hAnsi="FangSong_GB2312" w:eastAsia="FangSong_GB2312" w:cs="FangSong_GB2312"/>
          <w:b/>
          <w:bCs/>
          <w:spacing w:val="-6"/>
          <w:sz w:val="24"/>
          <w:szCs w:val="24"/>
        </w:rPr>
        <w:t>开工与完工时间</w:t>
      </w:r>
      <w:r>
        <w:rPr>
          <w:rFonts w:ascii="FangSong_GB2312" w:hAnsi="FangSong_GB2312" w:eastAsia="FangSong_GB2312" w:cs="FangSong_GB2312"/>
          <w:spacing w:val="-6"/>
          <w:sz w:val="24"/>
          <w:szCs w:val="24"/>
        </w:rPr>
        <w:t>：据业主介绍，本项目已于</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6"/>
          <w:sz w:val="24"/>
          <w:szCs w:val="24"/>
        </w:rPr>
        <w:t xml:space="preserve">2022 </w:t>
      </w:r>
      <w:r>
        <w:rPr>
          <w:rFonts w:ascii="FangSong_GB2312" w:hAnsi="FangSong_GB2312" w:eastAsia="FangSong_GB2312" w:cs="FangSong_GB2312"/>
          <w:spacing w:val="-6"/>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6"/>
          <w:sz w:val="24"/>
          <w:szCs w:val="24"/>
        </w:rPr>
        <w:t>月开工，</w:t>
      </w:r>
      <w:r>
        <w:rPr>
          <w:rFonts w:ascii="Times New Roman" w:hAnsi="Times New Roman" w:eastAsia="Times New Roman" w:cs="Times New Roman"/>
          <w:spacing w:val="-6"/>
          <w:sz w:val="24"/>
          <w:szCs w:val="24"/>
        </w:rPr>
        <w:t xml:space="preserve">2023 </w:t>
      </w:r>
      <w:r>
        <w:rPr>
          <w:rFonts w:ascii="FangSong_GB2312" w:hAnsi="FangSong_GB2312" w:eastAsia="FangSong_GB2312" w:cs="FangSong_GB2312"/>
          <w:spacing w:val="-6"/>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6"/>
          <w:sz w:val="24"/>
          <w:szCs w:val="24"/>
        </w:rPr>
        <w:t>月完工，</w:t>
      </w:r>
      <w:r>
        <w:rPr>
          <w:rFonts w:ascii="FangSong_GB2312" w:hAnsi="FangSong_GB2312" w:eastAsia="FangSong_GB2312" w:cs="FangSong_GB2312"/>
          <w:spacing w:val="3"/>
          <w:sz w:val="24"/>
          <w:szCs w:val="24"/>
        </w:rPr>
        <w:t>总工期为</w:t>
      </w:r>
      <w:r>
        <w:rPr>
          <w:rFonts w:ascii="Times New Roman" w:hAnsi="Times New Roman" w:eastAsia="Times New Roman" w:cs="Times New Roman"/>
          <w:spacing w:val="3"/>
          <w:sz w:val="24"/>
          <w:szCs w:val="24"/>
        </w:rPr>
        <w:t xml:space="preserve">7 </w:t>
      </w:r>
      <w:r>
        <w:rPr>
          <w:rFonts w:ascii="FangSong_GB2312" w:hAnsi="FangSong_GB2312" w:eastAsia="FangSong_GB2312" w:cs="FangSong_GB2312"/>
          <w:spacing w:val="3"/>
          <w:sz w:val="24"/>
          <w:szCs w:val="24"/>
        </w:rPr>
        <w:t>个月。</w:t>
      </w:r>
    </w:p>
    <w:p w14:paraId="2F417151">
      <w:pPr>
        <w:spacing w:before="2" w:line="357" w:lineRule="auto"/>
        <w:ind w:left="38" w:right="181" w:firstLine="466"/>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总投资与土建投资</w:t>
      </w:r>
      <w:r>
        <w:rPr>
          <w:rFonts w:ascii="FangSong_GB2312" w:hAnsi="FangSong_GB2312" w:eastAsia="FangSong_GB2312" w:cs="FangSong_GB2312"/>
          <w:spacing w:val="-2"/>
          <w:sz w:val="24"/>
          <w:szCs w:val="24"/>
        </w:rPr>
        <w:t>：总投资</w:t>
      </w:r>
      <w:r>
        <w:rPr>
          <w:rFonts w:ascii="FangSong_GB2312" w:hAnsi="FangSong_GB2312" w:eastAsia="FangSong_GB2312" w:cs="FangSong_GB2312"/>
          <w:spacing w:val="-57"/>
          <w:sz w:val="24"/>
          <w:szCs w:val="24"/>
        </w:rPr>
        <w:t xml:space="preserve"> </w:t>
      </w:r>
      <w:r>
        <w:rPr>
          <w:rFonts w:ascii="Times New Roman" w:hAnsi="Times New Roman" w:eastAsia="Times New Roman" w:cs="Times New Roman"/>
          <w:spacing w:val="-2"/>
          <w:sz w:val="24"/>
          <w:szCs w:val="24"/>
        </w:rPr>
        <w:t>480.70</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万元，土</w:t>
      </w:r>
      <w:r>
        <w:rPr>
          <w:rFonts w:ascii="FangSong_GB2312" w:hAnsi="FangSong_GB2312" w:eastAsia="FangSong_GB2312" w:cs="FangSong_GB2312"/>
          <w:spacing w:val="-3"/>
          <w:sz w:val="24"/>
          <w:szCs w:val="24"/>
        </w:rPr>
        <w:t>建投资为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382.18</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万元，资金来源为</w:t>
      </w:r>
      <w:r>
        <w:rPr>
          <w:rFonts w:ascii="FangSong_GB2312" w:hAnsi="FangSong_GB2312" w:eastAsia="FangSong_GB2312" w:cs="FangSong_GB2312"/>
          <w:spacing w:val="-4"/>
          <w:sz w:val="24"/>
          <w:szCs w:val="24"/>
        </w:rPr>
        <w:t>向上争取及县财政配套。</w:t>
      </w:r>
    </w:p>
    <w:p w14:paraId="63D64DF4">
      <w:pPr>
        <w:spacing w:before="3" w:line="359" w:lineRule="auto"/>
        <w:ind w:left="9" w:right="70" w:firstLine="486"/>
        <w:jc w:val="both"/>
        <w:rPr>
          <w:rFonts w:ascii="FangSong_GB2312" w:hAnsi="FangSong_GB2312" w:eastAsia="FangSong_GB2312" w:cs="FangSong_GB2312"/>
          <w:sz w:val="24"/>
          <w:szCs w:val="24"/>
        </w:rPr>
      </w:pPr>
      <w:r>
        <w:rPr>
          <w:rFonts w:ascii="FangSong_GB2312" w:hAnsi="FangSong_GB2312" w:eastAsia="FangSong_GB2312" w:cs="FangSong_GB2312"/>
          <w:b/>
          <w:bCs/>
          <w:spacing w:val="-1"/>
          <w:sz w:val="24"/>
          <w:szCs w:val="24"/>
        </w:rPr>
        <w:t>工程占地</w:t>
      </w:r>
      <w:r>
        <w:rPr>
          <w:rFonts w:ascii="FangSong_GB2312" w:hAnsi="FangSong_GB2312" w:eastAsia="FangSong_GB2312" w:cs="FangSong_GB2312"/>
          <w:spacing w:val="-1"/>
          <w:sz w:val="24"/>
          <w:szCs w:val="24"/>
        </w:rPr>
        <w:t>：根据中华人民共和国国有建设用地划拨决定书、剑阁县发展和改革局</w:t>
      </w:r>
      <w:r>
        <w:rPr>
          <w:rFonts w:ascii="FangSong_GB2312" w:hAnsi="FangSong_GB2312" w:eastAsia="FangSong_GB2312" w:cs="FangSong_GB2312"/>
          <w:spacing w:val="6"/>
          <w:sz w:val="24"/>
          <w:szCs w:val="24"/>
        </w:rPr>
        <w:t>关于调整剑阁县义兴镇干部职工周转房建设项目规划用地的批复、施工图及现场踏</w:t>
      </w:r>
      <w:r>
        <w:rPr>
          <w:rFonts w:ascii="FangSong_GB2312" w:hAnsi="FangSong_GB2312" w:eastAsia="FangSong_GB2312" w:cs="FangSong_GB2312"/>
          <w:spacing w:val="-2"/>
          <w:sz w:val="24"/>
          <w:szCs w:val="24"/>
        </w:rPr>
        <w:t>勘，本项目总占地面积为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8"/>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8"/>
          <w:sz w:val="15"/>
          <w:szCs w:val="15"/>
        </w:rPr>
        <w:t>2</w:t>
      </w:r>
      <w:r>
        <w:rPr>
          <w:rFonts w:ascii="FangSong_GB2312" w:hAnsi="FangSong_GB2312" w:eastAsia="FangSong_GB2312" w:cs="FangSong_GB2312"/>
          <w:spacing w:val="-16"/>
          <w:sz w:val="24"/>
          <w:szCs w:val="24"/>
        </w:rPr>
        <w:t>），</w:t>
      </w:r>
      <w:r>
        <w:rPr>
          <w:rFonts w:ascii="FangSong_GB2312" w:hAnsi="FangSong_GB2312" w:eastAsia="FangSong_GB2312" w:cs="FangSong_GB2312"/>
          <w:spacing w:val="-2"/>
          <w:sz w:val="24"/>
          <w:szCs w:val="24"/>
        </w:rPr>
        <w:t>均为永久占地。其中</w:t>
      </w:r>
      <w:r>
        <w:rPr>
          <w:rFonts w:ascii="FangSong_GB2312" w:hAnsi="FangSong_GB2312" w:eastAsia="FangSong_GB2312" w:cs="FangSong_GB2312"/>
          <w:spacing w:val="-3"/>
          <w:sz w:val="24"/>
          <w:szCs w:val="24"/>
        </w:rPr>
        <w:t>建构筑物工程区</w:t>
      </w:r>
      <w:r>
        <w:rPr>
          <w:rFonts w:ascii="Times New Roman" w:hAnsi="Times New Roman" w:eastAsia="Times New Roman" w:cs="Times New Roman"/>
          <w:spacing w:val="-3"/>
          <w:sz w:val="24"/>
          <w:szCs w:val="24"/>
        </w:rPr>
        <w:t>0.03hm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，硬化工程区</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，绿化工程区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，占地类型为林地、其他土地。</w:t>
      </w:r>
    </w:p>
    <w:p w14:paraId="3BE3FF88">
      <w:pPr>
        <w:spacing w:before="1" w:line="359" w:lineRule="auto"/>
        <w:ind w:left="17" w:right="70" w:firstLine="475"/>
        <w:rPr>
          <w:rFonts w:ascii="FangSong_GB2312" w:hAnsi="FangSong_GB2312" w:eastAsia="FangSong_GB2312" w:cs="FangSong_GB2312"/>
          <w:sz w:val="24"/>
          <w:szCs w:val="24"/>
        </w:rPr>
      </w:pPr>
      <w:r>
        <w:rPr>
          <w:rFonts w:ascii="FangSong_GB2312" w:hAnsi="FangSong_GB2312" w:eastAsia="FangSong_GB2312" w:cs="FangSong_GB2312"/>
          <w:b/>
          <w:bCs/>
          <w:spacing w:val="-3"/>
          <w:sz w:val="24"/>
          <w:szCs w:val="24"/>
        </w:rPr>
        <w:t>土石方量</w:t>
      </w:r>
      <w:r>
        <w:rPr>
          <w:rFonts w:ascii="FangSong_GB2312" w:hAnsi="FangSong_GB2312" w:eastAsia="FangSong_GB2312" w:cs="FangSong_GB2312"/>
          <w:spacing w:val="-3"/>
          <w:sz w:val="24"/>
          <w:szCs w:val="24"/>
        </w:rPr>
        <w:t>：本项目挖方总量为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0.09</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FangSong_GB2312" w:hAnsi="FangSong_GB2312" w:eastAsia="FangSong_GB2312" w:cs="FangSong_GB2312"/>
          <w:spacing w:val="-3"/>
          <w:sz w:val="24"/>
          <w:szCs w:val="24"/>
        </w:rPr>
        <w:t>（其中表土剥离</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FangSong_GB2312" w:hAnsi="FangSong_GB2312" w:eastAsia="FangSong_GB2312" w:cs="FangSong_GB2312"/>
          <w:spacing w:val="-9"/>
          <w:sz w:val="24"/>
          <w:szCs w:val="24"/>
        </w:rPr>
        <w:t>），</w:t>
      </w:r>
      <w:r>
        <w:rPr>
          <w:rFonts w:ascii="FangSong_GB2312" w:hAnsi="FangSong_GB2312" w:eastAsia="FangSong_GB2312" w:cs="FangSong_GB2312"/>
          <w:spacing w:val="-4"/>
          <w:sz w:val="24"/>
          <w:szCs w:val="24"/>
        </w:rPr>
        <w:t>填方总量</w:t>
      </w:r>
      <w:r>
        <w:rPr>
          <w:rFonts w:ascii="FangSong_GB2312" w:hAnsi="FangSong_GB2312" w:eastAsia="FangSong_GB2312" w:cs="FangSong_GB2312"/>
          <w:spacing w:val="-3"/>
          <w:sz w:val="24"/>
          <w:szCs w:val="24"/>
        </w:rPr>
        <w:t>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0.09</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3"/>
          <w:sz w:val="24"/>
          <w:szCs w:val="24"/>
        </w:rPr>
        <w:t>（其中表土回覆</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9"/>
          <w:sz w:val="24"/>
          <w:szCs w:val="24"/>
        </w:rPr>
        <w:t>），</w:t>
      </w:r>
      <w:r>
        <w:rPr>
          <w:rFonts w:ascii="FangSong_GB2312" w:hAnsi="FangSong_GB2312" w:eastAsia="FangSong_GB2312" w:cs="FangSong_GB2312"/>
          <w:spacing w:val="-4"/>
          <w:sz w:val="24"/>
          <w:szCs w:val="24"/>
        </w:rPr>
        <w:t>无借方，无余方。</w:t>
      </w:r>
    </w:p>
    <w:p w14:paraId="082DC512">
      <w:pPr>
        <w:spacing w:before="1" w:line="213" w:lineRule="auto"/>
        <w:ind w:left="492"/>
        <w:rPr>
          <w:rFonts w:ascii="FangSong_GB2312" w:hAnsi="FangSong_GB2312" w:eastAsia="FangSong_GB2312" w:cs="FangSong_GB2312"/>
          <w:sz w:val="24"/>
          <w:szCs w:val="24"/>
        </w:rPr>
      </w:pPr>
      <w:r>
        <w:rPr>
          <w:rFonts w:ascii="FangSong_GB2312" w:hAnsi="FangSong_GB2312" w:eastAsia="FangSong_GB2312" w:cs="FangSong_GB2312"/>
          <w:b/>
          <w:bCs/>
          <w:spacing w:val="-2"/>
          <w:sz w:val="24"/>
          <w:szCs w:val="24"/>
        </w:rPr>
        <w:t>取土场和弃渣场数量</w:t>
      </w:r>
      <w:r>
        <w:rPr>
          <w:rFonts w:ascii="FangSong_GB2312" w:hAnsi="FangSong_GB2312" w:eastAsia="FangSong_GB2312" w:cs="FangSong_GB2312"/>
          <w:spacing w:val="-2"/>
          <w:sz w:val="24"/>
          <w:szCs w:val="24"/>
        </w:rPr>
        <w:t>：未设置取土场、弃渣场。</w:t>
      </w:r>
    </w:p>
    <w:p w14:paraId="451EAA2A">
      <w:pPr>
        <w:spacing w:before="189" w:line="214" w:lineRule="auto"/>
        <w:ind w:left="500"/>
        <w:rPr>
          <w:rFonts w:ascii="FangSong_GB2312" w:hAnsi="FangSong_GB2312" w:eastAsia="FangSong_GB2312" w:cs="FangSong_GB2312"/>
          <w:sz w:val="24"/>
          <w:szCs w:val="24"/>
        </w:rPr>
      </w:pPr>
      <w:r>
        <w:rPr>
          <w:rFonts w:ascii="FangSong_GB2312" w:hAnsi="FangSong_GB2312" w:eastAsia="FangSong_GB2312" w:cs="FangSong_GB2312"/>
          <w:b/>
          <w:bCs/>
          <w:spacing w:val="-4"/>
          <w:sz w:val="24"/>
          <w:szCs w:val="24"/>
        </w:rPr>
        <w:t>主体工程竣工验收情况</w:t>
      </w:r>
      <w:r>
        <w:rPr>
          <w:rFonts w:ascii="FangSong_GB2312" w:hAnsi="FangSong_GB2312" w:eastAsia="FangSong_GB2312" w:cs="FangSong_GB2312"/>
          <w:spacing w:val="-4"/>
          <w:sz w:val="24"/>
          <w:szCs w:val="24"/>
        </w:rPr>
        <w:t>：</w:t>
      </w:r>
    </w:p>
    <w:p w14:paraId="6A3143B8">
      <w:pPr>
        <w:spacing w:before="191" w:line="359" w:lineRule="auto"/>
        <w:ind w:left="6" w:firstLine="47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 xml:space="preserve">2023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月，验收组秉承严谨细致的工作态度，通过现场踏勘、抽样</w:t>
      </w:r>
      <w:r>
        <w:rPr>
          <w:rFonts w:ascii="FangSong_GB2312" w:hAnsi="FangSong_GB2312" w:eastAsia="FangSong_GB2312" w:cs="FangSong_GB2312"/>
          <w:spacing w:val="-4"/>
          <w:sz w:val="24"/>
          <w:szCs w:val="24"/>
        </w:rPr>
        <w:t>检测、外观</w:t>
      </w:r>
      <w:r>
        <w:rPr>
          <w:rFonts w:ascii="FangSong_GB2312" w:hAnsi="FangSong_GB2312" w:eastAsia="FangSong_GB2312" w:cs="FangSong_GB2312"/>
          <w:sz w:val="24"/>
          <w:szCs w:val="24"/>
        </w:rPr>
        <w:t>检查等多种方式，对项目主体工程的实体质量进行了全面而深</w:t>
      </w:r>
      <w:r>
        <w:rPr>
          <w:rFonts w:ascii="FangSong_GB2312" w:hAnsi="FangSong_GB2312" w:eastAsia="FangSong_GB2312" w:cs="FangSong_GB2312"/>
          <w:spacing w:val="-1"/>
          <w:sz w:val="24"/>
          <w:szCs w:val="24"/>
        </w:rPr>
        <w:t>入的核查。同时，对施</w:t>
      </w:r>
      <w:r>
        <w:rPr>
          <w:rFonts w:ascii="FangSong_GB2312" w:hAnsi="FangSong_GB2312" w:eastAsia="FangSong_GB2312" w:cs="FangSong_GB2312"/>
          <w:spacing w:val="-5"/>
          <w:sz w:val="24"/>
          <w:szCs w:val="24"/>
        </w:rPr>
        <w:t>工单位、监理单位等提交的技术资料进行了详尽的审查。在综合分析项目的基本概况、</w:t>
      </w:r>
      <w:r>
        <w:rPr>
          <w:rFonts w:ascii="FangSong_GB2312" w:hAnsi="FangSong_GB2312" w:eastAsia="FangSong_GB2312" w:cs="FangSong_GB2312"/>
          <w:sz w:val="24"/>
          <w:szCs w:val="24"/>
        </w:rPr>
        <w:t>验收的组织情况与依据以及主体工程验收的核心状况的基础上</w:t>
      </w:r>
      <w:r>
        <w:rPr>
          <w:rFonts w:ascii="FangSong_GB2312" w:hAnsi="FangSong_GB2312" w:eastAsia="FangSong_GB2312" w:cs="FangSong_GB2312"/>
          <w:spacing w:val="-1"/>
          <w:sz w:val="24"/>
          <w:szCs w:val="24"/>
        </w:rPr>
        <w:t>，验收组开展了全面的</w:t>
      </w:r>
      <w:r>
        <w:rPr>
          <w:rFonts w:ascii="FangSong_GB2312" w:hAnsi="FangSong_GB2312" w:eastAsia="FangSong_GB2312" w:cs="FangSong_GB2312"/>
          <w:sz w:val="24"/>
          <w:szCs w:val="24"/>
        </w:rPr>
        <w:t>分析评估工作。评估结果显示，主体工程已严格按照设计文件</w:t>
      </w:r>
      <w:r>
        <w:rPr>
          <w:rFonts w:ascii="FangSong_GB2312" w:hAnsi="FangSong_GB2312" w:eastAsia="FangSong_GB2312" w:cs="FangSong_GB2312"/>
          <w:spacing w:val="-1"/>
          <w:sz w:val="24"/>
          <w:szCs w:val="24"/>
        </w:rPr>
        <w:t>及合同要求，圆满完成</w:t>
      </w:r>
      <w:r>
        <w:rPr>
          <w:rFonts w:ascii="FangSong_GB2312" w:hAnsi="FangSong_GB2312" w:eastAsia="FangSong_GB2312" w:cs="FangSong_GB2312"/>
          <w:sz w:val="24"/>
          <w:szCs w:val="24"/>
        </w:rPr>
        <w:t>了全部建设任务；工程实体质量完全符合国家相关标准规范；技术</w:t>
      </w:r>
      <w:r>
        <w:rPr>
          <w:rFonts w:ascii="FangSong_GB2312" w:hAnsi="FangSong_GB2312" w:eastAsia="FangSong_GB2312" w:cs="FangSong_GB2312"/>
          <w:spacing w:val="-1"/>
          <w:sz w:val="24"/>
          <w:szCs w:val="24"/>
        </w:rPr>
        <w:t>资料齐全且规范；</w:t>
      </w:r>
      <w:r>
        <w:rPr>
          <w:rFonts w:ascii="FangSong_GB2312" w:hAnsi="FangSong_GB2312" w:eastAsia="FangSong_GB2312" w:cs="FangSong_GB2312"/>
          <w:sz w:val="24"/>
          <w:szCs w:val="24"/>
        </w:rPr>
        <w:t>主要使用功能经过严格试验，能够满足预期需求，不存在任何</w:t>
      </w:r>
      <w:r>
        <w:rPr>
          <w:rFonts w:ascii="FangSong_GB2312" w:hAnsi="FangSong_GB2312" w:eastAsia="FangSong_GB2312" w:cs="FangSong_GB2312"/>
          <w:spacing w:val="-1"/>
          <w:sz w:val="24"/>
          <w:szCs w:val="24"/>
        </w:rPr>
        <w:t>遗留质量问题。根据国</w:t>
      </w:r>
      <w:r>
        <w:rPr>
          <w:rFonts w:ascii="FangSong_GB2312" w:hAnsi="FangSong_GB2312" w:eastAsia="FangSong_GB2312" w:cs="FangSong_GB2312"/>
          <w:sz w:val="24"/>
          <w:szCs w:val="24"/>
        </w:rPr>
        <w:t>家关于竣工验收的相关规定，本项目主体工程顺利通过竣工验</w:t>
      </w:r>
      <w:r>
        <w:rPr>
          <w:rFonts w:ascii="FangSong_GB2312" w:hAnsi="FangSong_GB2312" w:eastAsia="FangSong_GB2312" w:cs="FangSong_GB2312"/>
          <w:spacing w:val="-1"/>
          <w:sz w:val="24"/>
          <w:szCs w:val="24"/>
        </w:rPr>
        <w:t>收，验收组一致同意交</w:t>
      </w:r>
      <w:r>
        <w:rPr>
          <w:rFonts w:ascii="FangSong_GB2312" w:hAnsi="FangSong_GB2312" w:eastAsia="FangSong_GB2312" w:cs="FangSong_GB2312"/>
          <w:spacing w:val="-2"/>
          <w:sz w:val="24"/>
          <w:szCs w:val="24"/>
        </w:rPr>
        <w:t>付使用。</w:t>
      </w:r>
    </w:p>
    <w:p w14:paraId="166A257D">
      <w:pPr>
        <w:spacing w:before="5"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3"/>
          <w:sz w:val="28"/>
          <w:szCs w:val="28"/>
        </w:rPr>
        <w:t xml:space="preserve">1.1.2 </w:t>
      </w:r>
      <w:r>
        <w:rPr>
          <w:rFonts w:ascii="FangSong_GB2312" w:hAnsi="FangSong_GB2312" w:eastAsia="FangSong_GB2312" w:cs="FangSong_GB2312"/>
          <w:b/>
          <w:bCs/>
          <w:spacing w:val="-3"/>
          <w:sz w:val="28"/>
          <w:szCs w:val="28"/>
        </w:rPr>
        <w:t>项目前期工作进展情况</w:t>
      </w:r>
    </w:p>
    <w:p w14:paraId="0BA50D0B">
      <w:pPr>
        <w:pStyle w:val="2"/>
        <w:spacing w:line="255" w:lineRule="auto"/>
      </w:pPr>
    </w:p>
    <w:p w14:paraId="7A99548B">
      <w:pPr>
        <w:pStyle w:val="2"/>
        <w:spacing w:line="256" w:lineRule="auto"/>
      </w:pPr>
    </w:p>
    <w:p w14:paraId="42FD2BF9">
      <w:pPr>
        <w:pStyle w:val="2"/>
        <w:spacing w:line="256" w:lineRule="auto"/>
      </w:pPr>
    </w:p>
    <w:p w14:paraId="724A6902">
      <w:pPr>
        <w:spacing w:before="65" w:line="229" w:lineRule="auto"/>
        <w:ind w:left="5384"/>
        <w:rPr>
          <w:rFonts w:ascii="FangSong_GB2312" w:hAnsi="FangSong_GB2312" w:eastAsia="FangSong_GB2312" w:cs="FangSong_GB2312"/>
          <w:sz w:val="20"/>
          <w:szCs w:val="20"/>
        </w:rPr>
      </w:pPr>
      <w:r>
        <w:pict>
          <v:shape id="_x0000_s1029" o:spid="_x0000_s1029" o:spt="202" type="#_x0000_t202" style="position:absolute;left:0pt;margin-left:219.1pt;margin-top:3pt;height:10.15pt;width:6.15pt;z-index:251676672;mso-width-relative:page;mso-height-relative:page;" filled="f" stroked="f" coordsize="21600,21600">
            <v:path/>
            <v:fill on="f" focussize="0,0"/>
            <v:stroke on="f"/>
            <v:imagedata o:title=""/>
            <o:lock v:ext="edit" aspectratio="f"/>
            <v:textbox inset="0mm,0mm,0mm,0mm">
              <w:txbxContent>
                <w:p w14:paraId="12AB4B7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xbxContent>
            </v:textbox>
          </v:shape>
        </w:pict>
      </w:r>
      <w:r>
        <w:rPr>
          <w:rFonts w:ascii="FangSong_GB2312" w:hAnsi="FangSong_GB2312" w:eastAsia="FangSong_GB2312" w:cs="FangSong_GB2312"/>
          <w:spacing w:val="8"/>
          <w:sz w:val="20"/>
          <w:szCs w:val="20"/>
        </w:rPr>
        <w:t>剑阁县绿森林业勘察设计有限公司</w:t>
      </w:r>
    </w:p>
    <w:p w14:paraId="3799E943">
      <w:pPr>
        <w:spacing w:line="229" w:lineRule="auto"/>
        <w:rPr>
          <w:rFonts w:ascii="FangSong_GB2312" w:hAnsi="FangSong_GB2312" w:eastAsia="FangSong_GB2312" w:cs="FangSong_GB2312"/>
          <w:sz w:val="20"/>
          <w:szCs w:val="20"/>
        </w:rPr>
        <w:sectPr>
          <w:headerReference r:id="rId21" w:type="default"/>
          <w:pgSz w:w="11906" w:h="16839"/>
          <w:pgMar w:top="1164" w:right="1443" w:bottom="400" w:left="1513" w:header="831" w:footer="0" w:gutter="0"/>
          <w:cols w:space="720" w:num="1"/>
        </w:sectPr>
      </w:pPr>
    </w:p>
    <w:p w14:paraId="019E4BB9">
      <w:pPr>
        <w:spacing w:before="196" w:line="359" w:lineRule="auto"/>
        <w:ind w:left="4" w:firstLine="481"/>
        <w:rPr>
          <w:rFonts w:ascii="FangSong_GB2312" w:hAnsi="FangSong_GB2312" w:eastAsia="FangSong_GB2312" w:cs="FangSong_GB2312"/>
          <w:sz w:val="24"/>
          <w:szCs w:val="24"/>
        </w:rPr>
      </w:pPr>
      <w:bookmarkStart w:id="11" w:name="bookmark96"/>
      <w:bookmarkEnd w:id="11"/>
      <w:r>
        <w:rPr>
          <w:rFonts w:ascii="Times New Roman" w:hAnsi="Times New Roman" w:eastAsia="Times New Roman" w:cs="Times New Roman"/>
          <w:spacing w:val="-3"/>
          <w:sz w:val="24"/>
          <w:szCs w:val="24"/>
        </w:rPr>
        <w:t xml:space="preserve">2022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月，本项目取得剑阁县发展和改革局文件《剑阁县发展和改</w:t>
      </w:r>
      <w:r>
        <w:rPr>
          <w:rFonts w:ascii="FangSong_GB2312" w:hAnsi="FangSong_GB2312" w:eastAsia="FangSong_GB2312" w:cs="FangSong_GB2312"/>
          <w:spacing w:val="-4"/>
          <w:sz w:val="24"/>
          <w:szCs w:val="24"/>
        </w:rPr>
        <w:t>革局关于审</w:t>
      </w:r>
      <w:r>
        <w:rPr>
          <w:rFonts w:ascii="FangSong_GB2312" w:hAnsi="FangSong_GB2312" w:eastAsia="FangSong_GB2312" w:cs="FangSong_GB2312"/>
          <w:spacing w:val="-3"/>
          <w:sz w:val="24"/>
          <w:szCs w:val="24"/>
        </w:rPr>
        <w:t>批剑阁县义兴镇干部职工周转房建设项目可行性研究报告的</w:t>
      </w:r>
      <w:r>
        <w:rPr>
          <w:rFonts w:ascii="FangSong_GB2312" w:hAnsi="FangSong_GB2312" w:eastAsia="FangSong_GB2312" w:cs="FangSong_GB2312"/>
          <w:spacing w:val="-4"/>
          <w:sz w:val="24"/>
          <w:szCs w:val="24"/>
        </w:rPr>
        <w:t>批复》（剑发改发〔</w:t>
      </w:r>
      <w:r>
        <w:rPr>
          <w:rFonts w:ascii="Times New Roman" w:hAnsi="Times New Roman" w:eastAsia="Times New Roman" w:cs="Times New Roman"/>
          <w:spacing w:val="-4"/>
          <w:sz w:val="24"/>
          <w:szCs w:val="24"/>
        </w:rPr>
        <w:t>2022</w:t>
      </w:r>
      <w:r>
        <w:rPr>
          <w:rFonts w:ascii="FangSong_GB2312" w:hAnsi="FangSong_GB2312" w:eastAsia="FangSong_GB2312" w:cs="FangSong_GB2312"/>
          <w:spacing w:val="-4"/>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1"/>
          <w:sz w:val="24"/>
          <w:szCs w:val="24"/>
        </w:rPr>
        <w:t>14</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1"/>
          <w:sz w:val="24"/>
          <w:szCs w:val="24"/>
        </w:rPr>
        <w:t>号）。批复建设内容及规模为：项目规划用地面积</w:t>
      </w:r>
      <w:r>
        <w:rPr>
          <w:rFonts w:ascii="Times New Roman" w:hAnsi="Times New Roman" w:eastAsia="Times New Roman" w:cs="Times New Roman"/>
          <w:spacing w:val="1"/>
          <w:sz w:val="24"/>
          <w:szCs w:val="24"/>
        </w:rPr>
        <w:t xml:space="preserve">392 </w:t>
      </w:r>
      <w:r>
        <w:rPr>
          <w:rFonts w:ascii="FangSong_GB2312" w:hAnsi="FangSong_GB2312" w:eastAsia="FangSong_GB2312" w:cs="FangSong_GB2312"/>
          <w:spacing w:val="1"/>
          <w:sz w:val="24"/>
          <w:szCs w:val="24"/>
        </w:rPr>
        <w:t>平方米，新建干</w:t>
      </w:r>
      <w:r>
        <w:rPr>
          <w:rFonts w:ascii="FangSong_GB2312" w:hAnsi="FangSong_GB2312" w:eastAsia="FangSong_GB2312" w:cs="FangSong_GB2312"/>
          <w:sz w:val="24"/>
          <w:szCs w:val="24"/>
        </w:rPr>
        <w:t xml:space="preserve">部周转房  </w:t>
      </w:r>
      <w:r>
        <w:rPr>
          <w:rFonts w:ascii="Times New Roman" w:hAnsi="Times New Roman" w:eastAsia="Times New Roman" w:cs="Times New Roman"/>
          <w:spacing w:val="-6"/>
          <w:sz w:val="24"/>
          <w:szCs w:val="24"/>
        </w:rPr>
        <w:t xml:space="preserve">38 </w:t>
      </w:r>
      <w:r>
        <w:rPr>
          <w:rFonts w:ascii="FangSong_GB2312" w:hAnsi="FangSong_GB2312" w:eastAsia="FangSong_GB2312" w:cs="FangSong_GB2312"/>
          <w:spacing w:val="-6"/>
          <w:sz w:val="24"/>
          <w:szCs w:val="24"/>
        </w:rPr>
        <w:t>套</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6"/>
          <w:sz w:val="24"/>
          <w:szCs w:val="24"/>
        </w:rPr>
        <w:t>1330</w:t>
      </w:r>
      <w:r>
        <w:rPr>
          <w:rFonts w:ascii="Times New Roman" w:hAnsi="Times New Roman" w:eastAsia="Times New Roman" w:cs="Times New Roman"/>
          <w:spacing w:val="14"/>
          <w:sz w:val="24"/>
          <w:szCs w:val="24"/>
        </w:rPr>
        <w:t xml:space="preserve"> </w:t>
      </w:r>
      <w:r>
        <w:rPr>
          <w:rFonts w:ascii="FangSong_GB2312" w:hAnsi="FangSong_GB2312" w:eastAsia="FangSong_GB2312" w:cs="FangSong_GB2312"/>
          <w:spacing w:val="-6"/>
          <w:sz w:val="24"/>
          <w:szCs w:val="24"/>
        </w:rPr>
        <w:t>平方米，保障</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6"/>
          <w:sz w:val="24"/>
          <w:szCs w:val="24"/>
        </w:rPr>
        <w:t xml:space="preserve">38 </w:t>
      </w:r>
      <w:r>
        <w:rPr>
          <w:rFonts w:ascii="FangSong_GB2312" w:hAnsi="FangSong_GB2312" w:eastAsia="FangSong_GB2312" w:cs="FangSong_GB2312"/>
          <w:spacing w:val="-6"/>
          <w:sz w:val="24"/>
          <w:szCs w:val="24"/>
        </w:rPr>
        <w:t>人，估算总投资</w:t>
      </w:r>
      <w:r>
        <w:rPr>
          <w:rFonts w:ascii="FangSong_GB2312" w:hAnsi="FangSong_GB2312" w:eastAsia="FangSong_GB2312" w:cs="FangSong_GB2312"/>
          <w:spacing w:val="-57"/>
          <w:sz w:val="24"/>
          <w:szCs w:val="24"/>
        </w:rPr>
        <w:t xml:space="preserve"> </w:t>
      </w:r>
      <w:r>
        <w:rPr>
          <w:rFonts w:ascii="Times New Roman" w:hAnsi="Times New Roman" w:eastAsia="Times New Roman" w:cs="Times New Roman"/>
          <w:spacing w:val="-6"/>
          <w:sz w:val="24"/>
          <w:szCs w:val="24"/>
        </w:rPr>
        <w:t>480.7</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6"/>
          <w:sz w:val="24"/>
          <w:szCs w:val="24"/>
        </w:rPr>
        <w:t>万元，其中：主体工</w:t>
      </w:r>
      <w:r>
        <w:rPr>
          <w:rFonts w:ascii="FangSong_GB2312" w:hAnsi="FangSong_GB2312" w:eastAsia="FangSong_GB2312" w:cs="FangSong_GB2312"/>
          <w:spacing w:val="-7"/>
          <w:sz w:val="24"/>
          <w:szCs w:val="24"/>
        </w:rPr>
        <w:t>程</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7"/>
          <w:sz w:val="24"/>
          <w:szCs w:val="24"/>
        </w:rPr>
        <w:t>446.27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7"/>
          <w:sz w:val="24"/>
          <w:szCs w:val="24"/>
        </w:rPr>
        <w:t>万元，</w:t>
      </w:r>
      <w:r>
        <w:rPr>
          <w:rFonts w:ascii="FangSong_GB2312" w:hAnsi="FangSong_GB2312" w:eastAsia="FangSong_GB2312" w:cs="FangSong_GB2312"/>
          <w:spacing w:val="-5"/>
          <w:sz w:val="24"/>
          <w:szCs w:val="24"/>
        </w:rPr>
        <w:t>居住设备购置</w:t>
      </w:r>
      <w:r>
        <w:rPr>
          <w:rFonts w:ascii="FangSong_GB2312" w:hAnsi="FangSong_GB2312" w:eastAsia="FangSong_GB2312" w:cs="FangSong_GB2312"/>
          <w:spacing w:val="-14"/>
          <w:sz w:val="24"/>
          <w:szCs w:val="24"/>
        </w:rPr>
        <w:t xml:space="preserve"> </w:t>
      </w:r>
      <w:r>
        <w:rPr>
          <w:rFonts w:ascii="Times New Roman" w:hAnsi="Times New Roman" w:eastAsia="Times New Roman" w:cs="Times New Roman"/>
          <w:spacing w:val="-5"/>
          <w:sz w:val="24"/>
          <w:szCs w:val="24"/>
        </w:rPr>
        <w:t>15.2</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5"/>
          <w:sz w:val="24"/>
          <w:szCs w:val="24"/>
        </w:rPr>
        <w:t>万元，二类费用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5"/>
          <w:sz w:val="24"/>
          <w:szCs w:val="24"/>
        </w:rPr>
        <w:t>19.23</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5"/>
          <w:sz w:val="24"/>
          <w:szCs w:val="24"/>
        </w:rPr>
        <w:t>万元。</w:t>
      </w:r>
    </w:p>
    <w:p w14:paraId="41EF58EA">
      <w:pPr>
        <w:spacing w:before="2"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 xml:space="preserve">2022 </w:t>
      </w:r>
      <w:r>
        <w:rPr>
          <w:rFonts w:ascii="FangSong_GB2312" w:hAnsi="FangSong_GB2312" w:eastAsia="FangSong_GB2312" w:cs="FangSong_GB2312"/>
          <w:spacing w:val="-1"/>
          <w:sz w:val="24"/>
          <w:szCs w:val="24"/>
        </w:rPr>
        <w:t>年</w:t>
      </w:r>
      <w:r>
        <w:rPr>
          <w:rFonts w:ascii="FangSong_GB2312" w:hAnsi="FangSong_GB2312" w:eastAsia="FangSong_GB2312" w:cs="FangSong_GB2312"/>
          <w:spacing w:val="-54"/>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1"/>
          <w:sz w:val="24"/>
          <w:szCs w:val="24"/>
        </w:rPr>
        <w:t>月，四川红艺筑工程设计有限公司完成本项目的施工图设计。</w:t>
      </w:r>
    </w:p>
    <w:p w14:paraId="6DC0E4C1">
      <w:pPr>
        <w:spacing w:before="187"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 xml:space="preserve">2022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月，本项目开工建设。</w:t>
      </w:r>
    </w:p>
    <w:p w14:paraId="463C3072">
      <w:pPr>
        <w:spacing w:before="189" w:line="359" w:lineRule="auto"/>
        <w:ind w:left="11" w:right="114" w:firstLine="473"/>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 xml:space="preserve">2022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月，项目取得《中华人民共和国国有建设用地划拨决定书》，电子监管</w:t>
      </w:r>
      <w:r>
        <w:rPr>
          <w:rFonts w:ascii="FangSong_GB2312" w:hAnsi="FangSong_GB2312" w:eastAsia="FangSong_GB2312" w:cs="FangSong_GB2312"/>
          <w:spacing w:val="-1"/>
          <w:sz w:val="24"/>
          <w:szCs w:val="24"/>
        </w:rPr>
        <w:t>号：</w:t>
      </w:r>
      <w:r>
        <w:rPr>
          <w:rFonts w:ascii="Times New Roman" w:hAnsi="Times New Roman" w:eastAsia="Times New Roman" w:cs="Times New Roman"/>
          <w:spacing w:val="-1"/>
          <w:sz w:val="24"/>
          <w:szCs w:val="24"/>
        </w:rPr>
        <w:t>5108232022A02659</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
          <w:sz w:val="24"/>
          <w:szCs w:val="24"/>
        </w:rPr>
        <w:t>，编号：</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
          <w:sz w:val="24"/>
          <w:szCs w:val="24"/>
        </w:rPr>
        <w:t>107012022009</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，剑阁县人民政府划拨本项目建设面积</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p>
    <w:p w14:paraId="2FBD6D76">
      <w:pPr>
        <w:spacing w:line="357" w:lineRule="auto"/>
        <w:ind w:left="9" w:right="114" w:firstLine="475"/>
        <w:jc w:val="both"/>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 xml:space="preserve">2022 </w:t>
      </w:r>
      <w:r>
        <w:rPr>
          <w:rFonts w:ascii="FangSong_GB2312" w:hAnsi="FangSong_GB2312" w:eastAsia="FangSong_GB2312" w:cs="FangSong_GB2312"/>
          <w:spacing w:val="-1"/>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1"/>
          <w:sz w:val="24"/>
          <w:szCs w:val="24"/>
        </w:rPr>
        <w:t>月，本项目取得《剑阁县发</w:t>
      </w:r>
      <w:r>
        <w:rPr>
          <w:rFonts w:ascii="FangSong_GB2312" w:hAnsi="FangSong_GB2312" w:eastAsia="FangSong_GB2312" w:cs="FangSong_GB2312"/>
          <w:spacing w:val="-2"/>
          <w:sz w:val="24"/>
          <w:szCs w:val="24"/>
        </w:rPr>
        <w:t>展和改革局文件剑阁县发展和改革局关于</w:t>
      </w:r>
      <w:r>
        <w:rPr>
          <w:rFonts w:ascii="FangSong_GB2312" w:hAnsi="FangSong_GB2312" w:eastAsia="FangSong_GB2312" w:cs="FangSong_GB2312"/>
          <w:spacing w:val="-3"/>
          <w:sz w:val="24"/>
          <w:szCs w:val="24"/>
        </w:rPr>
        <w:t>调整剑阁县义兴镇干部职工周转房建设项目规划用地的批复》（剑发改</w:t>
      </w:r>
      <w:r>
        <w:rPr>
          <w:rFonts w:ascii="FangSong_GB2312" w:hAnsi="FangSong_GB2312" w:eastAsia="FangSong_GB2312" w:cs="FangSong_GB2312"/>
          <w:spacing w:val="-4"/>
          <w:sz w:val="24"/>
          <w:szCs w:val="24"/>
        </w:rPr>
        <w:t>发〔</w:t>
      </w:r>
      <w:r>
        <w:rPr>
          <w:rFonts w:ascii="Times New Roman" w:hAnsi="Times New Roman" w:eastAsia="Times New Roman" w:cs="Times New Roman"/>
          <w:spacing w:val="-4"/>
          <w:sz w:val="24"/>
          <w:szCs w:val="24"/>
        </w:rPr>
        <w:t>2022</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306</w:t>
      </w:r>
      <w:r>
        <w:rPr>
          <w:rFonts w:ascii="FangSong_GB2312" w:hAnsi="FangSong_GB2312" w:eastAsia="FangSong_GB2312" w:cs="FangSong_GB2312"/>
          <w:sz w:val="24"/>
          <w:szCs w:val="24"/>
        </w:rPr>
        <w:t>号</w:t>
      </w:r>
      <w:r>
        <w:rPr>
          <w:rFonts w:ascii="FangSong_GB2312" w:hAnsi="FangSong_GB2312" w:eastAsia="FangSong_GB2312" w:cs="FangSong_GB2312"/>
          <w:spacing w:val="17"/>
          <w:sz w:val="24"/>
          <w:szCs w:val="24"/>
        </w:rPr>
        <w:t>），</w:t>
      </w:r>
      <w:r>
        <w:rPr>
          <w:rFonts w:ascii="FangSong_GB2312" w:hAnsi="FangSong_GB2312" w:eastAsia="FangSong_GB2312" w:cs="FangSong_GB2312"/>
          <w:sz w:val="24"/>
          <w:szCs w:val="24"/>
        </w:rPr>
        <w:t>同意将原批复</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剑发改发〔</w:t>
      </w:r>
      <w:r>
        <w:rPr>
          <w:rFonts w:ascii="Times New Roman" w:hAnsi="Times New Roman" w:eastAsia="Times New Roman" w:cs="Times New Roman"/>
          <w:sz w:val="24"/>
          <w:szCs w:val="24"/>
        </w:rPr>
        <w:t>2022</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14</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z w:val="24"/>
          <w:szCs w:val="24"/>
        </w:rPr>
        <w:t>号</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文件中项目规划用地面积</w:t>
      </w:r>
      <w:r>
        <w:rPr>
          <w:rFonts w:ascii="Times New Roman" w:hAnsi="Times New Roman" w:eastAsia="Times New Roman" w:cs="Times New Roman"/>
          <w:sz w:val="24"/>
          <w:szCs w:val="24"/>
        </w:rPr>
        <w:t>39</w:t>
      </w:r>
      <w:r>
        <w:rPr>
          <w:rFonts w:ascii="Times New Roman" w:hAnsi="Times New Roman" w:eastAsia="Times New Roman" w:cs="Times New Roman"/>
          <w:spacing w:val="-1"/>
          <w:sz w:val="24"/>
          <w:szCs w:val="24"/>
        </w:rPr>
        <w:t xml:space="preserve">2 </w:t>
      </w:r>
      <w:r>
        <w:rPr>
          <w:rFonts w:ascii="FangSong_GB2312" w:hAnsi="FangSong_GB2312" w:eastAsia="FangSong_GB2312" w:cs="FangSong_GB2312"/>
          <w:spacing w:val="-1"/>
          <w:sz w:val="24"/>
          <w:szCs w:val="24"/>
        </w:rPr>
        <w:t>平方米调</w:t>
      </w:r>
      <w:r>
        <w:rPr>
          <w:rFonts w:ascii="FangSong_GB2312" w:hAnsi="FangSong_GB2312" w:eastAsia="FangSong_GB2312" w:cs="FangSong_GB2312"/>
          <w:sz w:val="24"/>
          <w:szCs w:val="24"/>
        </w:rPr>
        <w:t>整为项目规划用地面积</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z w:val="24"/>
          <w:szCs w:val="24"/>
        </w:rPr>
        <w:t xml:space="preserve">493.23 </w:t>
      </w:r>
      <w:r>
        <w:rPr>
          <w:rFonts w:ascii="FangSong_GB2312" w:hAnsi="FangSong_GB2312" w:eastAsia="FangSong_GB2312" w:cs="FangSong_GB2312"/>
          <w:sz w:val="24"/>
          <w:szCs w:val="24"/>
        </w:rPr>
        <w:t>平方米</w:t>
      </w:r>
      <w:r>
        <w:rPr>
          <w:rFonts w:ascii="FangSong_GB2312" w:hAnsi="FangSong_GB2312" w:eastAsia="FangSong_GB2312" w:cs="FangSong_GB2312"/>
          <w:spacing w:val="-1"/>
          <w:sz w:val="24"/>
          <w:szCs w:val="24"/>
        </w:rPr>
        <w:t>，原批复文件中的其余内容不变。</w:t>
      </w:r>
    </w:p>
    <w:p w14:paraId="4B7CDBF1">
      <w:pPr>
        <w:spacing w:before="12"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 xml:space="preserve">2023 </w:t>
      </w:r>
      <w:r>
        <w:rPr>
          <w:rFonts w:ascii="FangSong_GB2312" w:hAnsi="FangSong_GB2312" w:eastAsia="FangSong_GB2312" w:cs="FangSong_GB2312"/>
          <w:spacing w:val="-4"/>
          <w:sz w:val="24"/>
          <w:szCs w:val="24"/>
        </w:rPr>
        <w:t>年</w:t>
      </w:r>
      <w:r>
        <w:rPr>
          <w:rFonts w:ascii="FangSong_GB2312" w:hAnsi="FangSong_GB2312" w:eastAsia="FangSong_GB2312" w:cs="FangSong_GB2312"/>
          <w:spacing w:val="-28"/>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4"/>
          <w:sz w:val="24"/>
          <w:szCs w:val="24"/>
        </w:rPr>
        <w:t>月，本项目竣工。</w:t>
      </w:r>
    </w:p>
    <w:p w14:paraId="359FDBA4">
      <w:pPr>
        <w:spacing w:before="188" w:line="359" w:lineRule="auto"/>
        <w:ind w:left="22" w:right="114" w:firstLine="469"/>
        <w:rPr>
          <w:rFonts w:ascii="FangSong_GB2312" w:hAnsi="FangSong_GB2312" w:eastAsia="FangSong_GB2312" w:cs="FangSong_GB2312"/>
          <w:sz w:val="24"/>
          <w:szCs w:val="24"/>
        </w:rPr>
      </w:pPr>
      <w:r>
        <w:rPr>
          <w:rFonts w:ascii="FangSong_GB2312" w:hAnsi="FangSong_GB2312" w:eastAsia="FangSong_GB2312" w:cs="FangSong_GB2312"/>
          <w:sz w:val="24"/>
          <w:szCs w:val="24"/>
        </w:rPr>
        <w:t>据现场踏勘，据现场踏勘，项目区绿植生长</w:t>
      </w:r>
      <w:r>
        <w:rPr>
          <w:rFonts w:ascii="FangSong_GB2312" w:hAnsi="FangSong_GB2312" w:eastAsia="FangSong_GB2312" w:cs="FangSong_GB2312"/>
          <w:spacing w:val="-1"/>
          <w:sz w:val="24"/>
          <w:szCs w:val="24"/>
        </w:rPr>
        <w:t>良好，周边排水通畅。项目区已实施</w:t>
      </w:r>
      <w:r>
        <w:rPr>
          <w:rFonts w:ascii="FangSong_GB2312" w:hAnsi="FangSong_GB2312" w:eastAsia="FangSong_GB2312" w:cs="FangSong_GB2312"/>
          <w:spacing w:val="-2"/>
          <w:sz w:val="24"/>
          <w:szCs w:val="24"/>
        </w:rPr>
        <w:t>的水土保持措施包括建构筑物工程：表土剥离</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4"/>
          <w:position w:val="8"/>
          <w:sz w:val="15"/>
          <w:szCs w:val="15"/>
        </w:rPr>
        <w:t xml:space="preserve"> </w:t>
      </w:r>
      <w:r>
        <w:rPr>
          <w:rFonts w:ascii="FangSong_GB2312" w:hAnsi="FangSong_GB2312" w:eastAsia="FangSong_GB2312" w:cs="FangSong_GB2312"/>
          <w:spacing w:val="-2"/>
          <w:sz w:val="24"/>
          <w:szCs w:val="24"/>
        </w:rPr>
        <w:t>；绿化工程：表土回</w:t>
      </w:r>
      <w:r>
        <w:rPr>
          <w:rFonts w:ascii="FangSong_GB2312" w:hAnsi="FangSong_GB2312" w:eastAsia="FangSong_GB2312" w:cs="FangSong_GB2312"/>
          <w:spacing w:val="-3"/>
          <w:sz w:val="24"/>
          <w:szCs w:val="24"/>
        </w:rPr>
        <w:t>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8"/>
          <w:position w:val="8"/>
          <w:sz w:val="15"/>
          <w:szCs w:val="15"/>
        </w:rPr>
        <w:t xml:space="preserve"> </w:t>
      </w:r>
      <w:r>
        <w:rPr>
          <w:rFonts w:ascii="FangSong_GB2312" w:hAnsi="FangSong_GB2312" w:eastAsia="FangSong_GB2312" w:cs="FangSong_GB2312"/>
          <w:spacing w:val="-3"/>
          <w:sz w:val="24"/>
          <w:szCs w:val="24"/>
        </w:rPr>
        <w:t>、盖板排水沟</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3"/>
          <w:sz w:val="24"/>
          <w:szCs w:val="24"/>
        </w:rPr>
        <w:t>80m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pacing w:val="-3"/>
          <w:sz w:val="24"/>
          <w:szCs w:val="24"/>
        </w:rPr>
        <w:t>、雨水井</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 xml:space="preserve">6 </w:t>
      </w:r>
      <w:r>
        <w:rPr>
          <w:rFonts w:ascii="FangSong_GB2312" w:hAnsi="FangSong_GB2312" w:eastAsia="FangSong_GB2312" w:cs="FangSong_GB2312"/>
          <w:spacing w:val="-3"/>
          <w:sz w:val="24"/>
          <w:szCs w:val="24"/>
        </w:rPr>
        <w:t>座、栽植灌</w:t>
      </w:r>
      <w:r>
        <w:rPr>
          <w:rFonts w:ascii="FangSong_GB2312" w:hAnsi="FangSong_GB2312" w:eastAsia="FangSong_GB2312" w:cs="FangSong_GB2312"/>
          <w:spacing w:val="-4"/>
          <w:sz w:val="24"/>
          <w:szCs w:val="24"/>
        </w:rPr>
        <w:t>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 xml:space="preserve">12 </w:t>
      </w:r>
      <w:r>
        <w:rPr>
          <w:rFonts w:ascii="FangSong_GB2312" w:hAnsi="FangSong_GB2312" w:eastAsia="FangSong_GB2312" w:cs="FangSong_GB2312"/>
          <w:spacing w:val="-4"/>
          <w:sz w:val="24"/>
          <w:szCs w:val="24"/>
        </w:rPr>
        <w:t>株、撒播草籽</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0.01hm</w:t>
      </w:r>
      <w:r>
        <w:rPr>
          <w:rFonts w:ascii="Times New Roman" w:hAnsi="Times New Roman" w:eastAsia="Times New Roman" w:cs="Times New Roman"/>
          <w:spacing w:val="-4"/>
          <w:position w:val="8"/>
          <w:sz w:val="15"/>
          <w:szCs w:val="15"/>
        </w:rPr>
        <w:t>2</w:t>
      </w:r>
      <w:r>
        <w:rPr>
          <w:rFonts w:ascii="FangSong_GB2312" w:hAnsi="FangSong_GB2312" w:eastAsia="FangSong_GB2312" w:cs="FangSong_GB2312"/>
          <w:spacing w:val="-4"/>
          <w:sz w:val="24"/>
          <w:szCs w:val="24"/>
        </w:rPr>
        <w:t>。</w:t>
      </w:r>
    </w:p>
    <w:p w14:paraId="3850A7FB">
      <w:pPr>
        <w:spacing w:line="359" w:lineRule="auto"/>
        <w:ind w:left="7" w:right="114" w:firstLine="489"/>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为了贯彻执行《中华人民共和国水土保持法》和工程建设项目的有关法律法规，做好本项目的水土保持工作，建设单位剑阁县义兴镇人民政府于</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1"/>
          <w:sz w:val="24"/>
          <w:szCs w:val="24"/>
        </w:rPr>
        <w:t xml:space="preserve">2025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2"/>
          <w:sz w:val="24"/>
          <w:szCs w:val="24"/>
        </w:rPr>
        <w:t>月委托我</w:t>
      </w:r>
      <w:r>
        <w:rPr>
          <w:rFonts w:ascii="FangSong_GB2312" w:hAnsi="FangSong_GB2312" w:eastAsia="FangSong_GB2312" w:cs="FangSong_GB2312"/>
          <w:sz w:val="24"/>
          <w:szCs w:val="24"/>
        </w:rPr>
        <w:t>公司（剑阁县绿森林业勘察设计有限公司）进行本项目的水</w:t>
      </w:r>
      <w:r>
        <w:rPr>
          <w:rFonts w:ascii="FangSong_GB2312" w:hAnsi="FangSong_GB2312" w:eastAsia="FangSong_GB2312" w:cs="FangSong_GB2312"/>
          <w:spacing w:val="-1"/>
          <w:sz w:val="24"/>
          <w:szCs w:val="24"/>
        </w:rPr>
        <w:t>土保持方案报告的编制工</w:t>
      </w:r>
      <w:r>
        <w:rPr>
          <w:rFonts w:ascii="FangSong_GB2312" w:hAnsi="FangSong_GB2312" w:eastAsia="FangSong_GB2312" w:cs="FangSong_GB2312"/>
          <w:sz w:val="24"/>
          <w:szCs w:val="24"/>
        </w:rPr>
        <w:t>作。接到委托任务后，我公司按照有关法律法规及相关规范</w:t>
      </w:r>
      <w:r>
        <w:rPr>
          <w:rFonts w:ascii="FangSong_GB2312" w:hAnsi="FangSong_GB2312" w:eastAsia="FangSong_GB2312" w:cs="FangSong_GB2312"/>
          <w:spacing w:val="-1"/>
          <w:sz w:val="24"/>
          <w:szCs w:val="24"/>
        </w:rPr>
        <w:t>要求开展了现场调查、资</w:t>
      </w:r>
      <w:r>
        <w:rPr>
          <w:rFonts w:ascii="FangSong_GB2312" w:hAnsi="FangSong_GB2312" w:eastAsia="FangSong_GB2312" w:cs="FangSong_GB2312"/>
          <w:spacing w:val="-2"/>
          <w:sz w:val="24"/>
          <w:szCs w:val="24"/>
        </w:rPr>
        <w:t>料收集及报告编制工作，于</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pacing w:val="-2"/>
          <w:sz w:val="24"/>
          <w:szCs w:val="24"/>
        </w:rPr>
        <w:t xml:space="preserve">2025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2"/>
          <w:sz w:val="24"/>
          <w:szCs w:val="24"/>
        </w:rPr>
        <w:t>月编制完成了《剑阁县义兴镇干部职工周转房</w:t>
      </w:r>
      <w:r>
        <w:rPr>
          <w:rFonts w:ascii="FangSong_GB2312" w:hAnsi="FangSong_GB2312" w:eastAsia="FangSong_GB2312" w:cs="FangSong_GB2312"/>
          <w:spacing w:val="-1"/>
          <w:sz w:val="24"/>
          <w:szCs w:val="24"/>
        </w:rPr>
        <w:t>建设项目水土保持方案报告表》。</w:t>
      </w:r>
    </w:p>
    <w:p w14:paraId="79B2FA8A">
      <w:pPr>
        <w:spacing w:before="8" w:line="214"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10"/>
          <w:sz w:val="28"/>
          <w:szCs w:val="28"/>
        </w:rPr>
        <w:t>1.1.3</w:t>
      </w:r>
      <w:r>
        <w:rPr>
          <w:rFonts w:ascii="Times New Roman" w:hAnsi="Times New Roman" w:eastAsia="Times New Roman" w:cs="Times New Roman"/>
          <w:b/>
          <w:bCs/>
          <w:spacing w:val="60"/>
          <w:w w:val="101"/>
          <w:sz w:val="28"/>
          <w:szCs w:val="28"/>
        </w:rPr>
        <w:t xml:space="preserve"> </w:t>
      </w:r>
      <w:r>
        <w:rPr>
          <w:rFonts w:ascii="FangSong_GB2312" w:hAnsi="FangSong_GB2312" w:eastAsia="FangSong_GB2312" w:cs="FangSong_GB2312"/>
          <w:b/>
          <w:bCs/>
          <w:spacing w:val="-10"/>
          <w:sz w:val="28"/>
          <w:szCs w:val="28"/>
        </w:rPr>
        <w:t>自然简况</w:t>
      </w:r>
    </w:p>
    <w:p w14:paraId="0E0982D2">
      <w:pPr>
        <w:pStyle w:val="2"/>
        <w:spacing w:line="252" w:lineRule="auto"/>
      </w:pPr>
    </w:p>
    <w:p w14:paraId="5BB3D72F">
      <w:pPr>
        <w:spacing w:before="79" w:line="355" w:lineRule="auto"/>
        <w:ind w:left="6" w:right="47" w:firstLine="485"/>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项目区扬子地台川西前陆盆地北西部位与龙</w:t>
      </w:r>
      <w:r>
        <w:rPr>
          <w:rFonts w:ascii="FangSong_GB2312" w:hAnsi="FangSong_GB2312" w:eastAsia="FangSong_GB2312" w:cs="FangSong_GB2312"/>
          <w:spacing w:val="-1"/>
          <w:sz w:val="24"/>
          <w:szCs w:val="24"/>
        </w:rPr>
        <w:t>门山前陆推覆构造带的过度地带。抗</w:t>
      </w:r>
      <w:r>
        <w:rPr>
          <w:rFonts w:ascii="FangSong_GB2312" w:hAnsi="FangSong_GB2312" w:eastAsia="FangSong_GB2312" w:cs="FangSong_GB2312"/>
          <w:spacing w:val="-2"/>
          <w:sz w:val="24"/>
          <w:szCs w:val="24"/>
        </w:rPr>
        <w:t>震设防烈度为</w:t>
      </w:r>
      <w:r>
        <w:rPr>
          <w:rFonts w:ascii="Times New Roman" w:hAnsi="Times New Roman" w:eastAsia="Times New Roman" w:cs="Times New Roman"/>
          <w:spacing w:val="-2"/>
          <w:sz w:val="24"/>
          <w:szCs w:val="24"/>
        </w:rPr>
        <w:t>Ⅶ</w:t>
      </w:r>
      <w:r>
        <w:rPr>
          <w:rFonts w:ascii="FangSong_GB2312" w:hAnsi="FangSong_GB2312" w:eastAsia="FangSong_GB2312" w:cs="FangSong_GB2312"/>
          <w:spacing w:val="-2"/>
          <w:sz w:val="24"/>
          <w:szCs w:val="24"/>
        </w:rPr>
        <w:t>度，地震峰值加速度为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0.05g</w:t>
      </w:r>
      <w:r>
        <w:rPr>
          <w:rFonts w:ascii="FangSong_GB2312" w:hAnsi="FangSong_GB2312" w:eastAsia="FangSong_GB2312" w:cs="FangSong_GB2312"/>
          <w:spacing w:val="-2"/>
          <w:sz w:val="24"/>
          <w:szCs w:val="24"/>
        </w:rPr>
        <w:t>，特征周期为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0.40s</w:t>
      </w:r>
      <w:r>
        <w:rPr>
          <w:rFonts w:ascii="FangSong_GB2312" w:hAnsi="FangSong_GB2312" w:eastAsia="FangSong_GB2312" w:cs="FangSong_GB2312"/>
          <w:spacing w:val="-2"/>
          <w:sz w:val="24"/>
          <w:szCs w:val="24"/>
        </w:rPr>
        <w:t>。项目区未</w:t>
      </w:r>
      <w:r>
        <w:rPr>
          <w:rFonts w:ascii="FangSong_GB2312" w:hAnsi="FangSong_GB2312" w:eastAsia="FangSong_GB2312" w:cs="FangSong_GB2312"/>
          <w:spacing w:val="-3"/>
          <w:sz w:val="24"/>
          <w:szCs w:val="24"/>
        </w:rPr>
        <w:t>发现有大</w:t>
      </w:r>
      <w:r>
        <w:rPr>
          <w:rFonts w:ascii="FangSong_GB2312" w:hAnsi="FangSong_GB2312" w:eastAsia="FangSong_GB2312" w:cs="FangSong_GB2312"/>
          <w:spacing w:val="-5"/>
          <w:sz w:val="24"/>
          <w:szCs w:val="24"/>
        </w:rPr>
        <w:t>型滑坡、泥石流、崩塌、不稳定斜坡、地面沉降等不良地质灾害，工程地质条件简单。</w:t>
      </w:r>
    </w:p>
    <w:p w14:paraId="0CFE5044">
      <w:pPr>
        <w:spacing w:before="17" w:line="359" w:lineRule="auto"/>
        <w:ind w:left="7" w:right="114" w:firstLine="484"/>
        <w:rPr>
          <w:rFonts w:ascii="FangSong_GB2312" w:hAnsi="FangSong_GB2312" w:eastAsia="FangSong_GB2312" w:cs="FangSong_GB2312"/>
          <w:sz w:val="24"/>
          <w:szCs w:val="24"/>
        </w:rPr>
      </w:pPr>
      <w:r>
        <w:rPr>
          <w:rFonts w:ascii="FangSong_GB2312" w:hAnsi="FangSong_GB2312" w:eastAsia="FangSong_GB2312" w:cs="FangSong_GB2312"/>
          <w:sz w:val="24"/>
          <w:szCs w:val="24"/>
        </w:rPr>
        <w:t>项目场地地貌单元为构造剥蚀丘陵地貌，场</w:t>
      </w:r>
      <w:r>
        <w:rPr>
          <w:rFonts w:ascii="FangSong_GB2312" w:hAnsi="FangSong_GB2312" w:eastAsia="FangSong_GB2312" w:cs="FangSong_GB2312"/>
          <w:spacing w:val="-1"/>
          <w:sz w:val="24"/>
          <w:szCs w:val="24"/>
        </w:rPr>
        <w:t>地处丘陵斜坡、坡积裙地带，现状呈</w:t>
      </w:r>
      <w:r>
        <w:rPr>
          <w:rFonts w:ascii="FangSong_GB2312" w:hAnsi="FangSong_GB2312" w:eastAsia="FangSong_GB2312" w:cs="FangSong_GB2312"/>
          <w:spacing w:val="-2"/>
          <w:sz w:val="24"/>
          <w:szCs w:val="24"/>
        </w:rPr>
        <w:t>低山地貌，地形局部起伏不大。项</w:t>
      </w:r>
      <w:r>
        <w:rPr>
          <w:rFonts w:ascii="FangSong_GB2312" w:hAnsi="FangSong_GB2312" w:eastAsia="FangSong_GB2312" w:cs="FangSong_GB2312"/>
          <w:spacing w:val="-57"/>
          <w:sz w:val="24"/>
          <w:szCs w:val="24"/>
        </w:rPr>
        <w:t xml:space="preserve"> </w:t>
      </w:r>
      <w:r>
        <w:rPr>
          <w:rFonts w:ascii="FangSong_GB2312" w:hAnsi="FangSong_GB2312" w:eastAsia="FangSong_GB2312" w:cs="FangSong_GB2312"/>
          <w:spacing w:val="-2"/>
          <w:sz w:val="24"/>
          <w:szCs w:val="24"/>
        </w:rPr>
        <w:t>目区内原始地面高程介于</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827.68m~832.45m</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，项目</w:t>
      </w:r>
    </w:p>
    <w:p w14:paraId="407B218D">
      <w:pPr>
        <w:spacing w:before="40" w:line="229" w:lineRule="auto"/>
        <w:ind w:left="5384"/>
        <w:rPr>
          <w:rFonts w:ascii="FangSong_GB2312" w:hAnsi="FangSong_GB2312" w:eastAsia="FangSong_GB2312" w:cs="FangSong_GB2312"/>
          <w:sz w:val="20"/>
          <w:szCs w:val="20"/>
        </w:rPr>
      </w:pPr>
      <w:r>
        <w:pict>
          <v:shape id="_x0000_s1030" o:spid="_x0000_s1030" o:spt="202" type="#_x0000_t202" style="position:absolute;left:0pt;margin-left:218.85pt;margin-top:1.7pt;height:10.15pt;width:6.4pt;z-index:251677696;mso-width-relative:page;mso-height-relative:page;" filled="f" stroked="f" coordsize="21600,21600">
            <v:path/>
            <v:fill on="f" focussize="0,0"/>
            <v:stroke on="f"/>
            <v:imagedata o:title=""/>
            <o:lock v:ext="edit" aspectratio="f"/>
            <v:textbox inset="0mm,0mm,0mm,0mm">
              <w:txbxContent>
                <w:p w14:paraId="5E93296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xbxContent>
            </v:textbox>
          </v:shape>
        </w:pict>
      </w:r>
      <w:r>
        <w:rPr>
          <w:rFonts w:ascii="FangSong_GB2312" w:hAnsi="FangSong_GB2312" w:eastAsia="FangSong_GB2312" w:cs="FangSong_GB2312"/>
          <w:spacing w:val="8"/>
          <w:sz w:val="20"/>
          <w:szCs w:val="20"/>
        </w:rPr>
        <w:t>剑阁县绿森林业勘察设计有限公司</w:t>
      </w:r>
    </w:p>
    <w:p w14:paraId="46CE2B7F">
      <w:pPr>
        <w:spacing w:line="229" w:lineRule="auto"/>
        <w:rPr>
          <w:rFonts w:ascii="FangSong_GB2312" w:hAnsi="FangSong_GB2312" w:eastAsia="FangSong_GB2312" w:cs="FangSong_GB2312"/>
          <w:sz w:val="20"/>
          <w:szCs w:val="20"/>
        </w:rPr>
        <w:sectPr>
          <w:headerReference r:id="rId22" w:type="default"/>
          <w:pgSz w:w="11906" w:h="16839"/>
          <w:pgMar w:top="1164" w:right="1399" w:bottom="400" w:left="1513" w:header="831" w:footer="0" w:gutter="0"/>
          <w:cols w:space="720" w:num="1"/>
        </w:sectPr>
      </w:pPr>
    </w:p>
    <w:p w14:paraId="1B9A40B4">
      <w:pPr>
        <w:spacing w:before="197" w:line="214" w:lineRule="auto"/>
        <w:ind w:left="42"/>
        <w:rPr>
          <w:rFonts w:ascii="FangSong_GB2312" w:hAnsi="FangSong_GB2312" w:eastAsia="FangSong_GB2312" w:cs="FangSong_GB2312"/>
          <w:sz w:val="24"/>
          <w:szCs w:val="24"/>
        </w:rPr>
      </w:pPr>
      <w:bookmarkStart w:id="12" w:name="bookmark97"/>
      <w:bookmarkEnd w:id="12"/>
      <w:r>
        <w:rPr>
          <w:rFonts w:ascii="FangSong_GB2312" w:hAnsi="FangSong_GB2312" w:eastAsia="FangSong_GB2312" w:cs="FangSong_GB2312"/>
          <w:spacing w:val="-5"/>
          <w:sz w:val="24"/>
          <w:szCs w:val="24"/>
        </w:rPr>
        <w:t>区场平高程为</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5"/>
          <w:sz w:val="24"/>
          <w:szCs w:val="24"/>
        </w:rPr>
        <w:t>828.60m</w:t>
      </w:r>
      <w:r>
        <w:rPr>
          <w:rFonts w:ascii="FangSong_GB2312" w:hAnsi="FangSong_GB2312" w:eastAsia="FangSong_GB2312" w:cs="FangSong_GB2312"/>
          <w:spacing w:val="-5"/>
          <w:sz w:val="24"/>
          <w:szCs w:val="24"/>
        </w:rPr>
        <w:t>。</w:t>
      </w:r>
    </w:p>
    <w:p w14:paraId="359033FC">
      <w:pPr>
        <w:spacing w:before="190" w:line="359" w:lineRule="auto"/>
        <w:ind w:left="10" w:right="27" w:firstLine="481"/>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项目区属亚热带湿润季风气候。气候温和，</w:t>
      </w:r>
      <w:r>
        <w:rPr>
          <w:rFonts w:ascii="FangSong_GB2312" w:hAnsi="FangSong_GB2312" w:eastAsia="FangSong_GB2312" w:cs="FangSong_GB2312"/>
          <w:spacing w:val="-1"/>
          <w:sz w:val="24"/>
          <w:szCs w:val="24"/>
        </w:rPr>
        <w:t>光照比较适宜，四季分明，大陆性季</w:t>
      </w:r>
      <w:r>
        <w:rPr>
          <w:rFonts w:ascii="FangSong_GB2312" w:hAnsi="FangSong_GB2312" w:eastAsia="FangSong_GB2312" w:cs="FangSong_GB2312"/>
          <w:sz w:val="24"/>
          <w:szCs w:val="24"/>
        </w:rPr>
        <w:t>风明显。由于地理位置和多变地貌影响，垂直气候明</w:t>
      </w:r>
      <w:r>
        <w:rPr>
          <w:rFonts w:ascii="FangSong_GB2312" w:hAnsi="FangSong_GB2312" w:eastAsia="FangSong_GB2312" w:cs="FangSong_GB2312"/>
          <w:spacing w:val="-1"/>
          <w:sz w:val="24"/>
          <w:szCs w:val="24"/>
        </w:rPr>
        <w:t>显，区域气候差异大，出现海拔</w:t>
      </w:r>
      <w:r>
        <w:rPr>
          <w:rFonts w:ascii="FangSong_GB2312" w:hAnsi="FangSong_GB2312" w:eastAsia="FangSong_GB2312" w:cs="FangSong_GB2312"/>
          <w:sz w:val="24"/>
          <w:szCs w:val="24"/>
        </w:rPr>
        <w:t>高程不同，气候各异，高山顶和漕谷地气温相差大。</w:t>
      </w:r>
      <w:r>
        <w:rPr>
          <w:rFonts w:ascii="FangSong_GB2312" w:hAnsi="FangSong_GB2312" w:eastAsia="FangSong_GB2312" w:cs="FangSong_GB2312"/>
          <w:spacing w:val="-1"/>
          <w:sz w:val="24"/>
          <w:szCs w:val="24"/>
        </w:rPr>
        <w:t>气候随海拔升高而降低。降水充</w:t>
      </w:r>
      <w:r>
        <w:rPr>
          <w:rFonts w:ascii="FangSong_GB2312" w:hAnsi="FangSong_GB2312" w:eastAsia="FangSong_GB2312" w:cs="FangSong_GB2312"/>
          <w:sz w:val="24"/>
          <w:szCs w:val="24"/>
        </w:rPr>
        <w:t>分，但呈陡峭单峰型分布，时空分布不均，常有</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东边日出西边雨</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情形。剑阁县一般</w:t>
      </w:r>
      <w:r>
        <w:rPr>
          <w:rFonts w:ascii="FangSong_GB2312" w:hAnsi="FangSong_GB2312" w:eastAsia="FangSong_GB2312" w:cs="FangSong_GB2312"/>
          <w:spacing w:val="-7"/>
          <w:sz w:val="24"/>
          <w:szCs w:val="24"/>
        </w:rPr>
        <w:t>年平均气温约</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7"/>
          <w:sz w:val="24"/>
          <w:szCs w:val="24"/>
        </w:rPr>
        <w:t>16.7℃</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7"/>
          <w:sz w:val="24"/>
          <w:szCs w:val="24"/>
        </w:rPr>
        <w:t>,</w:t>
      </w:r>
      <w:r>
        <w:rPr>
          <w:rFonts w:ascii="FangSong_GB2312" w:hAnsi="FangSong_GB2312" w:eastAsia="FangSong_GB2312" w:cs="FangSong_GB2312"/>
          <w:spacing w:val="72"/>
          <w:sz w:val="24"/>
          <w:szCs w:val="24"/>
        </w:rPr>
        <w:t xml:space="preserve"> </w:t>
      </w:r>
      <w:r>
        <w:rPr>
          <w:rFonts w:ascii="FangSong_GB2312" w:hAnsi="FangSong_GB2312" w:eastAsia="FangSong_GB2312" w:cs="FangSong_GB2312"/>
          <w:spacing w:val="-7"/>
          <w:sz w:val="24"/>
          <w:szCs w:val="24"/>
        </w:rPr>
        <w:t xml:space="preserve">最高 </w:t>
      </w:r>
      <w:r>
        <w:rPr>
          <w:rFonts w:ascii="Times New Roman" w:hAnsi="Times New Roman" w:eastAsia="Times New Roman" w:cs="Times New Roman"/>
          <w:spacing w:val="-7"/>
          <w:sz w:val="24"/>
          <w:szCs w:val="24"/>
        </w:rPr>
        <w:t>40.09℃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7"/>
          <w:sz w:val="24"/>
          <w:szCs w:val="24"/>
        </w:rPr>
        <w:t>,</w:t>
      </w:r>
      <w:r>
        <w:rPr>
          <w:rFonts w:ascii="FangSong_GB2312" w:hAnsi="FangSong_GB2312" w:eastAsia="FangSong_GB2312" w:cs="FangSong_GB2312"/>
          <w:spacing w:val="72"/>
          <w:sz w:val="24"/>
          <w:szCs w:val="24"/>
        </w:rPr>
        <w:t xml:space="preserve"> </w:t>
      </w:r>
      <w:r>
        <w:rPr>
          <w:rFonts w:ascii="FangSong_GB2312" w:hAnsi="FangSong_GB2312" w:eastAsia="FangSong_GB2312" w:cs="FangSong_GB2312"/>
          <w:spacing w:val="-7"/>
          <w:sz w:val="24"/>
          <w:szCs w:val="24"/>
        </w:rPr>
        <w:t>最低</w:t>
      </w:r>
      <w:r>
        <w:rPr>
          <w:rFonts w:ascii="Times New Roman" w:hAnsi="Times New Roman" w:eastAsia="Times New Roman" w:cs="Times New Roman"/>
          <w:spacing w:val="-8"/>
          <w:sz w:val="24"/>
          <w:szCs w:val="24"/>
        </w:rPr>
        <w:t>-7.2℃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8"/>
          <w:sz w:val="24"/>
          <w:szCs w:val="24"/>
        </w:rPr>
        <w:t>,</w:t>
      </w:r>
      <w:r>
        <w:rPr>
          <w:rFonts w:ascii="FangSong_GB2312" w:hAnsi="FangSong_GB2312" w:eastAsia="FangSong_GB2312" w:cs="FangSong_GB2312"/>
          <w:spacing w:val="78"/>
          <w:sz w:val="24"/>
          <w:szCs w:val="24"/>
        </w:rPr>
        <w:t xml:space="preserve"> </w:t>
      </w:r>
      <w:r>
        <w:rPr>
          <w:rFonts w:ascii="FangSong_GB2312" w:hAnsi="FangSong_GB2312" w:eastAsia="FangSong_GB2312" w:cs="FangSong_GB2312"/>
          <w:spacing w:val="-8"/>
          <w:sz w:val="24"/>
          <w:szCs w:val="24"/>
        </w:rPr>
        <w:t>多年均降水量</w:t>
      </w:r>
      <w:r>
        <w:rPr>
          <w:rFonts w:ascii="FangSong_GB2312" w:hAnsi="FangSong_GB2312" w:eastAsia="FangSong_GB2312" w:cs="FangSong_GB2312"/>
          <w:spacing w:val="-27"/>
          <w:sz w:val="24"/>
          <w:szCs w:val="24"/>
        </w:rPr>
        <w:t xml:space="preserve"> </w:t>
      </w:r>
      <w:r>
        <w:rPr>
          <w:rFonts w:ascii="Times New Roman" w:hAnsi="Times New Roman" w:eastAsia="Times New Roman" w:cs="Times New Roman"/>
          <w:spacing w:val="-8"/>
          <w:sz w:val="24"/>
          <w:szCs w:val="24"/>
        </w:rPr>
        <w:t>1086.6</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8"/>
          <w:sz w:val="24"/>
          <w:szCs w:val="24"/>
        </w:rPr>
        <w:t>毫米，雨季</w:t>
      </w:r>
      <w:r>
        <w:rPr>
          <w:rFonts w:ascii="FangSong_GB2312" w:hAnsi="FangSong_GB2312" w:eastAsia="FangSong_GB2312" w:cs="FangSong_GB2312"/>
          <w:spacing w:val="-3"/>
          <w:sz w:val="24"/>
          <w:szCs w:val="24"/>
        </w:rPr>
        <w:t>为每年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7</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月，最高月降雨量为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551.4mm</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4"/>
          <w:sz w:val="24"/>
          <w:szCs w:val="24"/>
        </w:rPr>
        <w:t>，最低月降雨量为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0.02mm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pacing w:val="-4"/>
          <w:sz w:val="24"/>
          <w:szCs w:val="24"/>
        </w:rPr>
        <w:t>。境内风向随季</w:t>
      </w:r>
      <w:r>
        <w:rPr>
          <w:rFonts w:ascii="FangSong_GB2312" w:hAnsi="FangSong_GB2312" w:eastAsia="FangSong_GB2312" w:cs="FangSong_GB2312"/>
          <w:sz w:val="24"/>
          <w:szCs w:val="24"/>
        </w:rPr>
        <w:t>节变化明显，夏半年盛行偏南风，冬半年盛行偏北风常年主导风</w:t>
      </w:r>
      <w:r>
        <w:rPr>
          <w:rFonts w:ascii="FangSong_GB2312" w:hAnsi="FangSong_GB2312" w:eastAsia="FangSong_GB2312" w:cs="FangSong_GB2312"/>
          <w:spacing w:val="-1"/>
          <w:sz w:val="24"/>
          <w:szCs w:val="24"/>
        </w:rPr>
        <w:t>向</w:t>
      </w:r>
      <w:r>
        <w:rPr>
          <w:rFonts w:ascii="FangSong_GB2312" w:hAnsi="FangSong_GB2312" w:eastAsia="FangSong_GB2312" w:cs="FangSong_GB2312"/>
          <w:spacing w:val="-42"/>
          <w:sz w:val="24"/>
          <w:szCs w:val="24"/>
        </w:rPr>
        <w:t xml:space="preserve"> </w:t>
      </w:r>
      <w:r>
        <w:rPr>
          <w:rFonts w:ascii="Times New Roman" w:hAnsi="Times New Roman" w:eastAsia="Times New Roman" w:cs="Times New Roman"/>
          <w:spacing w:val="-1"/>
          <w:sz w:val="24"/>
          <w:szCs w:val="24"/>
        </w:rPr>
        <w:t>SWW</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NEE</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1"/>
          <w:sz w:val="24"/>
          <w:szCs w:val="24"/>
        </w:rPr>
        <w:t>、多</w:t>
      </w:r>
      <w:r>
        <w:rPr>
          <w:rFonts w:ascii="FangSong_GB2312" w:hAnsi="FangSong_GB2312" w:eastAsia="FangSong_GB2312" w:cs="FangSong_GB2312"/>
          <w:spacing w:val="-7"/>
          <w:sz w:val="24"/>
          <w:szCs w:val="24"/>
        </w:rPr>
        <w:t>年平均风速</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7"/>
          <w:sz w:val="24"/>
          <w:szCs w:val="24"/>
        </w:rPr>
        <w:t>1.8m/s</w:t>
      </w:r>
      <w:r>
        <w:rPr>
          <w:rFonts w:ascii="FangSong_GB2312" w:hAnsi="FangSong_GB2312" w:eastAsia="FangSong_GB2312" w:cs="FangSong_GB2312"/>
          <w:spacing w:val="-7"/>
          <w:sz w:val="24"/>
          <w:szCs w:val="24"/>
        </w:rPr>
        <w:t>。全年无霜期约</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7"/>
          <w:sz w:val="24"/>
          <w:szCs w:val="24"/>
        </w:rPr>
        <w:t>270</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pacing w:val="-7"/>
          <w:sz w:val="24"/>
          <w:szCs w:val="24"/>
        </w:rPr>
        <w:t>天。秋冬两季多雾，多年平均日照时数为</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7"/>
          <w:sz w:val="24"/>
          <w:szCs w:val="24"/>
        </w:rPr>
        <w:t>132</w:t>
      </w:r>
      <w:r>
        <w:rPr>
          <w:rFonts w:ascii="Times New Roman" w:hAnsi="Times New Roman" w:eastAsia="Times New Roman" w:cs="Times New Roman"/>
          <w:spacing w:val="-8"/>
          <w:sz w:val="24"/>
          <w:szCs w:val="24"/>
        </w:rPr>
        <w:t>8.3</w:t>
      </w:r>
      <w:r>
        <w:rPr>
          <w:rFonts w:ascii="FangSong_GB2312" w:hAnsi="FangSong_GB2312" w:eastAsia="FangSong_GB2312" w:cs="FangSong_GB2312"/>
          <w:spacing w:val="-4"/>
          <w:sz w:val="24"/>
          <w:szCs w:val="24"/>
        </w:rPr>
        <w:t>小时。</w:t>
      </w:r>
    </w:p>
    <w:p w14:paraId="12684468">
      <w:pPr>
        <w:spacing w:line="215" w:lineRule="auto"/>
        <w:ind w:left="49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项目区土壤以黄壤土为主，项目区可剥离表土厚度为</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1"/>
          <w:sz w:val="24"/>
          <w:szCs w:val="24"/>
        </w:rPr>
        <w:t>0.20m</w:t>
      </w:r>
      <w:r>
        <w:rPr>
          <w:rFonts w:ascii="FangSong_GB2312" w:hAnsi="FangSong_GB2312" w:eastAsia="FangSong_GB2312" w:cs="FangSong_GB2312"/>
          <w:spacing w:val="-1"/>
          <w:sz w:val="24"/>
          <w:szCs w:val="24"/>
        </w:rPr>
        <w:t>。</w:t>
      </w:r>
    </w:p>
    <w:p w14:paraId="6A0A54CA">
      <w:pPr>
        <w:spacing w:before="184" w:line="215" w:lineRule="auto"/>
        <w:jc w:val="right"/>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项目区地带性植被类型为亚热带常绿阔叶林区，项目区林草覆盖率约为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75.82%</w:t>
      </w:r>
      <w:r>
        <w:rPr>
          <w:rFonts w:ascii="FangSong_GB2312" w:hAnsi="FangSong_GB2312" w:eastAsia="FangSong_GB2312" w:cs="FangSong_GB2312"/>
          <w:spacing w:val="-2"/>
          <w:sz w:val="24"/>
          <w:szCs w:val="24"/>
        </w:rPr>
        <w:t>。</w:t>
      </w:r>
    </w:p>
    <w:p w14:paraId="16403717">
      <w:pPr>
        <w:spacing w:before="188" w:line="360" w:lineRule="auto"/>
        <w:ind w:left="20" w:right="27" w:firstLine="469"/>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本项目所在地剑阁县属于西南紫色土区，项目区土</w:t>
      </w:r>
      <w:r>
        <w:rPr>
          <w:rFonts w:ascii="FangSong_GB2312" w:hAnsi="FangSong_GB2312" w:eastAsia="FangSong_GB2312" w:cs="FangSong_GB2312"/>
          <w:spacing w:val="-1"/>
          <w:sz w:val="24"/>
          <w:szCs w:val="24"/>
        </w:rPr>
        <w:t>壤侵蚀类型以轻度水力侵蚀为</w:t>
      </w:r>
      <w:r>
        <w:rPr>
          <w:rFonts w:ascii="FangSong_GB2312" w:hAnsi="FangSong_GB2312" w:eastAsia="FangSong_GB2312" w:cs="FangSong_GB2312"/>
          <w:spacing w:val="-4"/>
          <w:sz w:val="24"/>
          <w:szCs w:val="24"/>
        </w:rPr>
        <w:t>主，容许土壤流失量为</w:t>
      </w:r>
      <w:r>
        <w:rPr>
          <w:rFonts w:ascii="FangSong_GB2312" w:hAnsi="FangSong_GB2312" w:eastAsia="FangSong_GB2312" w:cs="FangSong_GB2312"/>
          <w:spacing w:val="-39"/>
          <w:sz w:val="24"/>
          <w:szCs w:val="24"/>
        </w:rPr>
        <w:t xml:space="preserve"> </w:t>
      </w:r>
      <w:r>
        <w:rPr>
          <w:rFonts w:ascii="Times New Roman" w:hAnsi="Times New Roman" w:eastAsia="Times New Roman" w:cs="Times New Roman"/>
          <w:spacing w:val="-4"/>
          <w:sz w:val="24"/>
          <w:szCs w:val="24"/>
        </w:rPr>
        <w:t>500t/Km2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4"/>
          <w:sz w:val="24"/>
          <w:szCs w:val="24"/>
        </w:rPr>
        <w:t>，土壤侵蚀模数背景值为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4"/>
          <w:sz w:val="24"/>
          <w:szCs w:val="24"/>
        </w:rPr>
        <w:t>900t/Km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4"/>
          <w:sz w:val="24"/>
          <w:szCs w:val="24"/>
        </w:rPr>
        <w:t>.a</w:t>
      </w:r>
      <w:r>
        <w:rPr>
          <w:rFonts w:ascii="FangSong_GB2312" w:hAnsi="FangSong_GB2312" w:eastAsia="FangSong_GB2312" w:cs="FangSong_GB2312"/>
          <w:spacing w:val="-4"/>
          <w:sz w:val="24"/>
          <w:szCs w:val="24"/>
        </w:rPr>
        <w:t>。</w:t>
      </w:r>
    </w:p>
    <w:p w14:paraId="7EF1887D">
      <w:pPr>
        <w:spacing w:before="4" w:line="358" w:lineRule="auto"/>
        <w:ind w:left="11" w:right="27" w:firstLine="478"/>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本项目建设场地不涉及水功能保护区，本项目建设</w:t>
      </w:r>
      <w:r>
        <w:rPr>
          <w:rFonts w:ascii="FangSong_GB2312" w:hAnsi="FangSong_GB2312" w:eastAsia="FangSong_GB2312" w:cs="FangSong_GB2312"/>
          <w:spacing w:val="-1"/>
          <w:sz w:val="24"/>
          <w:szCs w:val="24"/>
        </w:rPr>
        <w:t>场地未在县级以上地方人民政</w:t>
      </w:r>
      <w:r>
        <w:rPr>
          <w:rFonts w:ascii="FangSong_GB2312" w:hAnsi="FangSong_GB2312" w:eastAsia="FangSong_GB2312" w:cs="FangSong_GB2312"/>
          <w:sz w:val="24"/>
          <w:szCs w:val="24"/>
        </w:rPr>
        <w:t>府划定的崩塌、滑坡危险区和泥石流易发区内，不</w:t>
      </w:r>
      <w:r>
        <w:rPr>
          <w:rFonts w:ascii="FangSong_GB2312" w:hAnsi="FangSong_GB2312" w:eastAsia="FangSong_GB2312" w:cs="FangSong_GB2312"/>
          <w:spacing w:val="-1"/>
          <w:sz w:val="24"/>
          <w:szCs w:val="24"/>
        </w:rPr>
        <w:t>属于水土流失严重、生态脆弱的地</w:t>
      </w:r>
      <w:r>
        <w:rPr>
          <w:rFonts w:ascii="FangSong_GB2312" w:hAnsi="FangSong_GB2312" w:eastAsia="FangSong_GB2312" w:cs="FangSong_GB2312"/>
          <w:sz w:val="24"/>
          <w:szCs w:val="24"/>
        </w:rPr>
        <w:t>区；本项目建设场地内无自然遗产地、地质公园、</w:t>
      </w:r>
      <w:r>
        <w:rPr>
          <w:rFonts w:ascii="FangSong_GB2312" w:hAnsi="FangSong_GB2312" w:eastAsia="FangSong_GB2312" w:cs="FangSong_GB2312"/>
          <w:spacing w:val="-1"/>
          <w:sz w:val="24"/>
          <w:szCs w:val="24"/>
        </w:rPr>
        <w:t>森林公园、重要湿地、文物、古迹</w:t>
      </w:r>
      <w:r>
        <w:rPr>
          <w:rFonts w:ascii="FangSong_GB2312" w:hAnsi="FangSong_GB2312" w:eastAsia="FangSong_GB2312" w:cs="FangSong_GB2312"/>
          <w:spacing w:val="-6"/>
          <w:sz w:val="24"/>
          <w:szCs w:val="24"/>
        </w:rPr>
        <w:t>等。</w:t>
      </w:r>
    </w:p>
    <w:p w14:paraId="67BDE28F">
      <w:pPr>
        <w:spacing w:before="3" w:line="360" w:lineRule="auto"/>
        <w:ind w:left="7" w:right="28" w:firstLine="479"/>
        <w:jc w:val="both"/>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w:t>
      </w:r>
      <w:r>
        <w:rPr>
          <w:rFonts w:ascii="FangSong_GB2312" w:hAnsi="FangSong_GB2312" w:eastAsia="FangSong_GB2312" w:cs="FangSong_GB2312"/>
          <w:spacing w:val="6"/>
          <w:sz w:val="24"/>
          <w:szCs w:val="24"/>
        </w:rPr>
        <w:t>点治理区复核划分成</w:t>
      </w:r>
      <w:r>
        <w:rPr>
          <w:rFonts w:ascii="FangSong_GB2312" w:hAnsi="FangSong_GB2312" w:eastAsia="FangSong_GB2312" w:cs="FangSong_GB2312"/>
          <w:sz w:val="24"/>
          <w:szCs w:val="24"/>
        </w:rPr>
        <w:t>果》（办水保〔</w:t>
      </w:r>
      <w:r>
        <w:rPr>
          <w:rFonts w:ascii="Times New Roman" w:hAnsi="Times New Roman" w:eastAsia="Times New Roman" w:cs="Times New Roman"/>
          <w:sz w:val="24"/>
          <w:szCs w:val="24"/>
        </w:rPr>
        <w:t>2013</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188</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z w:val="24"/>
          <w:szCs w:val="24"/>
        </w:rPr>
        <w:t>号</w:t>
      </w:r>
      <w:r>
        <w:rPr>
          <w:rFonts w:ascii="FangSong_GB2312" w:hAnsi="FangSong_GB2312" w:eastAsia="FangSong_GB2312" w:cs="FangSong_GB2312"/>
          <w:spacing w:val="12"/>
          <w:sz w:val="24"/>
          <w:szCs w:val="24"/>
        </w:rPr>
        <w:t>），</w:t>
      </w:r>
      <w:r>
        <w:rPr>
          <w:rFonts w:ascii="FangSong_GB2312" w:hAnsi="FangSong_GB2312" w:eastAsia="FangSong_GB2312" w:cs="FangSong_GB2312"/>
          <w:sz w:val="24"/>
          <w:szCs w:val="24"/>
        </w:rPr>
        <w:t>项目区属于嘉陵江及沱江中下游国家级水土流失重</w:t>
      </w:r>
      <w:r>
        <w:rPr>
          <w:rFonts w:ascii="FangSong_GB2312" w:hAnsi="FangSong_GB2312" w:eastAsia="FangSong_GB2312" w:cs="FangSong_GB2312"/>
          <w:spacing w:val="-2"/>
          <w:sz w:val="24"/>
          <w:szCs w:val="24"/>
        </w:rPr>
        <w:t>点治理区。</w:t>
      </w:r>
    </w:p>
    <w:p w14:paraId="43DDE348">
      <w:pPr>
        <w:spacing w:before="6" w:line="214" w:lineRule="auto"/>
        <w:ind w:left="20"/>
        <w:outlineLvl w:val="1"/>
        <w:rPr>
          <w:rFonts w:ascii="FangSong_GB2312" w:hAnsi="FangSong_GB2312" w:eastAsia="FangSong_GB2312" w:cs="FangSong_GB2312"/>
          <w:sz w:val="30"/>
          <w:szCs w:val="30"/>
        </w:rPr>
      </w:pPr>
      <w:bookmarkStart w:id="13" w:name="bookmark7"/>
      <w:bookmarkEnd w:id="13"/>
      <w:bookmarkStart w:id="14" w:name="bookmark6"/>
      <w:bookmarkEnd w:id="14"/>
      <w:r>
        <w:rPr>
          <w:rFonts w:ascii="Times New Roman" w:hAnsi="Times New Roman" w:eastAsia="Times New Roman" w:cs="Times New Roman"/>
          <w:b/>
          <w:bCs/>
          <w:spacing w:val="-4"/>
          <w:sz w:val="30"/>
          <w:szCs w:val="30"/>
        </w:rPr>
        <w:t xml:space="preserve">1.2 </w:t>
      </w:r>
      <w:r>
        <w:rPr>
          <w:rFonts w:ascii="FangSong_GB2312" w:hAnsi="FangSong_GB2312" w:eastAsia="FangSong_GB2312" w:cs="FangSong_GB2312"/>
          <w:b/>
          <w:bCs/>
          <w:spacing w:val="-4"/>
          <w:sz w:val="30"/>
          <w:szCs w:val="30"/>
        </w:rPr>
        <w:t>编制依据</w:t>
      </w:r>
    </w:p>
    <w:p w14:paraId="62940905">
      <w:pPr>
        <w:spacing w:before="230"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6"/>
          <w:sz w:val="28"/>
          <w:szCs w:val="28"/>
        </w:rPr>
        <w:t>1.2.1</w:t>
      </w:r>
      <w:r>
        <w:rPr>
          <w:rFonts w:ascii="Times New Roman" w:hAnsi="Times New Roman" w:eastAsia="Times New Roman" w:cs="Times New Roman"/>
          <w:b/>
          <w:bCs/>
          <w:spacing w:val="12"/>
          <w:sz w:val="28"/>
          <w:szCs w:val="28"/>
        </w:rPr>
        <w:t xml:space="preserve">  </w:t>
      </w:r>
      <w:r>
        <w:rPr>
          <w:rFonts w:ascii="FangSong_GB2312" w:hAnsi="FangSong_GB2312" w:eastAsia="FangSong_GB2312" w:cs="FangSong_GB2312"/>
          <w:b/>
          <w:bCs/>
          <w:spacing w:val="-6"/>
          <w:sz w:val="28"/>
          <w:szCs w:val="28"/>
        </w:rPr>
        <w:t>法律法规</w:t>
      </w:r>
    </w:p>
    <w:p w14:paraId="32978F7F">
      <w:pPr>
        <w:spacing w:before="212" w:line="287" w:lineRule="auto"/>
        <w:ind w:left="21" w:right="27" w:firstLine="486"/>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FangSong_GB2312" w:hAnsi="FangSong_GB2312" w:eastAsia="FangSong_GB2312" w:cs="FangSong_GB2312"/>
          <w:spacing w:val="-3"/>
          <w:sz w:val="24"/>
          <w:szCs w:val="24"/>
        </w:rPr>
        <w:t>、《中华人民共和国水土保持法》（中华人民共和国主席令第</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39</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r>
        <w:rPr>
          <w:rFonts w:ascii="Times New Roman" w:hAnsi="Times New Roman" w:eastAsia="Times New Roman" w:cs="Times New Roman"/>
          <w:spacing w:val="-3"/>
          <w:sz w:val="24"/>
          <w:szCs w:val="24"/>
        </w:rPr>
        <w:t xml:space="preserve">1991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6</w:t>
      </w:r>
      <w:r>
        <w:rPr>
          <w:rFonts w:ascii="FangSong_GB2312" w:hAnsi="FangSong_GB2312" w:eastAsia="FangSong_GB2312" w:cs="FangSong_GB2312"/>
          <w:spacing w:val="-9"/>
          <w:sz w:val="24"/>
          <w:szCs w:val="24"/>
        </w:rPr>
        <w:t>月</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9"/>
          <w:sz w:val="24"/>
          <w:szCs w:val="24"/>
        </w:rPr>
        <w:t xml:space="preserve">29  </w:t>
      </w:r>
      <w:r>
        <w:rPr>
          <w:rFonts w:ascii="FangSong_GB2312" w:hAnsi="FangSong_GB2312" w:eastAsia="FangSong_GB2312" w:cs="FangSong_GB2312"/>
          <w:spacing w:val="-9"/>
          <w:sz w:val="24"/>
          <w:szCs w:val="24"/>
        </w:rPr>
        <w:t>日颁布，</w:t>
      </w:r>
      <w:r>
        <w:rPr>
          <w:rFonts w:ascii="Times New Roman" w:hAnsi="Times New Roman" w:eastAsia="Times New Roman" w:cs="Times New Roman"/>
          <w:spacing w:val="-9"/>
          <w:sz w:val="24"/>
          <w:szCs w:val="24"/>
        </w:rPr>
        <w:t>2010</w:t>
      </w:r>
      <w:r>
        <w:rPr>
          <w:rFonts w:ascii="Times New Roman" w:hAnsi="Times New Roman" w:eastAsia="Times New Roman" w:cs="Times New Roman"/>
          <w:spacing w:val="12"/>
          <w:sz w:val="24"/>
          <w:szCs w:val="24"/>
        </w:rPr>
        <w:t xml:space="preserve"> </w:t>
      </w:r>
      <w:r>
        <w:rPr>
          <w:rFonts w:ascii="FangSong_GB2312" w:hAnsi="FangSong_GB2312" w:eastAsia="FangSong_GB2312" w:cs="FangSong_GB2312"/>
          <w:spacing w:val="-9"/>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9"/>
          <w:sz w:val="24"/>
          <w:szCs w:val="24"/>
        </w:rPr>
        <w:t>月</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9"/>
          <w:sz w:val="24"/>
          <w:szCs w:val="24"/>
        </w:rPr>
        <w:t xml:space="preserve">25  </w:t>
      </w:r>
      <w:r>
        <w:rPr>
          <w:rFonts w:ascii="FangSong_GB2312" w:hAnsi="FangSong_GB2312" w:eastAsia="FangSong_GB2312" w:cs="FangSong_GB2312"/>
          <w:spacing w:val="-9"/>
          <w:sz w:val="24"/>
          <w:szCs w:val="24"/>
        </w:rPr>
        <w:t>日修订通过，</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9"/>
          <w:sz w:val="24"/>
          <w:szCs w:val="24"/>
        </w:rPr>
        <w:t>自</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10"/>
          <w:sz w:val="24"/>
          <w:szCs w:val="24"/>
        </w:rPr>
        <w:t xml:space="preserve">2011 </w:t>
      </w:r>
      <w:r>
        <w:rPr>
          <w:rFonts w:ascii="FangSong_GB2312" w:hAnsi="FangSong_GB2312" w:eastAsia="FangSong_GB2312" w:cs="FangSong_GB2312"/>
          <w:spacing w:val="-10"/>
          <w:sz w:val="24"/>
          <w:szCs w:val="24"/>
        </w:rPr>
        <w:t>年</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10"/>
          <w:sz w:val="24"/>
          <w:szCs w:val="24"/>
        </w:rPr>
        <w:t>3</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10"/>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0"/>
          <w:sz w:val="24"/>
          <w:szCs w:val="24"/>
        </w:rPr>
        <w:t xml:space="preserve">1  </w:t>
      </w:r>
      <w:r>
        <w:rPr>
          <w:rFonts w:ascii="FangSong_GB2312" w:hAnsi="FangSong_GB2312" w:eastAsia="FangSong_GB2312" w:cs="FangSong_GB2312"/>
          <w:spacing w:val="-10"/>
          <w:sz w:val="24"/>
          <w:szCs w:val="24"/>
        </w:rPr>
        <w:t>日起实施</w:t>
      </w:r>
      <w:r>
        <w:rPr>
          <w:rFonts w:ascii="FangSong_GB2312" w:hAnsi="FangSong_GB2312" w:eastAsia="FangSong_GB2312" w:cs="FangSong_GB2312"/>
          <w:sz w:val="24"/>
          <w:szCs w:val="24"/>
        </w:rPr>
        <w:t>）；</w:t>
      </w:r>
    </w:p>
    <w:p w14:paraId="235A6AC5">
      <w:pPr>
        <w:spacing w:before="186" w:line="287" w:lineRule="auto"/>
        <w:ind w:left="12" w:right="27" w:firstLine="472"/>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5"/>
          <w:sz w:val="24"/>
          <w:szCs w:val="24"/>
        </w:rPr>
        <w:t>、《中华人民共和国河道管理条例》（</w:t>
      </w:r>
      <w:r>
        <w:rPr>
          <w:rFonts w:ascii="Times New Roman" w:hAnsi="Times New Roman" w:eastAsia="Times New Roman" w:cs="Times New Roman"/>
          <w:spacing w:val="-5"/>
          <w:sz w:val="24"/>
          <w:szCs w:val="24"/>
        </w:rPr>
        <w:t xml:space="preserve">2018 </w:t>
      </w:r>
      <w:r>
        <w:rPr>
          <w:rFonts w:ascii="FangSong_GB2312" w:hAnsi="FangSong_GB2312" w:eastAsia="FangSong_GB2312" w:cs="FangSong_GB2312"/>
          <w:spacing w:val="-5"/>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5"/>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5"/>
          <w:sz w:val="24"/>
          <w:szCs w:val="24"/>
        </w:rPr>
        <w:t xml:space="preserve">19 </w:t>
      </w:r>
      <w:r>
        <w:rPr>
          <w:rFonts w:ascii="Times New Roman" w:hAnsi="Times New Roman" w:eastAsia="Times New Roman" w:cs="Times New Roman"/>
          <w:spacing w:val="-6"/>
          <w:sz w:val="24"/>
          <w:szCs w:val="24"/>
        </w:rPr>
        <w:t xml:space="preserve"> </w:t>
      </w:r>
      <w:r>
        <w:rPr>
          <w:rFonts w:ascii="FangSong_GB2312" w:hAnsi="FangSong_GB2312" w:eastAsia="FangSong_GB2312" w:cs="FangSong_GB2312"/>
          <w:spacing w:val="-6"/>
          <w:sz w:val="24"/>
          <w:szCs w:val="24"/>
        </w:rPr>
        <w:t>日《国务院关于修改和废</w:t>
      </w:r>
      <w:r>
        <w:rPr>
          <w:rFonts w:ascii="FangSong_GB2312" w:hAnsi="FangSong_GB2312" w:eastAsia="FangSong_GB2312" w:cs="FangSong_GB2312"/>
          <w:spacing w:val="-1"/>
          <w:sz w:val="24"/>
          <w:szCs w:val="24"/>
        </w:rPr>
        <w:t>止部分行政法规的决定》修订</w:t>
      </w:r>
      <w:r>
        <w:rPr>
          <w:rFonts w:ascii="FangSong_GB2312" w:hAnsi="FangSong_GB2312" w:eastAsia="FangSong_GB2312" w:cs="FangSong_GB2312"/>
          <w:sz w:val="24"/>
          <w:szCs w:val="24"/>
        </w:rPr>
        <w:t>）；</w:t>
      </w:r>
    </w:p>
    <w:p w14:paraId="2F18C9A2">
      <w:pPr>
        <w:spacing w:before="190" w:line="286" w:lineRule="auto"/>
        <w:ind w:left="12" w:right="35" w:firstLine="477"/>
        <w:rPr>
          <w:rFonts w:ascii="FangSong_GB2312" w:hAnsi="FangSong_GB2312" w:eastAsia="FangSong_GB2312" w:cs="FangSong_GB2312"/>
          <w:sz w:val="24"/>
          <w:szCs w:val="24"/>
        </w:rPr>
      </w:pPr>
      <w:r>
        <w:rPr>
          <w:rFonts w:ascii="Times New Roman" w:hAnsi="Times New Roman" w:eastAsia="Times New Roman" w:cs="Times New Roman"/>
          <w:spacing w:val="9"/>
          <w:sz w:val="24"/>
          <w:szCs w:val="24"/>
        </w:rPr>
        <w:t>3</w:t>
      </w:r>
      <w:r>
        <w:rPr>
          <w:rFonts w:ascii="Times New Roman" w:hAnsi="Times New Roman" w:eastAsia="Times New Roman" w:cs="Times New Roman"/>
          <w:spacing w:val="-9"/>
          <w:sz w:val="24"/>
          <w:szCs w:val="24"/>
        </w:rPr>
        <w:t xml:space="preserve"> </w:t>
      </w:r>
      <w:r>
        <w:rPr>
          <w:rFonts w:ascii="FangSong_GB2312" w:hAnsi="FangSong_GB2312" w:eastAsia="FangSong_GB2312" w:cs="FangSong_GB2312"/>
          <w:spacing w:val="9"/>
          <w:sz w:val="24"/>
          <w:szCs w:val="24"/>
        </w:rPr>
        <w:t>、《中华人民共和国环境保护法》</w:t>
      </w:r>
      <w:r>
        <w:rPr>
          <w:rFonts w:ascii="FangSong_GB2312" w:hAnsi="FangSong_GB2312" w:eastAsia="FangSong_GB2312" w:cs="FangSong_GB2312"/>
          <w:spacing w:val="-81"/>
          <w:sz w:val="24"/>
          <w:szCs w:val="24"/>
        </w:rPr>
        <w:t xml:space="preserve"> </w:t>
      </w:r>
      <w:r>
        <w:rPr>
          <w:rFonts w:ascii="FangSong_GB2312" w:hAnsi="FangSong_GB2312" w:eastAsia="FangSong_GB2312" w:cs="FangSong_GB2312"/>
          <w:spacing w:val="9"/>
          <w:sz w:val="24"/>
          <w:szCs w:val="24"/>
        </w:rPr>
        <w:t>（</w:t>
      </w:r>
      <w:r>
        <w:rPr>
          <w:rFonts w:ascii="FangSong_GB2312" w:hAnsi="FangSong_GB2312" w:eastAsia="FangSong_GB2312" w:cs="FangSong_GB2312"/>
          <w:spacing w:val="-64"/>
          <w:sz w:val="24"/>
          <w:szCs w:val="24"/>
        </w:rPr>
        <w:t xml:space="preserve"> </w:t>
      </w:r>
      <w:r>
        <w:rPr>
          <w:rFonts w:ascii="FangSong_GB2312" w:hAnsi="FangSong_GB2312" w:eastAsia="FangSong_GB2312" w:cs="FangSong_GB2312"/>
          <w:spacing w:val="9"/>
          <w:sz w:val="24"/>
          <w:szCs w:val="24"/>
        </w:rPr>
        <w:t>中华人民共和国主席令第</w:t>
      </w:r>
      <w:r>
        <w:rPr>
          <w:rFonts w:ascii="FangSong_GB2312" w:hAnsi="FangSong_GB2312" w:eastAsia="FangSong_GB2312" w:cs="FangSong_GB2312"/>
          <w:spacing w:val="-30"/>
          <w:sz w:val="24"/>
          <w:szCs w:val="24"/>
        </w:rPr>
        <w:t xml:space="preserve"> </w:t>
      </w:r>
      <w:r>
        <w:rPr>
          <w:rFonts w:ascii="Times New Roman" w:hAnsi="Times New Roman" w:eastAsia="Times New Roman" w:cs="Times New Roman"/>
          <w:spacing w:val="9"/>
          <w:sz w:val="24"/>
          <w:szCs w:val="24"/>
        </w:rPr>
        <w:t>9</w:t>
      </w:r>
      <w:r>
        <w:rPr>
          <w:rFonts w:ascii="Times New Roman" w:hAnsi="Times New Roman" w:eastAsia="Times New Roman" w:cs="Times New Roman"/>
          <w:spacing w:val="36"/>
          <w:sz w:val="24"/>
          <w:szCs w:val="24"/>
        </w:rPr>
        <w:t xml:space="preserve"> </w:t>
      </w:r>
      <w:r>
        <w:rPr>
          <w:rFonts w:ascii="FangSong_GB2312" w:hAnsi="FangSong_GB2312" w:eastAsia="FangSong_GB2312" w:cs="FangSong_GB2312"/>
          <w:spacing w:val="9"/>
          <w:sz w:val="24"/>
          <w:szCs w:val="24"/>
        </w:rPr>
        <w:t>号</w:t>
      </w:r>
      <w:r>
        <w:rPr>
          <w:rFonts w:ascii="FangSong_GB2312" w:hAnsi="FangSong_GB2312" w:eastAsia="FangSong_GB2312" w:cs="FangSong_GB2312"/>
          <w:spacing w:val="-68"/>
          <w:sz w:val="24"/>
          <w:szCs w:val="24"/>
        </w:rPr>
        <w:t xml:space="preserve"> </w:t>
      </w:r>
      <w:r>
        <w:rPr>
          <w:rFonts w:ascii="FangSong_GB2312" w:hAnsi="FangSong_GB2312" w:eastAsia="FangSong_GB2312" w:cs="FangSong_GB2312"/>
          <w:spacing w:val="9"/>
          <w:sz w:val="24"/>
          <w:szCs w:val="24"/>
        </w:rPr>
        <w:t>，</w:t>
      </w:r>
      <w:r>
        <w:rPr>
          <w:rFonts w:ascii="Times New Roman" w:hAnsi="Times New Roman" w:eastAsia="Times New Roman" w:cs="Times New Roman"/>
          <w:spacing w:val="9"/>
          <w:sz w:val="24"/>
          <w:szCs w:val="24"/>
        </w:rPr>
        <w:t>2014</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2"/>
          <w:sz w:val="24"/>
          <w:szCs w:val="24"/>
        </w:rPr>
        <w:t>月</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pacing w:val="-2"/>
          <w:sz w:val="24"/>
          <w:szCs w:val="24"/>
        </w:rPr>
        <w:t xml:space="preserve">24  </w:t>
      </w:r>
      <w:r>
        <w:rPr>
          <w:rFonts w:ascii="FangSong_GB2312" w:hAnsi="FangSong_GB2312" w:eastAsia="FangSong_GB2312" w:cs="FangSong_GB2312"/>
          <w:spacing w:val="-2"/>
          <w:sz w:val="24"/>
          <w:szCs w:val="24"/>
        </w:rPr>
        <w:t>日全国人大常委会修订通过，</w:t>
      </w:r>
      <w:r>
        <w:rPr>
          <w:rFonts w:ascii="Times New Roman" w:hAnsi="Times New Roman" w:eastAsia="Times New Roman" w:cs="Times New Roman"/>
          <w:spacing w:val="-2"/>
          <w:sz w:val="24"/>
          <w:szCs w:val="24"/>
        </w:rPr>
        <w:t>2015</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 xml:space="preserve">年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 xml:space="preserve">月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日起施行</w:t>
      </w:r>
      <w:r>
        <w:rPr>
          <w:rFonts w:ascii="FangSong_GB2312" w:hAnsi="FangSong_GB2312" w:eastAsia="FangSong_GB2312" w:cs="FangSong_GB2312"/>
          <w:spacing w:val="12"/>
          <w:sz w:val="24"/>
          <w:szCs w:val="24"/>
        </w:rPr>
        <w:t>）；</w:t>
      </w:r>
    </w:p>
    <w:p w14:paraId="7F477850">
      <w:pPr>
        <w:spacing w:before="188" w:line="318" w:lineRule="auto"/>
        <w:ind w:left="5384" w:right="39" w:hanging="4900"/>
        <w:rPr>
          <w:rFonts w:ascii="FangSong_GB2312" w:hAnsi="FangSong_GB2312" w:eastAsia="FangSong_GB2312" w:cs="FangSong_GB2312"/>
          <w:sz w:val="20"/>
          <w:szCs w:val="20"/>
        </w:rPr>
      </w:pPr>
      <w:r>
        <w:pict>
          <v:shape id="_x0000_s1031" o:spid="_x0000_s1031" o:spt="202" type="#_x0000_t202" style="position:absolute;left:0pt;margin-left:219.15pt;margin-top:34.8pt;height:10pt;width:6.1pt;z-index:251679744;mso-width-relative:page;mso-height-relative:page;" filled="f" stroked="f" coordsize="21600,21600">
            <v:path/>
            <v:fill on="f" focussize="0,0"/>
            <v:stroke on="f"/>
            <v:imagedata o:title=""/>
            <o:lock v:ext="edit" aspectratio="f"/>
            <v:textbox inset="0mm,0mm,0mm,0mm">
              <w:txbxContent>
                <w:p w14:paraId="2FC1BA33">
                  <w:pPr>
                    <w:spacing w:before="20" w:line="185"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xbxContent>
            </v:textbox>
          </v:shape>
        </w:pic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1"/>
          <w:sz w:val="24"/>
          <w:szCs w:val="24"/>
        </w:rPr>
        <w:t xml:space="preserve"> </w:t>
      </w:r>
      <w:r>
        <w:rPr>
          <w:rFonts w:ascii="FangSong_GB2312" w:hAnsi="FangSong_GB2312" w:eastAsia="FangSong_GB2312" w:cs="FangSong_GB2312"/>
          <w:spacing w:val="3"/>
          <w:sz w:val="24"/>
          <w:szCs w:val="24"/>
        </w:rPr>
        <w:t>、《四川省〈</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3"/>
          <w:sz w:val="24"/>
          <w:szCs w:val="24"/>
        </w:rPr>
        <w:t>中华人民共和国水土保持法〉实施办法》</w:t>
      </w:r>
      <w:r>
        <w:rPr>
          <w:rFonts w:ascii="FangSong_GB2312" w:hAnsi="FangSong_GB2312" w:eastAsia="FangSong_GB2312" w:cs="FangSong_GB2312"/>
          <w:spacing w:val="-94"/>
          <w:sz w:val="24"/>
          <w:szCs w:val="24"/>
        </w:rPr>
        <w:t xml:space="preserve"> </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2012</w:t>
      </w:r>
      <w:r>
        <w:rPr>
          <w:rFonts w:ascii="Times New Roman" w:hAnsi="Times New Roman" w:eastAsia="Times New Roman" w:cs="Times New Roman"/>
          <w:spacing w:val="24"/>
          <w:w w:val="101"/>
          <w:sz w:val="24"/>
          <w:szCs w:val="24"/>
        </w:rPr>
        <w:t xml:space="preserve">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31"/>
          <w:w w:val="101"/>
          <w:sz w:val="24"/>
          <w:szCs w:val="24"/>
        </w:rPr>
        <w:t xml:space="preserve"> </w:t>
      </w:r>
      <w:r>
        <w:rPr>
          <w:rFonts w:ascii="FangSong_GB2312" w:hAnsi="FangSong_GB2312" w:eastAsia="FangSong_GB2312" w:cs="FangSong_GB2312"/>
          <w:spacing w:val="3"/>
          <w:sz w:val="24"/>
          <w:szCs w:val="24"/>
        </w:rPr>
        <w:t>月</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pacing w:val="3"/>
          <w:sz w:val="24"/>
          <w:szCs w:val="24"/>
        </w:rPr>
        <w:t xml:space="preserve">21  </w:t>
      </w:r>
      <w:r>
        <w:rPr>
          <w:rFonts w:ascii="FangSong_GB2312" w:hAnsi="FangSong_GB2312" w:eastAsia="FangSong_GB2312" w:cs="FangSong_GB2312"/>
          <w:spacing w:val="3"/>
          <w:sz w:val="24"/>
          <w:szCs w:val="24"/>
        </w:rPr>
        <w:t>日</w:t>
      </w:r>
      <w:r>
        <w:rPr>
          <w:rFonts w:ascii="FangSong_GB2312" w:hAnsi="FangSong_GB2312" w:eastAsia="FangSong_GB2312" w:cs="FangSong_GB2312"/>
          <w:spacing w:val="8"/>
          <w:sz w:val="20"/>
          <w:szCs w:val="20"/>
        </w:rPr>
        <w:t>剑阁县绿森林业勘察设计有限公司</w:t>
      </w:r>
    </w:p>
    <w:p w14:paraId="0E882BBD">
      <w:pPr>
        <w:spacing w:line="318" w:lineRule="auto"/>
        <w:rPr>
          <w:rFonts w:ascii="FangSong_GB2312" w:hAnsi="FangSong_GB2312" w:eastAsia="FangSong_GB2312" w:cs="FangSong_GB2312"/>
          <w:sz w:val="20"/>
          <w:szCs w:val="20"/>
        </w:rPr>
        <w:sectPr>
          <w:headerReference r:id="rId23" w:type="default"/>
          <w:pgSz w:w="11906" w:h="16839"/>
          <w:pgMar w:top="1164" w:right="1486" w:bottom="400" w:left="1513" w:header="831" w:footer="0" w:gutter="0"/>
          <w:cols w:space="720" w:num="1"/>
        </w:sectPr>
      </w:pPr>
    </w:p>
    <w:p w14:paraId="601C1D1E">
      <w:pPr>
        <w:spacing w:before="197" w:line="360" w:lineRule="auto"/>
        <w:ind w:left="54" w:right="98" w:hanging="17"/>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四川省第十一届人民代表大会常务委员会第三十二次会议修订</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8"/>
          <w:sz w:val="24"/>
          <w:szCs w:val="24"/>
        </w:rPr>
        <w:t>，</w:t>
      </w:r>
      <w:r>
        <w:rPr>
          <w:rFonts w:ascii="Times New Roman" w:hAnsi="Times New Roman" w:eastAsia="Times New Roman" w:cs="Times New Roman"/>
          <w:spacing w:val="8"/>
          <w:sz w:val="24"/>
          <w:szCs w:val="24"/>
        </w:rPr>
        <w:t>2012</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8"/>
          <w:sz w:val="24"/>
          <w:szCs w:val="24"/>
        </w:rPr>
        <w:t xml:space="preserve">年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40"/>
          <w:w w:val="101"/>
          <w:sz w:val="24"/>
          <w:szCs w:val="24"/>
        </w:rPr>
        <w:t xml:space="preserve"> </w:t>
      </w:r>
      <w:r>
        <w:rPr>
          <w:rFonts w:ascii="FangSong_GB2312" w:hAnsi="FangSong_GB2312" w:eastAsia="FangSong_GB2312" w:cs="FangSong_GB2312"/>
          <w:spacing w:val="7"/>
          <w:sz w:val="24"/>
          <w:szCs w:val="24"/>
        </w:rPr>
        <w:t xml:space="preserve">月 </w:t>
      </w:r>
      <w:r>
        <w:rPr>
          <w:rFonts w:ascii="Times New Roman" w:hAnsi="Times New Roman" w:eastAsia="Times New Roman" w:cs="Times New Roman"/>
          <w:spacing w:val="7"/>
          <w:sz w:val="24"/>
          <w:szCs w:val="24"/>
        </w:rPr>
        <w:t>1</w:t>
      </w:r>
      <w:r>
        <w:rPr>
          <w:rFonts w:ascii="FangSong_GB2312" w:hAnsi="FangSong_GB2312" w:eastAsia="FangSong_GB2312" w:cs="FangSong_GB2312"/>
          <w:spacing w:val="-2"/>
          <w:sz w:val="24"/>
          <w:szCs w:val="24"/>
        </w:rPr>
        <w:t>日起施行）。</w:t>
      </w:r>
    </w:p>
    <w:p w14:paraId="7D318990">
      <w:pPr>
        <w:spacing w:before="4"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3"/>
          <w:sz w:val="28"/>
          <w:szCs w:val="28"/>
        </w:rPr>
        <w:t xml:space="preserve">1.2.2 </w:t>
      </w:r>
      <w:r>
        <w:rPr>
          <w:rFonts w:ascii="FangSong_GB2312" w:hAnsi="FangSong_GB2312" w:eastAsia="FangSong_GB2312" w:cs="FangSong_GB2312"/>
          <w:b/>
          <w:bCs/>
          <w:spacing w:val="-3"/>
          <w:sz w:val="28"/>
          <w:szCs w:val="28"/>
        </w:rPr>
        <w:t>部门规章</w:t>
      </w:r>
    </w:p>
    <w:p w14:paraId="560B9372">
      <w:pPr>
        <w:spacing w:before="211" w:line="287" w:lineRule="auto"/>
        <w:ind w:left="28" w:right="268" w:firstLine="480"/>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pacing w:val="-4"/>
          <w:sz w:val="24"/>
          <w:szCs w:val="24"/>
        </w:rPr>
        <w:t>、《生产建设项目水土保持方案管理办法》（水利部令第</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4"/>
          <w:sz w:val="24"/>
          <w:szCs w:val="24"/>
        </w:rPr>
        <w:t>53</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4"/>
          <w:sz w:val="24"/>
          <w:szCs w:val="24"/>
        </w:rPr>
        <w:t>号，</w:t>
      </w:r>
      <w:r>
        <w:rPr>
          <w:rFonts w:ascii="Times New Roman" w:hAnsi="Times New Roman" w:eastAsia="Times New Roman" w:cs="Times New Roman"/>
          <w:spacing w:val="-4"/>
          <w:sz w:val="24"/>
          <w:szCs w:val="24"/>
        </w:rPr>
        <w:t xml:space="preserve">2023 </w:t>
      </w:r>
      <w:r>
        <w:rPr>
          <w:rFonts w:ascii="FangSong_GB2312" w:hAnsi="FangSong_GB2312" w:eastAsia="FangSong_GB2312" w:cs="FangSong_GB2312"/>
          <w:spacing w:val="-4"/>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4"/>
          <w:sz w:val="24"/>
          <w:szCs w:val="24"/>
        </w:rPr>
        <w:t>月</w:t>
      </w:r>
      <w:r>
        <w:rPr>
          <w:rFonts w:ascii="Times New Roman" w:hAnsi="Times New Roman" w:eastAsia="Times New Roman" w:cs="Times New Roman"/>
          <w:spacing w:val="-11"/>
          <w:sz w:val="24"/>
          <w:szCs w:val="24"/>
        </w:rPr>
        <w:t xml:space="preserve">17  </w:t>
      </w:r>
      <w:r>
        <w:rPr>
          <w:rFonts w:ascii="FangSong_GB2312" w:hAnsi="FangSong_GB2312" w:eastAsia="FangSong_GB2312" w:cs="FangSong_GB2312"/>
          <w:spacing w:val="-11"/>
          <w:sz w:val="24"/>
          <w:szCs w:val="24"/>
        </w:rPr>
        <w:t>日，</w:t>
      </w:r>
      <w:r>
        <w:rPr>
          <w:rFonts w:ascii="Times New Roman" w:hAnsi="Times New Roman" w:eastAsia="Times New Roman" w:cs="Times New Roman"/>
          <w:spacing w:val="-11"/>
          <w:sz w:val="24"/>
          <w:szCs w:val="24"/>
        </w:rPr>
        <w:t>2023</w:t>
      </w:r>
      <w:r>
        <w:rPr>
          <w:rFonts w:ascii="Times New Roman" w:hAnsi="Times New Roman" w:eastAsia="Times New Roman" w:cs="Times New Roman"/>
          <w:spacing w:val="12"/>
          <w:sz w:val="24"/>
          <w:szCs w:val="24"/>
        </w:rPr>
        <w:t xml:space="preserve"> </w:t>
      </w:r>
      <w:r>
        <w:rPr>
          <w:rFonts w:ascii="FangSong_GB2312" w:hAnsi="FangSong_GB2312" w:eastAsia="FangSong_GB2312" w:cs="FangSong_GB2312"/>
          <w:spacing w:val="-11"/>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11"/>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1"/>
          <w:sz w:val="24"/>
          <w:szCs w:val="24"/>
        </w:rPr>
        <w:t xml:space="preserve">1  </w:t>
      </w:r>
      <w:r>
        <w:rPr>
          <w:rFonts w:ascii="FangSong_GB2312" w:hAnsi="FangSong_GB2312" w:eastAsia="FangSong_GB2312" w:cs="FangSong_GB2312"/>
          <w:spacing w:val="-11"/>
          <w:sz w:val="24"/>
          <w:szCs w:val="24"/>
        </w:rPr>
        <w:t>日起施行</w:t>
      </w:r>
      <w:r>
        <w:rPr>
          <w:rFonts w:ascii="FangSong_GB2312" w:hAnsi="FangSong_GB2312" w:eastAsia="FangSong_GB2312" w:cs="FangSong_GB2312"/>
          <w:sz w:val="24"/>
          <w:szCs w:val="24"/>
        </w:rPr>
        <w:t>）；</w:t>
      </w:r>
    </w:p>
    <w:p w14:paraId="380CF997">
      <w:pPr>
        <w:spacing w:before="186"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3"/>
          <w:sz w:val="24"/>
          <w:szCs w:val="24"/>
        </w:rPr>
        <w:t>、《企业投资项目核准暂行办法》（国家发展和改革委员会令第</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6"/>
          <w:sz w:val="24"/>
          <w:szCs w:val="24"/>
        </w:rPr>
        <w:t>）；</w:t>
      </w:r>
    </w:p>
    <w:p w14:paraId="31F658AC">
      <w:pPr>
        <w:spacing w:before="189"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pacing w:val="-3"/>
          <w:sz w:val="24"/>
          <w:szCs w:val="24"/>
        </w:rPr>
        <w:t>、《地质灾害防治管理办法》（国土资源部令第</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p>
    <w:p w14:paraId="29A4E735">
      <w:pPr>
        <w:spacing w:before="194" w:line="214"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5"/>
          <w:sz w:val="28"/>
          <w:szCs w:val="28"/>
        </w:rPr>
        <w:t>1.2.3</w:t>
      </w:r>
      <w:r>
        <w:rPr>
          <w:rFonts w:ascii="Times New Roman" w:hAnsi="Times New Roman" w:eastAsia="Times New Roman" w:cs="Times New Roman"/>
          <w:b/>
          <w:bCs/>
          <w:spacing w:val="18"/>
          <w:w w:val="101"/>
          <w:sz w:val="28"/>
          <w:szCs w:val="28"/>
        </w:rPr>
        <w:t xml:space="preserve"> </w:t>
      </w:r>
      <w:r>
        <w:rPr>
          <w:rFonts w:ascii="FangSong_GB2312" w:hAnsi="FangSong_GB2312" w:eastAsia="FangSong_GB2312" w:cs="FangSong_GB2312"/>
          <w:b/>
          <w:bCs/>
          <w:spacing w:val="-5"/>
          <w:sz w:val="28"/>
          <w:szCs w:val="28"/>
        </w:rPr>
        <w:t>规范性文件</w:t>
      </w:r>
    </w:p>
    <w:p w14:paraId="2373D4E7">
      <w:pPr>
        <w:spacing w:before="215" w:line="287" w:lineRule="auto"/>
        <w:ind w:left="12" w:right="93" w:firstLine="495"/>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2"/>
          <w:sz w:val="24"/>
          <w:szCs w:val="24"/>
        </w:rPr>
        <w:t>、《水利部办公厅关于印发生产建设项目</w:t>
      </w:r>
      <w:r>
        <w:rPr>
          <w:rFonts w:ascii="FangSong_GB2312" w:hAnsi="FangSong_GB2312" w:eastAsia="FangSong_GB2312" w:cs="FangSong_GB2312"/>
          <w:spacing w:val="1"/>
          <w:sz w:val="24"/>
          <w:szCs w:val="24"/>
        </w:rPr>
        <w:t>水土保持技术文件编写和印制格式规</w:t>
      </w:r>
      <w:r>
        <w:rPr>
          <w:rFonts w:ascii="FangSong_GB2312" w:hAnsi="FangSong_GB2312" w:eastAsia="FangSong_GB2312" w:cs="FangSong_GB2312"/>
          <w:spacing w:val="-4"/>
          <w:sz w:val="24"/>
          <w:szCs w:val="24"/>
        </w:rPr>
        <w:t>定（试行）的通知》（办水保〔</w:t>
      </w:r>
      <w:r>
        <w:rPr>
          <w:rFonts w:ascii="Times New Roman" w:hAnsi="Times New Roman" w:eastAsia="Times New Roman" w:cs="Times New Roman"/>
          <w:spacing w:val="-4"/>
          <w:sz w:val="24"/>
          <w:szCs w:val="24"/>
        </w:rPr>
        <w:t>2018</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135</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4"/>
          <w:sz w:val="24"/>
          <w:szCs w:val="24"/>
        </w:rPr>
        <w:t>号，</w:t>
      </w:r>
      <w:r>
        <w:rPr>
          <w:rFonts w:ascii="Times New Roman" w:hAnsi="Times New Roman" w:eastAsia="Times New Roman" w:cs="Times New Roman"/>
          <w:spacing w:val="-4"/>
          <w:sz w:val="24"/>
          <w:szCs w:val="24"/>
        </w:rPr>
        <w:t xml:space="preserve">2018 </w:t>
      </w:r>
      <w:r>
        <w:rPr>
          <w:rFonts w:ascii="FangSong_GB2312" w:hAnsi="FangSong_GB2312" w:eastAsia="FangSong_GB2312" w:cs="FangSong_GB2312"/>
          <w:spacing w:val="-4"/>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4"/>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2  </w:t>
      </w:r>
      <w:r>
        <w:rPr>
          <w:rFonts w:ascii="FangSong_GB2312" w:hAnsi="FangSong_GB2312" w:eastAsia="FangSong_GB2312" w:cs="FangSong_GB2312"/>
          <w:spacing w:val="-5"/>
          <w:sz w:val="24"/>
          <w:szCs w:val="24"/>
        </w:rPr>
        <w:t>日</w:t>
      </w:r>
      <w:r>
        <w:rPr>
          <w:rFonts w:ascii="FangSong_GB2312" w:hAnsi="FangSong_GB2312" w:eastAsia="FangSong_GB2312" w:cs="FangSong_GB2312"/>
          <w:sz w:val="24"/>
          <w:szCs w:val="24"/>
        </w:rPr>
        <w:t>）；</w:t>
      </w:r>
    </w:p>
    <w:p w14:paraId="34BE0891">
      <w:pPr>
        <w:spacing w:before="187" w:line="287" w:lineRule="auto"/>
        <w:ind w:left="8" w:right="93" w:firstLine="476"/>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2"/>
          <w:sz w:val="24"/>
          <w:szCs w:val="24"/>
        </w:rPr>
        <w:t>、《水利部办公厅关于印发生产建设项目水土保持方案审查要点的通知》（办</w:t>
      </w:r>
      <w:r>
        <w:rPr>
          <w:rFonts w:ascii="FangSong_GB2312" w:hAnsi="FangSong_GB2312" w:eastAsia="FangSong_GB2312" w:cs="FangSong_GB2312"/>
          <w:spacing w:val="-5"/>
          <w:sz w:val="24"/>
          <w:szCs w:val="24"/>
        </w:rPr>
        <w:t>水保〔</w:t>
      </w:r>
      <w:r>
        <w:rPr>
          <w:rFonts w:ascii="Times New Roman" w:hAnsi="Times New Roman" w:eastAsia="Times New Roman" w:cs="Times New Roman"/>
          <w:spacing w:val="-5"/>
          <w:sz w:val="24"/>
          <w:szCs w:val="24"/>
        </w:rPr>
        <w:t>2023</w:t>
      </w:r>
      <w:r>
        <w:rPr>
          <w:rFonts w:ascii="FangSong_GB2312" w:hAnsi="FangSong_GB2312" w:eastAsia="FangSong_GB2312" w:cs="FangSong_GB2312"/>
          <w:spacing w:val="-5"/>
          <w:sz w:val="24"/>
          <w:szCs w:val="24"/>
        </w:rPr>
        <w:t>〕</w:t>
      </w:r>
      <w:r>
        <w:rPr>
          <w:rFonts w:ascii="Times New Roman" w:hAnsi="Times New Roman" w:eastAsia="Times New Roman" w:cs="Times New Roman"/>
          <w:spacing w:val="-5"/>
          <w:sz w:val="24"/>
          <w:szCs w:val="24"/>
        </w:rPr>
        <w:t>177</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5"/>
          <w:sz w:val="24"/>
          <w:szCs w:val="24"/>
        </w:rPr>
        <w:t>号，</w:t>
      </w:r>
      <w:r>
        <w:rPr>
          <w:rFonts w:ascii="Times New Roman" w:hAnsi="Times New Roman" w:eastAsia="Times New Roman" w:cs="Times New Roman"/>
          <w:spacing w:val="-5"/>
          <w:sz w:val="24"/>
          <w:szCs w:val="24"/>
        </w:rPr>
        <w:t xml:space="preserve">2023 </w:t>
      </w:r>
      <w:r>
        <w:rPr>
          <w:rFonts w:ascii="FangSong_GB2312" w:hAnsi="FangSong_GB2312" w:eastAsia="FangSong_GB2312" w:cs="FangSong_GB2312"/>
          <w:spacing w:val="-5"/>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5"/>
          <w:sz w:val="24"/>
          <w:szCs w:val="24"/>
        </w:rPr>
        <w:t>月</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5"/>
          <w:sz w:val="24"/>
          <w:szCs w:val="24"/>
        </w:rPr>
        <w:t xml:space="preserve">4  </w:t>
      </w:r>
      <w:r>
        <w:rPr>
          <w:rFonts w:ascii="FangSong_GB2312" w:hAnsi="FangSong_GB2312" w:eastAsia="FangSong_GB2312" w:cs="FangSong_GB2312"/>
          <w:spacing w:val="-5"/>
          <w:sz w:val="24"/>
          <w:szCs w:val="24"/>
        </w:rPr>
        <w:t>日</w:t>
      </w:r>
      <w:r>
        <w:rPr>
          <w:rFonts w:ascii="FangSong_GB2312" w:hAnsi="FangSong_GB2312" w:eastAsia="FangSong_GB2312" w:cs="FangSong_GB2312"/>
          <w:sz w:val="24"/>
          <w:szCs w:val="24"/>
        </w:rPr>
        <w:t>）；</w:t>
      </w:r>
    </w:p>
    <w:p w14:paraId="05A78F65">
      <w:pPr>
        <w:spacing w:before="187" w:line="287" w:lineRule="auto"/>
        <w:ind w:left="12" w:right="93" w:firstLine="477"/>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、《水利部办公厅关于生产建设项目水土保持方案管理工作有关衔接事项的通</w:t>
      </w:r>
      <w:r>
        <w:rPr>
          <w:rFonts w:ascii="FangSong_GB2312" w:hAnsi="FangSong_GB2312" w:eastAsia="FangSong_GB2312" w:cs="FangSong_GB2312"/>
          <w:spacing w:val="-2"/>
          <w:sz w:val="24"/>
          <w:szCs w:val="24"/>
        </w:rPr>
        <w:t>知》（办水保函〔</w:t>
      </w:r>
      <w:r>
        <w:rPr>
          <w:rFonts w:ascii="Times New Roman" w:hAnsi="Times New Roman" w:eastAsia="Times New Roman" w:cs="Times New Roman"/>
          <w:spacing w:val="-2"/>
          <w:sz w:val="24"/>
          <w:szCs w:val="24"/>
        </w:rPr>
        <w:t>2023</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109</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z w:val="24"/>
          <w:szCs w:val="24"/>
        </w:rPr>
        <w:t>）；</w:t>
      </w:r>
    </w:p>
    <w:p w14:paraId="1C199C02">
      <w:pPr>
        <w:spacing w:before="188" w:line="287" w:lineRule="auto"/>
        <w:ind w:left="6" w:right="93" w:firstLine="477"/>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、水利部办公厅关于进一步加强生产建设项目水土保持监测工作的通知（办水</w:t>
      </w:r>
      <w:r>
        <w:rPr>
          <w:rFonts w:ascii="FangSong_GB2312" w:hAnsi="FangSong_GB2312" w:eastAsia="FangSong_GB2312" w:cs="FangSong_GB2312"/>
          <w:spacing w:val="-3"/>
          <w:sz w:val="24"/>
          <w:szCs w:val="24"/>
        </w:rPr>
        <w:t>保〔</w:t>
      </w:r>
      <w:r>
        <w:rPr>
          <w:rFonts w:ascii="Times New Roman" w:hAnsi="Times New Roman" w:eastAsia="Times New Roman" w:cs="Times New Roman"/>
          <w:spacing w:val="-3"/>
          <w:sz w:val="24"/>
          <w:szCs w:val="24"/>
        </w:rPr>
        <w:t>2020</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161</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2"/>
          <w:sz w:val="24"/>
          <w:szCs w:val="24"/>
        </w:rPr>
        <w:t>）；</w:t>
      </w:r>
    </w:p>
    <w:p w14:paraId="29C05993">
      <w:pPr>
        <w:spacing w:before="187" w:line="287" w:lineRule="auto"/>
        <w:ind w:left="5" w:right="91" w:firstLine="486"/>
        <w:rPr>
          <w:rFonts w:ascii="FangSong_GB2312" w:hAnsi="FangSong_GB2312" w:eastAsia="FangSong_GB2312" w:cs="FangSong_GB2312"/>
          <w:sz w:val="24"/>
          <w:szCs w:val="24"/>
        </w:rPr>
      </w:pPr>
      <w:r>
        <w:rPr>
          <w:rFonts w:ascii="Times New Roman" w:hAnsi="Times New Roman" w:eastAsia="Times New Roman" w:cs="Times New Roman"/>
          <w:spacing w:val="9"/>
          <w:sz w:val="24"/>
          <w:szCs w:val="24"/>
        </w:rPr>
        <w:t>5</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9"/>
          <w:sz w:val="24"/>
          <w:szCs w:val="24"/>
        </w:rPr>
        <w:t>、水利部办公厅关于做好生产建设项目水土保持承诺制管理的通知（办水保</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2020</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160</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2"/>
          <w:sz w:val="24"/>
          <w:szCs w:val="24"/>
        </w:rPr>
        <w:t>）；</w:t>
      </w:r>
    </w:p>
    <w:p w14:paraId="0CDD1A3A">
      <w:pPr>
        <w:spacing w:before="190" w:line="286" w:lineRule="auto"/>
        <w:ind w:left="5" w:right="91" w:firstLine="485"/>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6</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pacing w:val="-4"/>
          <w:sz w:val="24"/>
          <w:szCs w:val="24"/>
        </w:rPr>
        <w:t>、《水利部关于进一步深化</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放管服</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改革全面加强水土保持监管的意见》（水保</w:t>
      </w:r>
      <w:r>
        <w:rPr>
          <w:rFonts w:ascii="FangSong_GB2312" w:hAnsi="FangSong_GB2312" w:eastAsia="FangSong_GB2312" w:cs="FangSong_GB2312"/>
          <w:spacing w:val="-6"/>
          <w:sz w:val="24"/>
          <w:szCs w:val="24"/>
        </w:rPr>
        <w:t>〔</w:t>
      </w:r>
      <w:r>
        <w:rPr>
          <w:rFonts w:ascii="Times New Roman" w:hAnsi="Times New Roman" w:eastAsia="Times New Roman" w:cs="Times New Roman"/>
          <w:spacing w:val="-6"/>
          <w:sz w:val="24"/>
          <w:szCs w:val="24"/>
        </w:rPr>
        <w:t>2019</w:t>
      </w:r>
      <w:r>
        <w:rPr>
          <w:rFonts w:ascii="FangSong_GB2312" w:hAnsi="FangSong_GB2312" w:eastAsia="FangSong_GB2312" w:cs="FangSong_GB2312"/>
          <w:spacing w:val="-6"/>
          <w:sz w:val="24"/>
          <w:szCs w:val="24"/>
        </w:rPr>
        <w:t>〕</w:t>
      </w:r>
      <w:r>
        <w:rPr>
          <w:rFonts w:ascii="Times New Roman" w:hAnsi="Times New Roman" w:eastAsia="Times New Roman" w:cs="Times New Roman"/>
          <w:spacing w:val="-6"/>
          <w:sz w:val="24"/>
          <w:szCs w:val="24"/>
        </w:rPr>
        <w:t>160</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6"/>
          <w:sz w:val="24"/>
          <w:szCs w:val="24"/>
        </w:rPr>
        <w:t>号，</w:t>
      </w:r>
      <w:r>
        <w:rPr>
          <w:rFonts w:ascii="Times New Roman" w:hAnsi="Times New Roman" w:eastAsia="Times New Roman" w:cs="Times New Roman"/>
          <w:spacing w:val="-6"/>
          <w:sz w:val="24"/>
          <w:szCs w:val="24"/>
        </w:rPr>
        <w:t xml:space="preserve">2019 </w:t>
      </w:r>
      <w:r>
        <w:rPr>
          <w:rFonts w:ascii="FangSong_GB2312" w:hAnsi="FangSong_GB2312" w:eastAsia="FangSong_GB2312" w:cs="FangSong_GB2312"/>
          <w:spacing w:val="-6"/>
          <w:sz w:val="24"/>
          <w:szCs w:val="24"/>
        </w:rPr>
        <w:t>年</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6"/>
          <w:sz w:val="24"/>
          <w:szCs w:val="24"/>
        </w:rPr>
        <w:t>月</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6"/>
          <w:sz w:val="24"/>
          <w:szCs w:val="24"/>
        </w:rPr>
        <w:t xml:space="preserve">31  </w:t>
      </w:r>
      <w:r>
        <w:rPr>
          <w:rFonts w:ascii="FangSong_GB2312" w:hAnsi="FangSong_GB2312" w:eastAsia="FangSong_GB2312" w:cs="FangSong_GB2312"/>
          <w:spacing w:val="-6"/>
          <w:sz w:val="24"/>
          <w:szCs w:val="24"/>
        </w:rPr>
        <w:t>日</w:t>
      </w:r>
      <w:r>
        <w:rPr>
          <w:rFonts w:ascii="FangSong_GB2312" w:hAnsi="FangSong_GB2312" w:eastAsia="FangSong_GB2312" w:cs="FangSong_GB2312"/>
          <w:spacing w:val="7"/>
          <w:sz w:val="24"/>
          <w:szCs w:val="24"/>
        </w:rPr>
        <w:t>）；</w:t>
      </w:r>
    </w:p>
    <w:p w14:paraId="133F39C3">
      <w:pPr>
        <w:spacing w:before="190" w:line="286" w:lineRule="auto"/>
        <w:ind w:left="15" w:right="93" w:firstLine="473"/>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、《水利部办公厅关于进一步加强生产建设项目水土保持方案技术评审工作的</w:t>
      </w:r>
      <w:r>
        <w:rPr>
          <w:rFonts w:ascii="FangSong_GB2312" w:hAnsi="FangSong_GB2312" w:eastAsia="FangSong_GB2312" w:cs="FangSong_GB2312"/>
          <w:spacing w:val="-3"/>
          <w:sz w:val="24"/>
          <w:szCs w:val="24"/>
        </w:rPr>
        <w:t>通知》（办水保〔</w:t>
      </w:r>
      <w:r>
        <w:rPr>
          <w:rFonts w:ascii="Times New Roman" w:hAnsi="Times New Roman" w:eastAsia="Times New Roman" w:cs="Times New Roman"/>
          <w:spacing w:val="-3"/>
          <w:sz w:val="24"/>
          <w:szCs w:val="24"/>
        </w:rPr>
        <w:t>2016</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123</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7"/>
          <w:sz w:val="24"/>
          <w:szCs w:val="24"/>
        </w:rPr>
        <w:t>）；</w:t>
      </w:r>
    </w:p>
    <w:p w14:paraId="46AF12B9">
      <w:pPr>
        <w:spacing w:before="188" w:line="287" w:lineRule="auto"/>
        <w:ind w:left="5" w:firstLine="489"/>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、《水利部办公厅关于实施生产建设项目水土保持信</w:t>
      </w:r>
      <w:r>
        <w:rPr>
          <w:rFonts w:ascii="FangSong_GB2312" w:hAnsi="FangSong_GB2312" w:eastAsia="FangSong_GB2312" w:cs="FangSong_GB2312"/>
          <w:spacing w:val="-2"/>
          <w:sz w:val="24"/>
          <w:szCs w:val="24"/>
        </w:rPr>
        <w:t>用监管</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两单</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制度的通知》</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
          <w:sz w:val="24"/>
          <w:szCs w:val="24"/>
        </w:rPr>
        <w:t>（办水保〔</w:t>
      </w:r>
      <w:r>
        <w:rPr>
          <w:rFonts w:ascii="Times New Roman" w:hAnsi="Times New Roman" w:eastAsia="Times New Roman" w:cs="Times New Roman"/>
          <w:spacing w:val="-2"/>
          <w:sz w:val="24"/>
          <w:szCs w:val="24"/>
        </w:rPr>
        <w:t>2020</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157</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pacing w:val="1"/>
          <w:sz w:val="24"/>
          <w:szCs w:val="24"/>
        </w:rPr>
        <w:t>）；</w:t>
      </w:r>
    </w:p>
    <w:p w14:paraId="464B0776">
      <w:pPr>
        <w:spacing w:before="190" w:line="286" w:lineRule="auto"/>
        <w:ind w:left="6" w:right="93" w:firstLine="483"/>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9</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、《水利部办公厅关于进一步加强部批项目水土保持监管工作的通知》（办水</w:t>
      </w:r>
      <w:r>
        <w:rPr>
          <w:rFonts w:ascii="FangSong_GB2312" w:hAnsi="FangSong_GB2312" w:eastAsia="FangSong_GB2312" w:cs="FangSong_GB2312"/>
          <w:spacing w:val="-3"/>
          <w:sz w:val="24"/>
          <w:szCs w:val="24"/>
        </w:rPr>
        <w:t>保〔</w:t>
      </w:r>
      <w:r>
        <w:rPr>
          <w:rFonts w:ascii="Times New Roman" w:hAnsi="Times New Roman" w:eastAsia="Times New Roman" w:cs="Times New Roman"/>
          <w:spacing w:val="-3"/>
          <w:sz w:val="24"/>
          <w:szCs w:val="24"/>
        </w:rPr>
        <w:t>2024</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57</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1"/>
          <w:sz w:val="24"/>
          <w:szCs w:val="24"/>
        </w:rPr>
        <w:t>）；</w:t>
      </w:r>
    </w:p>
    <w:p w14:paraId="4FCD93A5">
      <w:pPr>
        <w:spacing w:before="189"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10</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、《水利部关于实施水土保持信用评价的意见》（水保〔</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359</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z w:val="24"/>
          <w:szCs w:val="24"/>
        </w:rPr>
        <w:t>）；</w:t>
      </w:r>
    </w:p>
    <w:p w14:paraId="7F46F901">
      <w:pPr>
        <w:spacing w:before="188" w:line="287" w:lineRule="auto"/>
        <w:ind w:left="10" w:right="183" w:firstLine="498"/>
        <w:rPr>
          <w:rFonts w:ascii="FangSong_GB2312" w:hAnsi="FangSong_GB2312" w:eastAsia="FangSong_GB2312" w:cs="FangSong_GB2312"/>
          <w:sz w:val="24"/>
          <w:szCs w:val="24"/>
        </w:rPr>
      </w:pPr>
      <w:r>
        <w:rPr>
          <w:rFonts w:ascii="Times New Roman" w:hAnsi="Times New Roman" w:eastAsia="Times New Roman" w:cs="Times New Roman"/>
          <w:spacing w:val="-12"/>
          <w:sz w:val="24"/>
          <w:szCs w:val="24"/>
        </w:rPr>
        <w:t>11</w:t>
      </w:r>
      <w:r>
        <w:rPr>
          <w:rFonts w:ascii="FangSong_GB2312" w:hAnsi="FangSong_GB2312" w:eastAsia="FangSong_GB2312" w:cs="FangSong_GB2312"/>
          <w:spacing w:val="-12"/>
          <w:sz w:val="24"/>
          <w:szCs w:val="24"/>
        </w:rPr>
        <w:t>、《水利部办公厅关于印发</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12"/>
          <w:sz w:val="24"/>
          <w:szCs w:val="24"/>
        </w:rPr>
        <w:t>2025</w:t>
      </w:r>
      <w:r>
        <w:rPr>
          <w:rFonts w:ascii="Times New Roman" w:hAnsi="Times New Roman" w:eastAsia="Times New Roman" w:cs="Times New Roman"/>
          <w:spacing w:val="13"/>
          <w:sz w:val="24"/>
          <w:szCs w:val="24"/>
        </w:rPr>
        <w:t xml:space="preserve"> </w:t>
      </w:r>
      <w:r>
        <w:rPr>
          <w:rFonts w:ascii="FangSong_GB2312" w:hAnsi="FangSong_GB2312" w:eastAsia="FangSong_GB2312" w:cs="FangSong_GB2312"/>
          <w:spacing w:val="-12"/>
          <w:sz w:val="24"/>
          <w:szCs w:val="24"/>
        </w:rPr>
        <w:t>年水土保持工作要点的通知》</w:t>
      </w:r>
      <w:r>
        <w:rPr>
          <w:rFonts w:ascii="FangSong_GB2312" w:hAnsi="FangSong_GB2312" w:eastAsia="FangSong_GB2312" w:cs="FangSong_GB2312"/>
          <w:spacing w:val="-13"/>
          <w:sz w:val="24"/>
          <w:szCs w:val="24"/>
        </w:rPr>
        <w:t>（办水保〔</w:t>
      </w:r>
      <w:r>
        <w:rPr>
          <w:rFonts w:ascii="Times New Roman" w:hAnsi="Times New Roman" w:eastAsia="Times New Roman" w:cs="Times New Roman"/>
          <w:spacing w:val="-13"/>
          <w:sz w:val="24"/>
          <w:szCs w:val="24"/>
        </w:rPr>
        <w:t>2025</w:t>
      </w:r>
      <w:r>
        <w:rPr>
          <w:rFonts w:ascii="FangSong_GB2312" w:hAnsi="FangSong_GB2312" w:eastAsia="FangSong_GB2312" w:cs="FangSong_GB2312"/>
          <w:spacing w:val="-13"/>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10"/>
          <w:sz w:val="24"/>
          <w:szCs w:val="24"/>
        </w:rPr>
        <w:t>38</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10"/>
          <w:sz w:val="24"/>
          <w:szCs w:val="24"/>
        </w:rPr>
        <w:t>号</w:t>
      </w:r>
      <w:r>
        <w:rPr>
          <w:rFonts w:ascii="FangSong_GB2312" w:hAnsi="FangSong_GB2312" w:eastAsia="FangSong_GB2312" w:cs="FangSong_GB2312"/>
          <w:sz w:val="24"/>
          <w:szCs w:val="24"/>
        </w:rPr>
        <w:t>）；</w:t>
      </w:r>
    </w:p>
    <w:p w14:paraId="6B0BEC37">
      <w:pPr>
        <w:spacing w:before="190" w:line="333" w:lineRule="auto"/>
        <w:ind w:left="5384" w:right="453" w:hanging="4876"/>
        <w:rPr>
          <w:rFonts w:ascii="FangSong_GB2312" w:hAnsi="FangSong_GB2312" w:eastAsia="FangSong_GB2312" w:cs="FangSong_GB2312"/>
          <w:sz w:val="20"/>
          <w:szCs w:val="20"/>
        </w:rPr>
      </w:pPr>
      <w:r>
        <w:pict>
          <v:shape id="_x0000_s1032" o:spid="_x0000_s1032" o:spt="202" type="#_x0000_t202" style="position:absolute;left:0pt;margin-left:219.1pt;margin-top:36.55pt;height:10.15pt;width:6.15pt;z-index:251681792;mso-width-relative:page;mso-height-relative:page;" filled="f" stroked="f" coordsize="21600,21600">
            <v:path/>
            <v:fill on="f" focussize="0,0"/>
            <v:stroke on="f"/>
            <v:imagedata o:title=""/>
            <o:lock v:ext="edit" aspectratio="f"/>
            <v:textbox inset="0mm,0mm,0mm,0mm">
              <w:txbxContent>
                <w:p w14:paraId="7E3DD50F">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xbxContent>
            </v:textbox>
          </v:shape>
        </w:pic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2"/>
          <w:sz w:val="24"/>
          <w:szCs w:val="24"/>
        </w:rPr>
        <w:t>、《水利部关于实施水土保持信用评价的意见》（水保〔</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359</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33"/>
          <w:sz w:val="24"/>
          <w:szCs w:val="24"/>
        </w:rPr>
        <w:t>）；</w:t>
      </w:r>
      <w:r>
        <w:rPr>
          <w:rFonts w:ascii="FangSong_GB2312" w:hAnsi="FangSong_GB2312" w:eastAsia="FangSong_GB2312" w:cs="FangSong_GB2312"/>
          <w:spacing w:val="8"/>
          <w:sz w:val="20"/>
          <w:szCs w:val="20"/>
        </w:rPr>
        <w:t>剑阁县绿森林业勘察设计有限公司</w:t>
      </w:r>
    </w:p>
    <w:p w14:paraId="1065E863">
      <w:pPr>
        <w:spacing w:line="333" w:lineRule="auto"/>
        <w:rPr>
          <w:rFonts w:ascii="FangSong_GB2312" w:hAnsi="FangSong_GB2312" w:eastAsia="FangSong_GB2312" w:cs="FangSong_GB2312"/>
          <w:sz w:val="20"/>
          <w:szCs w:val="20"/>
        </w:rPr>
        <w:sectPr>
          <w:headerReference r:id="rId24" w:type="default"/>
          <w:pgSz w:w="11906" w:h="16839"/>
          <w:pgMar w:top="1164" w:right="1422" w:bottom="400" w:left="1513" w:header="831" w:footer="0" w:gutter="0"/>
          <w:cols w:space="720" w:num="1"/>
        </w:sectPr>
      </w:pPr>
    </w:p>
    <w:p w14:paraId="0F1B8D2F">
      <w:pPr>
        <w:spacing w:before="198" w:line="358" w:lineRule="auto"/>
        <w:ind w:left="6" w:right="267" w:firstLine="501"/>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13</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1"/>
          <w:sz w:val="24"/>
          <w:szCs w:val="24"/>
        </w:rPr>
        <w:t>、水土保持司《关于印发相关规划水土保持内容编制技术要点的通知》（水</w:t>
      </w:r>
      <w:r>
        <w:rPr>
          <w:rFonts w:ascii="FangSong_GB2312" w:hAnsi="FangSong_GB2312" w:eastAsia="FangSong_GB2312" w:cs="FangSong_GB2312"/>
          <w:spacing w:val="-3"/>
          <w:sz w:val="24"/>
          <w:szCs w:val="24"/>
        </w:rPr>
        <w:t>保监督〔</w:t>
      </w:r>
      <w:r>
        <w:rPr>
          <w:rFonts w:ascii="Times New Roman" w:hAnsi="Times New Roman" w:eastAsia="Times New Roman" w:cs="Times New Roman"/>
          <w:spacing w:val="-3"/>
          <w:sz w:val="24"/>
          <w:szCs w:val="24"/>
        </w:rPr>
        <w:t>2023</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34</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4"/>
          <w:sz w:val="24"/>
          <w:szCs w:val="24"/>
        </w:rPr>
        <w:t>）；</w:t>
      </w:r>
    </w:p>
    <w:p w14:paraId="723276BB">
      <w:pPr>
        <w:spacing w:before="7"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3"/>
          <w:sz w:val="28"/>
          <w:szCs w:val="28"/>
        </w:rPr>
        <w:t xml:space="preserve">1.2.4 </w:t>
      </w:r>
      <w:r>
        <w:rPr>
          <w:rFonts w:ascii="FangSong_GB2312" w:hAnsi="FangSong_GB2312" w:eastAsia="FangSong_GB2312" w:cs="FangSong_GB2312"/>
          <w:b/>
          <w:bCs/>
          <w:spacing w:val="-3"/>
          <w:sz w:val="28"/>
          <w:szCs w:val="28"/>
        </w:rPr>
        <w:t>技术标准</w:t>
      </w:r>
    </w:p>
    <w:p w14:paraId="62E02EAA">
      <w:pPr>
        <w:spacing w:before="211"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2"/>
          <w:sz w:val="24"/>
          <w:szCs w:val="24"/>
        </w:rPr>
        <w:t>、《生产建设项目水土保持技术标准》（</w:t>
      </w:r>
      <w:r>
        <w:rPr>
          <w:rFonts w:ascii="Times New Roman" w:hAnsi="Times New Roman" w:eastAsia="Times New Roman" w:cs="Times New Roman"/>
          <w:spacing w:val="-2"/>
          <w:sz w:val="24"/>
          <w:szCs w:val="24"/>
        </w:rPr>
        <w:t>GB 50433-2018</w:t>
      </w:r>
      <w:r>
        <w:rPr>
          <w:rFonts w:ascii="FangSong_GB2312" w:hAnsi="FangSong_GB2312" w:eastAsia="FangSong_GB2312" w:cs="FangSong_GB2312"/>
          <w:spacing w:val="2"/>
          <w:sz w:val="24"/>
          <w:szCs w:val="24"/>
        </w:rPr>
        <w:t>）；</w:t>
      </w:r>
    </w:p>
    <w:p w14:paraId="17505FD5">
      <w:pPr>
        <w:spacing w:before="189"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、《生产建设项目水土流失防治标准》（</w:t>
      </w:r>
      <w:r>
        <w:rPr>
          <w:rFonts w:ascii="Times New Roman" w:hAnsi="Times New Roman" w:eastAsia="Times New Roman" w:cs="Times New Roman"/>
          <w:spacing w:val="-1"/>
          <w:sz w:val="24"/>
          <w:szCs w:val="24"/>
        </w:rPr>
        <w:t>GB/T 504</w:t>
      </w:r>
      <w:r>
        <w:rPr>
          <w:rFonts w:ascii="Times New Roman" w:hAnsi="Times New Roman" w:eastAsia="Times New Roman" w:cs="Times New Roman"/>
          <w:spacing w:val="-2"/>
          <w:sz w:val="24"/>
          <w:szCs w:val="24"/>
        </w:rPr>
        <w:t>34-2018</w:t>
      </w:r>
      <w:r>
        <w:rPr>
          <w:rFonts w:ascii="FangSong_GB2312" w:hAnsi="FangSong_GB2312" w:eastAsia="FangSong_GB2312" w:cs="FangSong_GB2312"/>
          <w:sz w:val="24"/>
          <w:szCs w:val="24"/>
        </w:rPr>
        <w:t>）；</w:t>
      </w:r>
    </w:p>
    <w:p w14:paraId="56AA3DD2">
      <w:pPr>
        <w:spacing w:before="187"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、《生产建设项目水土保持监测与评价标准》（</w:t>
      </w:r>
      <w:r>
        <w:rPr>
          <w:rFonts w:ascii="Times New Roman" w:hAnsi="Times New Roman" w:eastAsia="Times New Roman" w:cs="Times New Roman"/>
          <w:spacing w:val="-1"/>
          <w:sz w:val="24"/>
          <w:szCs w:val="24"/>
        </w:rPr>
        <w:t>GB/T 51</w:t>
      </w:r>
      <w:r>
        <w:rPr>
          <w:rFonts w:ascii="Times New Roman" w:hAnsi="Times New Roman" w:eastAsia="Times New Roman" w:cs="Times New Roman"/>
          <w:spacing w:val="-2"/>
          <w:sz w:val="24"/>
          <w:szCs w:val="24"/>
        </w:rPr>
        <w:t>240-2018</w:t>
      </w:r>
      <w:r>
        <w:rPr>
          <w:rFonts w:ascii="FangSong_GB2312" w:hAnsi="FangSong_GB2312" w:eastAsia="FangSong_GB2312" w:cs="FangSong_GB2312"/>
          <w:sz w:val="24"/>
          <w:szCs w:val="24"/>
        </w:rPr>
        <w:t>）；</w:t>
      </w:r>
    </w:p>
    <w:p w14:paraId="3C68270D">
      <w:pPr>
        <w:spacing w:before="191" w:line="214" w:lineRule="auto"/>
        <w:ind w:left="484"/>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、《水土保持工程调查与勘测标准》（</w:t>
      </w:r>
      <w:r>
        <w:rPr>
          <w:rFonts w:ascii="Times New Roman" w:hAnsi="Times New Roman" w:eastAsia="Times New Roman" w:cs="Times New Roman"/>
          <w:spacing w:val="-1"/>
          <w:sz w:val="24"/>
          <w:szCs w:val="24"/>
        </w:rPr>
        <w:t>GB/T 5129</w:t>
      </w:r>
      <w:r>
        <w:rPr>
          <w:rFonts w:ascii="Times New Roman" w:hAnsi="Times New Roman" w:eastAsia="Times New Roman" w:cs="Times New Roman"/>
          <w:spacing w:val="-2"/>
          <w:sz w:val="24"/>
          <w:szCs w:val="24"/>
        </w:rPr>
        <w:t>7-2018</w:t>
      </w:r>
      <w:r>
        <w:rPr>
          <w:rFonts w:ascii="FangSong_GB2312" w:hAnsi="FangSong_GB2312" w:eastAsia="FangSong_GB2312" w:cs="FangSong_GB2312"/>
          <w:sz w:val="24"/>
          <w:szCs w:val="24"/>
        </w:rPr>
        <w:t>）；</w:t>
      </w:r>
    </w:p>
    <w:p w14:paraId="6BFAF896">
      <w:pPr>
        <w:spacing w:before="187" w:line="214" w:lineRule="auto"/>
        <w:ind w:left="491"/>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、《生产建设项目土壤流失量测算导则》（</w:t>
      </w:r>
      <w:r>
        <w:rPr>
          <w:rFonts w:ascii="Times New Roman" w:hAnsi="Times New Roman" w:eastAsia="Times New Roman" w:cs="Times New Roman"/>
          <w:spacing w:val="-2"/>
          <w:sz w:val="24"/>
          <w:szCs w:val="24"/>
        </w:rPr>
        <w:t>SL 773-2018</w:t>
      </w:r>
      <w:r>
        <w:rPr>
          <w:rFonts w:ascii="FangSong_GB2312" w:hAnsi="FangSong_GB2312" w:eastAsia="FangSong_GB2312" w:cs="FangSong_GB2312"/>
          <w:spacing w:val="5"/>
          <w:sz w:val="24"/>
          <w:szCs w:val="24"/>
        </w:rPr>
        <w:t>）；</w:t>
      </w:r>
    </w:p>
    <w:p w14:paraId="2687DA2F">
      <w:pPr>
        <w:spacing w:before="190"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6</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2"/>
          <w:sz w:val="24"/>
          <w:szCs w:val="24"/>
        </w:rPr>
        <w:t>、《水土保持工程设计规范》（</w:t>
      </w:r>
      <w:r>
        <w:rPr>
          <w:rFonts w:ascii="Times New Roman" w:hAnsi="Times New Roman" w:eastAsia="Times New Roman" w:cs="Times New Roman"/>
          <w:spacing w:val="-2"/>
          <w:sz w:val="24"/>
          <w:szCs w:val="24"/>
        </w:rPr>
        <w:t>GB 51018-2014</w:t>
      </w:r>
      <w:r>
        <w:rPr>
          <w:rFonts w:ascii="FangSong_GB2312" w:hAnsi="FangSong_GB2312" w:eastAsia="FangSong_GB2312" w:cs="FangSong_GB2312"/>
          <w:spacing w:val="7"/>
          <w:sz w:val="24"/>
          <w:szCs w:val="24"/>
        </w:rPr>
        <w:t>）；</w:t>
      </w:r>
    </w:p>
    <w:p w14:paraId="226855D5">
      <w:pPr>
        <w:spacing w:before="188" w:line="214" w:lineRule="auto"/>
        <w:ind w:left="489"/>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2"/>
          <w:sz w:val="24"/>
          <w:szCs w:val="24"/>
        </w:rPr>
        <w:t>、《水土保持监测技术规程》（</w:t>
      </w:r>
      <w:r>
        <w:rPr>
          <w:rFonts w:ascii="Times New Roman" w:hAnsi="Times New Roman" w:eastAsia="Times New Roman" w:cs="Times New Roman"/>
          <w:spacing w:val="-2"/>
          <w:sz w:val="24"/>
          <w:szCs w:val="24"/>
        </w:rPr>
        <w:t>SL 277-2002</w:t>
      </w:r>
      <w:r>
        <w:rPr>
          <w:rFonts w:ascii="FangSong_GB2312" w:hAnsi="FangSong_GB2312" w:eastAsia="FangSong_GB2312" w:cs="FangSong_GB2312"/>
          <w:spacing w:val="1"/>
          <w:sz w:val="24"/>
          <w:szCs w:val="24"/>
        </w:rPr>
        <w:t>）；</w:t>
      </w:r>
    </w:p>
    <w:p w14:paraId="514B69DE">
      <w:pPr>
        <w:spacing w:before="189" w:line="214" w:lineRule="auto"/>
        <w:ind w:left="49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
          <w:sz w:val="24"/>
          <w:szCs w:val="24"/>
        </w:rPr>
        <w:t>、《开发建设项目水土保持设施验收技术规程》（</w:t>
      </w:r>
      <w:r>
        <w:rPr>
          <w:rFonts w:ascii="Times New Roman" w:hAnsi="Times New Roman" w:eastAsia="Times New Roman" w:cs="Times New Roman"/>
          <w:spacing w:val="-2"/>
          <w:sz w:val="24"/>
          <w:szCs w:val="24"/>
        </w:rPr>
        <w:t>GB/ T22490-2008</w:t>
      </w:r>
      <w:r>
        <w:rPr>
          <w:rFonts w:ascii="FangSong_GB2312" w:hAnsi="FangSong_GB2312" w:eastAsia="FangSong_GB2312" w:cs="FangSong_GB2312"/>
          <w:spacing w:val="1"/>
          <w:sz w:val="24"/>
          <w:szCs w:val="24"/>
        </w:rPr>
        <w:t>）；</w:t>
      </w:r>
    </w:p>
    <w:p w14:paraId="4A40E537">
      <w:pPr>
        <w:spacing w:before="187" w:line="213"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9</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、《土地利用现状分类标准》（</w:t>
      </w:r>
      <w:r>
        <w:rPr>
          <w:rFonts w:ascii="Times New Roman" w:hAnsi="Times New Roman" w:eastAsia="Times New Roman" w:cs="Times New Roman"/>
          <w:spacing w:val="-2"/>
          <w:sz w:val="24"/>
          <w:szCs w:val="24"/>
        </w:rPr>
        <w:t>GB/ T21010-2017</w:t>
      </w:r>
      <w:r>
        <w:rPr>
          <w:rFonts w:ascii="FangSong_GB2312" w:hAnsi="FangSong_GB2312" w:eastAsia="FangSong_GB2312" w:cs="FangSong_GB2312"/>
          <w:spacing w:val="6"/>
          <w:sz w:val="24"/>
          <w:szCs w:val="24"/>
        </w:rPr>
        <w:t>）；</w:t>
      </w:r>
    </w:p>
    <w:p w14:paraId="0FE0B7F7">
      <w:pPr>
        <w:spacing w:before="191" w:line="213"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10</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3"/>
          <w:sz w:val="24"/>
          <w:szCs w:val="24"/>
        </w:rPr>
        <w:t>、《土壤侵蚀分类分级标准》（</w:t>
      </w:r>
      <w:r>
        <w:rPr>
          <w:rFonts w:ascii="Times New Roman" w:hAnsi="Times New Roman" w:eastAsia="Times New Roman" w:cs="Times New Roman"/>
          <w:spacing w:val="-3"/>
          <w:sz w:val="24"/>
          <w:szCs w:val="24"/>
        </w:rPr>
        <w:t>SL190-2007</w:t>
      </w:r>
      <w:r>
        <w:rPr>
          <w:rFonts w:ascii="FangSong_GB2312" w:hAnsi="FangSong_GB2312" w:eastAsia="FangSong_GB2312" w:cs="FangSong_GB2312"/>
          <w:spacing w:val="8"/>
          <w:sz w:val="24"/>
          <w:szCs w:val="24"/>
        </w:rPr>
        <w:t>）；</w:t>
      </w:r>
    </w:p>
    <w:p w14:paraId="6D546E4F">
      <w:pPr>
        <w:spacing w:before="192"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11</w:t>
      </w:r>
      <w:r>
        <w:rPr>
          <w:rFonts w:ascii="Times New Roman" w:hAnsi="Times New Roman" w:eastAsia="Times New Roman" w:cs="Times New Roman"/>
          <w:spacing w:val="-35"/>
          <w:sz w:val="24"/>
          <w:szCs w:val="24"/>
        </w:rPr>
        <w:t xml:space="preserve"> </w:t>
      </w:r>
      <w:r>
        <w:rPr>
          <w:rFonts w:ascii="FangSong_GB2312" w:hAnsi="FangSong_GB2312" w:eastAsia="FangSong_GB2312" w:cs="FangSong_GB2312"/>
          <w:spacing w:val="-3"/>
          <w:sz w:val="24"/>
          <w:szCs w:val="24"/>
        </w:rPr>
        <w:t>、《防洪标准》（</w:t>
      </w:r>
      <w:r>
        <w:rPr>
          <w:rFonts w:ascii="Times New Roman" w:hAnsi="Times New Roman" w:eastAsia="Times New Roman" w:cs="Times New Roman"/>
          <w:spacing w:val="-3"/>
          <w:sz w:val="24"/>
          <w:szCs w:val="24"/>
        </w:rPr>
        <w:t>GB 50201-2014</w:t>
      </w:r>
      <w:r>
        <w:rPr>
          <w:rFonts w:ascii="FangSong_GB2312" w:hAnsi="FangSong_GB2312" w:eastAsia="FangSong_GB2312" w:cs="FangSong_GB2312"/>
          <w:spacing w:val="2"/>
          <w:sz w:val="24"/>
          <w:szCs w:val="24"/>
        </w:rPr>
        <w:t>）；</w:t>
      </w:r>
    </w:p>
    <w:p w14:paraId="2C4BA080">
      <w:pPr>
        <w:spacing w:before="187"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、《水利水电工程制图标准水土保持图》（</w:t>
      </w:r>
      <w:r>
        <w:rPr>
          <w:rFonts w:ascii="Times New Roman" w:hAnsi="Times New Roman" w:eastAsia="Times New Roman" w:cs="Times New Roman"/>
          <w:spacing w:val="-2"/>
          <w:sz w:val="24"/>
          <w:szCs w:val="24"/>
        </w:rPr>
        <w:t>SL 73.6-20</w:t>
      </w:r>
      <w:r>
        <w:rPr>
          <w:rFonts w:ascii="Times New Roman" w:hAnsi="Times New Roman" w:eastAsia="Times New Roman" w:cs="Times New Roman"/>
          <w:spacing w:val="-3"/>
          <w:sz w:val="24"/>
          <w:szCs w:val="24"/>
        </w:rPr>
        <w:t>15</w:t>
      </w:r>
      <w:r>
        <w:rPr>
          <w:rFonts w:ascii="FangSong_GB2312" w:hAnsi="FangSong_GB2312" w:eastAsia="FangSong_GB2312" w:cs="FangSong_GB2312"/>
          <w:sz w:val="24"/>
          <w:szCs w:val="24"/>
        </w:rPr>
        <w:t>）；</w:t>
      </w:r>
    </w:p>
    <w:p w14:paraId="406FB06B">
      <w:pPr>
        <w:spacing w:before="187"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13</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3"/>
          <w:sz w:val="24"/>
          <w:szCs w:val="24"/>
        </w:rPr>
        <w:t>、《水土保持综合治理效益计算方法》（</w:t>
      </w:r>
      <w:r>
        <w:rPr>
          <w:rFonts w:ascii="Times New Roman" w:hAnsi="Times New Roman" w:eastAsia="Times New Roman" w:cs="Times New Roman"/>
          <w:spacing w:val="-3"/>
          <w:sz w:val="24"/>
          <w:szCs w:val="24"/>
        </w:rPr>
        <w:t>GB/T</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3"/>
          <w:sz w:val="24"/>
          <w:szCs w:val="24"/>
        </w:rPr>
        <w:t>15774-2008</w:t>
      </w:r>
      <w:r>
        <w:rPr>
          <w:rFonts w:ascii="FangSong_GB2312" w:hAnsi="FangSong_GB2312" w:eastAsia="FangSong_GB2312" w:cs="FangSong_GB2312"/>
          <w:spacing w:val="6"/>
          <w:sz w:val="24"/>
          <w:szCs w:val="24"/>
        </w:rPr>
        <w:t>）；</w:t>
      </w:r>
    </w:p>
    <w:p w14:paraId="7D73B6A0">
      <w:pPr>
        <w:spacing w:before="190"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14</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、《中国设计地震动参数区划图》（</w:t>
      </w:r>
      <w:r>
        <w:rPr>
          <w:rFonts w:ascii="Times New Roman" w:hAnsi="Times New Roman" w:eastAsia="Times New Roman" w:cs="Times New Roman"/>
          <w:spacing w:val="-2"/>
          <w:sz w:val="24"/>
          <w:szCs w:val="24"/>
        </w:rPr>
        <w:t>GB18306-2015</w:t>
      </w:r>
      <w:r>
        <w:rPr>
          <w:rFonts w:ascii="FangSong_GB2312" w:hAnsi="FangSong_GB2312" w:eastAsia="FangSong_GB2312" w:cs="FangSong_GB2312"/>
          <w:spacing w:val="-2"/>
          <w:sz w:val="24"/>
          <w:szCs w:val="24"/>
        </w:rPr>
        <w:t>）。</w:t>
      </w:r>
    </w:p>
    <w:p w14:paraId="5D85D838">
      <w:pPr>
        <w:spacing w:before="316" w:line="214"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5"/>
          <w:sz w:val="28"/>
          <w:szCs w:val="28"/>
        </w:rPr>
        <w:t>1.2.5</w:t>
      </w:r>
      <w:r>
        <w:rPr>
          <w:rFonts w:ascii="Times New Roman" w:hAnsi="Times New Roman" w:eastAsia="Times New Roman" w:cs="Times New Roman"/>
          <w:b/>
          <w:bCs/>
          <w:spacing w:val="15"/>
          <w:sz w:val="28"/>
          <w:szCs w:val="28"/>
        </w:rPr>
        <w:t xml:space="preserve"> </w:t>
      </w:r>
      <w:r>
        <w:rPr>
          <w:rFonts w:ascii="FangSong_GB2312" w:hAnsi="FangSong_GB2312" w:eastAsia="FangSong_GB2312" w:cs="FangSong_GB2312"/>
          <w:b/>
          <w:bCs/>
          <w:spacing w:val="-5"/>
          <w:sz w:val="28"/>
          <w:szCs w:val="28"/>
        </w:rPr>
        <w:t>参考资料</w:t>
      </w:r>
    </w:p>
    <w:p w14:paraId="3CF973AA">
      <w:pPr>
        <w:pStyle w:val="2"/>
        <w:spacing w:line="254" w:lineRule="auto"/>
      </w:pPr>
    </w:p>
    <w:p w14:paraId="7A8897B6">
      <w:pPr>
        <w:spacing w:before="78" w:line="286" w:lineRule="auto"/>
        <w:ind w:left="14" w:right="178" w:firstLine="493"/>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、《剑阁县发展和改革局关于审批剑阁县义兴镇干部职工周转房建设项目可行性研究报告的批复》</w:t>
      </w:r>
      <w:r>
        <w:rPr>
          <w:rFonts w:hint="eastAsia" w:ascii="FangSong_GB2312" w:hAnsi="FangSong_GB2312" w:eastAsia="FangSong_GB2312" w:cs="FangSong_GB2312"/>
          <w:spacing w:val="-2"/>
          <w:sz w:val="24"/>
          <w:szCs w:val="24"/>
          <w:lang w:eastAsia="zh-CN"/>
        </w:rPr>
        <w:t>（</w:t>
      </w:r>
      <w:r>
        <w:rPr>
          <w:rFonts w:ascii="FangSong_GB2312" w:hAnsi="FangSong_GB2312" w:eastAsia="FangSong_GB2312" w:cs="FangSong_GB2312"/>
          <w:spacing w:val="-2"/>
          <w:sz w:val="24"/>
          <w:szCs w:val="24"/>
        </w:rPr>
        <w:t>剑发改发</w:t>
      </w:r>
      <w:r>
        <w:rPr>
          <w:rFonts w:hint="eastAsia"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2022</w:t>
      </w:r>
      <w:r>
        <w:rPr>
          <w:rFonts w:hint="eastAsia"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14</w:t>
      </w:r>
      <w:r>
        <w:rPr>
          <w:rFonts w:ascii="Times New Roman" w:hAnsi="Times New Roman" w:eastAsia="Times New Roman" w:cs="Times New Roman"/>
          <w:spacing w:val="32"/>
          <w:w w:val="101"/>
          <w:sz w:val="24"/>
          <w:szCs w:val="24"/>
        </w:rPr>
        <w:t xml:space="preserve"> </w:t>
      </w:r>
      <w:r>
        <w:rPr>
          <w:rFonts w:ascii="FangSong_GB2312" w:hAnsi="FangSong_GB2312" w:eastAsia="FangSong_GB2312" w:cs="FangSong_GB2312"/>
          <w:spacing w:val="-2"/>
          <w:sz w:val="24"/>
          <w:szCs w:val="24"/>
        </w:rPr>
        <w:t>号</w:t>
      </w:r>
      <w:r>
        <w:rPr>
          <w:rFonts w:hint="eastAsia" w:ascii="FangSong_GB2312" w:hAnsi="FangSong_GB2312" w:eastAsia="FangSong_GB2312" w:cs="FangSong_GB2312"/>
          <w:spacing w:val="-2"/>
          <w:sz w:val="24"/>
          <w:szCs w:val="24"/>
          <w:lang w:eastAsia="zh-CN"/>
        </w:rPr>
        <w:t>）</w:t>
      </w:r>
      <w:r>
        <w:rPr>
          <w:rFonts w:ascii="FangSong_GB2312" w:hAnsi="FangSong_GB2312" w:eastAsia="FangSong_GB2312" w:cs="FangSong_GB2312"/>
          <w:spacing w:val="-2"/>
          <w:sz w:val="24"/>
          <w:szCs w:val="24"/>
        </w:rPr>
        <w:t>；</w:t>
      </w:r>
    </w:p>
    <w:p w14:paraId="69A1606A">
      <w:pPr>
        <w:spacing w:before="191" w:line="286" w:lineRule="auto"/>
        <w:ind w:left="9" w:firstLine="475"/>
        <w:rPr>
          <w:rFonts w:ascii="FangSong_GB2312" w:hAnsi="FangSong_GB2312" w:eastAsia="FangSong_GB2312" w:cs="FangSong_GB2312"/>
          <w:sz w:val="24"/>
          <w:szCs w:val="24"/>
        </w:rPr>
      </w:pPr>
      <w:r>
        <w:rPr>
          <w:rFonts w:ascii="Times New Roman" w:hAnsi="Times New Roman" w:eastAsia="Times New Roman" w:cs="Times New Roman"/>
          <w:spacing w:val="-13"/>
          <w:sz w:val="24"/>
          <w:szCs w:val="24"/>
        </w:rPr>
        <w:t>2</w:t>
      </w:r>
      <w:r>
        <w:rPr>
          <w:rFonts w:ascii="FangSong_GB2312" w:hAnsi="FangSong_GB2312" w:eastAsia="FangSong_GB2312" w:cs="FangSong_GB2312"/>
          <w:spacing w:val="-13"/>
          <w:sz w:val="24"/>
          <w:szCs w:val="24"/>
        </w:rPr>
        <w:t>、《中华人民共和国国有建设用地划拨决定书》，电子监管号：</w:t>
      </w:r>
      <w:r>
        <w:rPr>
          <w:rFonts w:ascii="Times New Roman" w:hAnsi="Times New Roman" w:eastAsia="Times New Roman" w:cs="Times New Roman"/>
          <w:spacing w:val="-13"/>
          <w:sz w:val="24"/>
          <w:szCs w:val="24"/>
        </w:rPr>
        <w:t>5108232022A02</w:t>
      </w:r>
      <w:r>
        <w:rPr>
          <w:rFonts w:ascii="Times New Roman" w:hAnsi="Times New Roman" w:eastAsia="Times New Roman" w:cs="Times New Roman"/>
          <w:spacing w:val="-14"/>
          <w:sz w:val="24"/>
          <w:szCs w:val="24"/>
        </w:rPr>
        <w:t>659</w:t>
      </w:r>
      <w:r>
        <w:rPr>
          <w:rFonts w:ascii="FangSong_GB2312" w:hAnsi="FangSong_GB2312" w:eastAsia="FangSong_GB2312" w:cs="FangSong_GB2312"/>
          <w:spacing w:val="-14"/>
          <w:sz w:val="24"/>
          <w:szCs w:val="24"/>
        </w:rPr>
        <w:t>，</w:t>
      </w:r>
      <w:r>
        <w:rPr>
          <w:rFonts w:ascii="FangSong_GB2312" w:hAnsi="FangSong_GB2312" w:eastAsia="FangSong_GB2312" w:cs="FangSong_GB2312"/>
          <w:spacing w:val="-1"/>
          <w:sz w:val="24"/>
          <w:szCs w:val="24"/>
        </w:rPr>
        <w:t>编号：</w:t>
      </w:r>
      <w:r>
        <w:rPr>
          <w:rFonts w:ascii="Times New Roman" w:hAnsi="Times New Roman" w:eastAsia="Times New Roman" w:cs="Times New Roman"/>
          <w:spacing w:val="-1"/>
          <w:sz w:val="24"/>
          <w:szCs w:val="24"/>
        </w:rPr>
        <w:t>5107012022009</w:t>
      </w:r>
      <w:r>
        <w:rPr>
          <w:rFonts w:ascii="FangSong_GB2312" w:hAnsi="FangSong_GB2312" w:eastAsia="FangSong_GB2312" w:cs="FangSong_GB2312"/>
          <w:spacing w:val="-1"/>
          <w:sz w:val="24"/>
          <w:szCs w:val="24"/>
        </w:rPr>
        <w:t>；</w:t>
      </w:r>
    </w:p>
    <w:p w14:paraId="5FBC9CFE">
      <w:pPr>
        <w:spacing w:before="187" w:line="287" w:lineRule="auto"/>
        <w:ind w:left="20" w:right="60" w:firstLine="470"/>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2"/>
          <w:sz w:val="24"/>
          <w:szCs w:val="24"/>
        </w:rPr>
        <w:t>、《剑阁县发展和改革局文件剑阁县发展和改革局关于调整剑阁县义兴镇干部</w:t>
      </w:r>
      <w:r>
        <w:rPr>
          <w:rFonts w:ascii="FangSong_GB2312" w:hAnsi="FangSong_GB2312" w:eastAsia="FangSong_GB2312" w:cs="FangSong_GB2312"/>
          <w:spacing w:val="-1"/>
          <w:sz w:val="24"/>
          <w:szCs w:val="24"/>
        </w:rPr>
        <w:t>职工周转房建设项目规划用地的批复》</w:t>
      </w:r>
      <w:r>
        <w:rPr>
          <w:rFonts w:hint="eastAsia" w:ascii="FangSong_GB2312" w:hAnsi="FangSong_GB2312" w:eastAsia="FangSong_GB2312" w:cs="FangSong_GB2312"/>
          <w:spacing w:val="-1"/>
          <w:sz w:val="24"/>
          <w:szCs w:val="24"/>
          <w:lang w:eastAsia="zh-CN"/>
        </w:rPr>
        <w:t>（</w:t>
      </w:r>
      <w:r>
        <w:rPr>
          <w:rFonts w:ascii="FangSong_GB2312" w:hAnsi="FangSong_GB2312" w:eastAsia="FangSong_GB2312" w:cs="FangSong_GB2312"/>
          <w:spacing w:val="-1"/>
          <w:sz w:val="24"/>
          <w:szCs w:val="24"/>
        </w:rPr>
        <w:t>剑发改发</w:t>
      </w:r>
      <w:r>
        <w:rPr>
          <w:rFonts w:hint="eastAsia"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22</w:t>
      </w:r>
      <w:r>
        <w:rPr>
          <w:rFonts w:hint="eastAsia"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306</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号</w:t>
      </w:r>
      <w:r>
        <w:rPr>
          <w:rFonts w:hint="eastAsia" w:ascii="FangSong_GB2312" w:hAnsi="FangSong_GB2312" w:eastAsia="FangSong_GB2312" w:cs="FangSong_GB2312"/>
          <w:spacing w:val="-2"/>
          <w:sz w:val="24"/>
          <w:szCs w:val="24"/>
          <w:lang w:eastAsia="zh-CN"/>
        </w:rPr>
        <w:t>）</w:t>
      </w:r>
      <w:r>
        <w:rPr>
          <w:rFonts w:ascii="FangSong_GB2312" w:hAnsi="FangSong_GB2312" w:eastAsia="FangSong_GB2312" w:cs="FangSong_GB2312"/>
          <w:spacing w:val="-2"/>
          <w:sz w:val="24"/>
          <w:szCs w:val="24"/>
        </w:rPr>
        <w:t>；</w:t>
      </w:r>
    </w:p>
    <w:p w14:paraId="04D10534">
      <w:pPr>
        <w:spacing w:before="191" w:line="214" w:lineRule="auto"/>
        <w:ind w:left="484"/>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4"/>
          <w:sz w:val="24"/>
          <w:szCs w:val="24"/>
        </w:rPr>
        <w:t>、项目全套施工图；</w:t>
      </w:r>
    </w:p>
    <w:p w14:paraId="0FD5CE4B">
      <w:pPr>
        <w:spacing w:before="186" w:line="214" w:lineRule="auto"/>
        <w:ind w:left="491"/>
        <w:rPr>
          <w:rFonts w:ascii="FangSong_GB2312" w:hAnsi="FangSong_GB2312" w:eastAsia="FangSong_GB2312" w:cs="FangSong_GB2312"/>
          <w:sz w:val="20"/>
          <w:szCs w:val="20"/>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3"/>
          <w:sz w:val="24"/>
          <w:szCs w:val="24"/>
        </w:rPr>
        <w:t>、工程涉及的其它相关技术资料</w:t>
      </w:r>
      <w:r>
        <w:rPr>
          <w:rFonts w:ascii="FangSong_GB2312" w:hAnsi="FangSong_GB2312" w:eastAsia="FangSong_GB2312" w:cs="FangSong_GB2312"/>
          <w:spacing w:val="-3"/>
          <w:sz w:val="20"/>
          <w:szCs w:val="20"/>
        </w:rPr>
        <w:t>。</w:t>
      </w:r>
    </w:p>
    <w:p w14:paraId="698AC426">
      <w:pPr>
        <w:pStyle w:val="2"/>
        <w:spacing w:line="260" w:lineRule="auto"/>
      </w:pPr>
    </w:p>
    <w:p w14:paraId="3C541F9C">
      <w:pPr>
        <w:pStyle w:val="2"/>
        <w:spacing w:line="260" w:lineRule="auto"/>
      </w:pPr>
    </w:p>
    <w:p w14:paraId="68C02140">
      <w:pPr>
        <w:pStyle w:val="2"/>
        <w:spacing w:line="260" w:lineRule="auto"/>
      </w:pPr>
    </w:p>
    <w:p w14:paraId="366F50B1">
      <w:pPr>
        <w:pStyle w:val="2"/>
        <w:spacing w:line="260" w:lineRule="auto"/>
      </w:pPr>
    </w:p>
    <w:p w14:paraId="47163A3F">
      <w:pPr>
        <w:pStyle w:val="2"/>
        <w:spacing w:line="260" w:lineRule="auto"/>
      </w:pPr>
    </w:p>
    <w:p w14:paraId="727CD86B">
      <w:pPr>
        <w:pStyle w:val="2"/>
        <w:spacing w:line="260" w:lineRule="auto"/>
      </w:pPr>
    </w:p>
    <w:p w14:paraId="384E5369">
      <w:pPr>
        <w:pStyle w:val="2"/>
        <w:spacing w:line="261" w:lineRule="auto"/>
      </w:pPr>
    </w:p>
    <w:p w14:paraId="5F3E2949">
      <w:pPr>
        <w:spacing w:before="66" w:line="229" w:lineRule="auto"/>
        <w:ind w:left="5384"/>
        <w:rPr>
          <w:rFonts w:ascii="FangSong_GB2312" w:hAnsi="FangSong_GB2312" w:eastAsia="FangSong_GB2312" w:cs="FangSong_GB2312"/>
          <w:sz w:val="20"/>
          <w:szCs w:val="20"/>
        </w:rPr>
      </w:pPr>
      <w:r>
        <w:pict>
          <v:shape id="_x0000_s1033" o:spid="_x0000_s1033" o:spt="202" type="#_x0000_t202" style="position:absolute;left:0pt;margin-left:219.05pt;margin-top:3.15pt;height:10pt;width:6.2pt;z-index:251682816;mso-width-relative:page;mso-height-relative:page;" filled="f" stroked="f" coordsize="21600,21600">
            <v:path/>
            <v:fill on="f" focussize="0,0"/>
            <v:stroke on="f"/>
            <v:imagedata o:title=""/>
            <o:lock v:ext="edit" aspectratio="f"/>
            <v:textbox inset="0mm,0mm,0mm,0mm">
              <w:txbxContent>
                <w:p w14:paraId="6D11B2B1">
                  <w:pPr>
                    <w:spacing w:before="20" w:line="185"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xbxContent>
            </v:textbox>
          </v:shape>
        </w:pict>
      </w:r>
      <w:r>
        <w:rPr>
          <w:rFonts w:ascii="FangSong_GB2312" w:hAnsi="FangSong_GB2312" w:eastAsia="FangSong_GB2312" w:cs="FangSong_GB2312"/>
          <w:spacing w:val="8"/>
          <w:sz w:val="20"/>
          <w:szCs w:val="20"/>
        </w:rPr>
        <w:t>剑阁县绿森林业勘察设计有限公司</w:t>
      </w:r>
    </w:p>
    <w:p w14:paraId="3518F23E">
      <w:pPr>
        <w:spacing w:line="229" w:lineRule="auto"/>
        <w:rPr>
          <w:rFonts w:ascii="FangSong_GB2312" w:hAnsi="FangSong_GB2312" w:eastAsia="FangSong_GB2312" w:cs="FangSong_GB2312"/>
          <w:sz w:val="20"/>
          <w:szCs w:val="20"/>
        </w:rPr>
        <w:sectPr>
          <w:headerReference r:id="rId25" w:type="default"/>
          <w:pgSz w:w="11906" w:h="16839"/>
          <w:pgMar w:top="1164" w:right="1453" w:bottom="400" w:left="1513" w:header="831" w:footer="0" w:gutter="0"/>
          <w:cols w:space="720" w:num="1"/>
        </w:sectPr>
      </w:pPr>
    </w:p>
    <w:p w14:paraId="2666F49C">
      <w:pPr>
        <w:spacing w:before="209" w:line="215" w:lineRule="auto"/>
        <w:ind w:left="52"/>
        <w:outlineLvl w:val="1"/>
        <w:rPr>
          <w:rFonts w:ascii="FangSong_GB2312" w:hAnsi="FangSong_GB2312" w:eastAsia="FangSong_GB2312" w:cs="FangSong_GB2312"/>
          <w:sz w:val="30"/>
          <w:szCs w:val="30"/>
        </w:rPr>
      </w:pPr>
      <w:bookmarkStart w:id="15" w:name="bookmark8"/>
      <w:bookmarkEnd w:id="15"/>
      <w:bookmarkStart w:id="16" w:name="bookmark9"/>
      <w:bookmarkEnd w:id="16"/>
      <w:r>
        <w:rPr>
          <w:rFonts w:ascii="Times New Roman" w:hAnsi="Times New Roman" w:eastAsia="Times New Roman" w:cs="Times New Roman"/>
          <w:b/>
          <w:bCs/>
          <w:spacing w:val="-4"/>
          <w:sz w:val="30"/>
          <w:szCs w:val="30"/>
        </w:rPr>
        <w:t xml:space="preserve">1.3 </w:t>
      </w:r>
      <w:r>
        <w:rPr>
          <w:rFonts w:ascii="FangSong_GB2312" w:hAnsi="FangSong_GB2312" w:eastAsia="FangSong_GB2312" w:cs="FangSong_GB2312"/>
          <w:b/>
          <w:bCs/>
          <w:spacing w:val="-4"/>
          <w:sz w:val="30"/>
          <w:szCs w:val="30"/>
        </w:rPr>
        <w:t>设计水平年</w:t>
      </w:r>
    </w:p>
    <w:p w14:paraId="23886745">
      <w:pPr>
        <w:pStyle w:val="2"/>
        <w:spacing w:line="353" w:lineRule="auto"/>
      </w:pPr>
    </w:p>
    <w:p w14:paraId="13A4820B">
      <w:pPr>
        <w:spacing w:before="78" w:line="359" w:lineRule="auto"/>
        <w:ind w:left="42" w:right="76" w:firstLine="477"/>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根据《生产建设项目水土保持技术标准》（</w:t>
      </w:r>
      <w:r>
        <w:rPr>
          <w:rFonts w:ascii="Times New Roman" w:hAnsi="Times New Roman" w:eastAsia="Times New Roman" w:cs="Times New Roman"/>
          <w:spacing w:val="-2"/>
          <w:sz w:val="24"/>
          <w:szCs w:val="24"/>
        </w:rPr>
        <w:t>GB 50433-2018</w:t>
      </w:r>
      <w:r>
        <w:rPr>
          <w:rFonts w:ascii="FangSong_GB2312" w:hAnsi="FangSong_GB2312" w:eastAsia="FangSong_GB2312" w:cs="FangSong_GB2312"/>
          <w:spacing w:val="-19"/>
          <w:sz w:val="24"/>
          <w:szCs w:val="24"/>
        </w:rPr>
        <w:t>），</w:t>
      </w:r>
      <w:r>
        <w:rPr>
          <w:rFonts w:ascii="FangSong_GB2312" w:hAnsi="FangSong_GB2312" w:eastAsia="FangSong_GB2312" w:cs="FangSong_GB2312"/>
          <w:spacing w:val="-2"/>
          <w:sz w:val="24"/>
          <w:szCs w:val="24"/>
        </w:rPr>
        <w:t>水</w:t>
      </w:r>
      <w:r>
        <w:rPr>
          <w:rFonts w:ascii="FangSong_GB2312" w:hAnsi="FangSong_GB2312" w:eastAsia="FangSong_GB2312" w:cs="FangSong_GB2312"/>
          <w:spacing w:val="-3"/>
          <w:sz w:val="24"/>
          <w:szCs w:val="24"/>
        </w:rPr>
        <w:t>土保持设计水平</w:t>
      </w:r>
      <w:r>
        <w:rPr>
          <w:rFonts w:ascii="FangSong_GB2312" w:hAnsi="FangSong_GB2312" w:eastAsia="FangSong_GB2312" w:cs="FangSong_GB2312"/>
          <w:sz w:val="24"/>
          <w:szCs w:val="24"/>
        </w:rPr>
        <w:t>年应为主体工程完工后的当年或后一年。根据主体工程</w:t>
      </w:r>
      <w:r>
        <w:rPr>
          <w:rFonts w:ascii="FangSong_GB2312" w:hAnsi="FangSong_GB2312" w:eastAsia="FangSong_GB2312" w:cs="FangSong_GB2312"/>
          <w:spacing w:val="-1"/>
          <w:sz w:val="24"/>
          <w:szCs w:val="24"/>
        </w:rPr>
        <w:t>完工时间和水土保持措施实施</w:t>
      </w:r>
      <w:r>
        <w:rPr>
          <w:rFonts w:ascii="FangSong_GB2312" w:hAnsi="FangSong_GB2312" w:eastAsia="FangSong_GB2312" w:cs="FangSong_GB2312"/>
          <w:sz w:val="24"/>
          <w:szCs w:val="24"/>
        </w:rPr>
        <w:t>进度安排，综合确定本项目水土保持设计水</w:t>
      </w:r>
      <w:r>
        <w:rPr>
          <w:rFonts w:ascii="FangSong_GB2312" w:hAnsi="FangSong_GB2312" w:eastAsia="FangSong_GB2312" w:cs="FangSong_GB2312"/>
          <w:spacing w:val="-1"/>
          <w:sz w:val="24"/>
          <w:szCs w:val="24"/>
        </w:rPr>
        <w:t>平年为完工当年，即</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1"/>
          <w:sz w:val="24"/>
          <w:szCs w:val="24"/>
        </w:rPr>
        <w:t xml:space="preserve">2023 </w:t>
      </w:r>
      <w:r>
        <w:rPr>
          <w:rFonts w:ascii="FangSong_GB2312" w:hAnsi="FangSong_GB2312" w:eastAsia="FangSong_GB2312" w:cs="FangSong_GB2312"/>
          <w:spacing w:val="-1"/>
          <w:sz w:val="24"/>
          <w:szCs w:val="24"/>
        </w:rPr>
        <w:t>年。</w:t>
      </w:r>
    </w:p>
    <w:p w14:paraId="6DCE2436">
      <w:pPr>
        <w:spacing w:before="272" w:line="214" w:lineRule="auto"/>
        <w:ind w:left="52"/>
        <w:outlineLvl w:val="1"/>
        <w:rPr>
          <w:rFonts w:ascii="FangSong_GB2312" w:hAnsi="FangSong_GB2312" w:eastAsia="FangSong_GB2312" w:cs="FangSong_GB2312"/>
          <w:sz w:val="30"/>
          <w:szCs w:val="30"/>
        </w:rPr>
      </w:pPr>
      <w:bookmarkStart w:id="17" w:name="bookmark11"/>
      <w:bookmarkEnd w:id="17"/>
      <w:bookmarkStart w:id="18" w:name="bookmark10"/>
      <w:bookmarkEnd w:id="18"/>
      <w:r>
        <w:rPr>
          <w:rFonts w:ascii="Times New Roman" w:hAnsi="Times New Roman" w:eastAsia="Times New Roman" w:cs="Times New Roman"/>
          <w:b/>
          <w:bCs/>
          <w:spacing w:val="-4"/>
          <w:sz w:val="30"/>
          <w:szCs w:val="30"/>
        </w:rPr>
        <w:t xml:space="preserve">1.4 </w:t>
      </w:r>
      <w:r>
        <w:rPr>
          <w:rFonts w:ascii="FangSong_GB2312" w:hAnsi="FangSong_GB2312" w:eastAsia="FangSong_GB2312" w:cs="FangSong_GB2312"/>
          <w:b/>
          <w:bCs/>
          <w:spacing w:val="-4"/>
          <w:sz w:val="30"/>
          <w:szCs w:val="30"/>
        </w:rPr>
        <w:t>水土流失防治责任范围</w:t>
      </w:r>
    </w:p>
    <w:p w14:paraId="70BC60B4">
      <w:pPr>
        <w:pStyle w:val="2"/>
        <w:spacing w:line="355" w:lineRule="auto"/>
      </w:pPr>
    </w:p>
    <w:p w14:paraId="262C97F4">
      <w:pPr>
        <w:spacing w:before="78" w:line="358" w:lineRule="auto"/>
        <w:ind w:left="40" w:right="76" w:firstLine="479"/>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根据《生产建设项目水土保持技术标准》（</w:t>
      </w:r>
      <w:r>
        <w:rPr>
          <w:rFonts w:ascii="Times New Roman" w:hAnsi="Times New Roman" w:eastAsia="Times New Roman" w:cs="Times New Roman"/>
          <w:spacing w:val="-3"/>
          <w:sz w:val="24"/>
          <w:szCs w:val="24"/>
        </w:rPr>
        <w:t>GB 50433-2018</w:t>
      </w:r>
      <w:r>
        <w:rPr>
          <w:rFonts w:ascii="FangSong_GB2312" w:hAnsi="FangSong_GB2312" w:eastAsia="FangSong_GB2312" w:cs="FangSong_GB2312"/>
          <w:spacing w:val="-2"/>
          <w:sz w:val="24"/>
          <w:szCs w:val="24"/>
        </w:rPr>
        <w:t>），</w:t>
      </w:r>
      <w:r>
        <w:rPr>
          <w:rFonts w:ascii="FangSong_GB2312" w:hAnsi="FangSong_GB2312" w:eastAsia="FangSong_GB2312" w:cs="FangSong_GB2312"/>
          <w:spacing w:val="-3"/>
          <w:sz w:val="24"/>
          <w:szCs w:val="24"/>
        </w:rPr>
        <w:t>生产建设项目水土</w:t>
      </w:r>
      <w:r>
        <w:rPr>
          <w:rFonts w:ascii="FangSong_GB2312" w:hAnsi="FangSong_GB2312" w:eastAsia="FangSong_GB2312" w:cs="FangSong_GB2312"/>
          <w:sz w:val="24"/>
          <w:szCs w:val="24"/>
        </w:rPr>
        <w:t>流失防治责任范围应包括项目永久征地、临时占地（含租赁</w:t>
      </w:r>
      <w:r>
        <w:rPr>
          <w:rFonts w:ascii="FangSong_GB2312" w:hAnsi="FangSong_GB2312" w:eastAsia="FangSong_GB2312" w:cs="FangSong_GB2312"/>
          <w:spacing w:val="-1"/>
          <w:sz w:val="24"/>
          <w:szCs w:val="24"/>
        </w:rPr>
        <w:t>土地）以及其他使用与管</w:t>
      </w:r>
      <w:r>
        <w:rPr>
          <w:rFonts w:ascii="FangSong_GB2312" w:hAnsi="FangSong_GB2312" w:eastAsia="FangSong_GB2312" w:cs="FangSong_GB2312"/>
          <w:sz w:val="24"/>
          <w:szCs w:val="24"/>
        </w:rPr>
        <w:t>辖区域。因此，本项目水土流失防治责任范围为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z w:val="24"/>
          <w:szCs w:val="24"/>
        </w:rPr>
        <w:t>0.05</w:t>
      </w:r>
      <w:r>
        <w:rPr>
          <w:rFonts w:ascii="Times New Roman" w:hAnsi="Times New Roman" w:eastAsia="Times New Roman" w:cs="Times New Roman"/>
          <w:sz w:val="20"/>
          <w:szCs w:val="20"/>
        </w:rPr>
        <w:t>h</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2</w:t>
      </w:r>
      <w:r>
        <w:rPr>
          <w:rFonts w:ascii="FangSong_GB2312" w:hAnsi="FangSong_GB2312" w:eastAsia="FangSong_GB2312" w:cs="FangSong_GB2312"/>
          <w:spacing w:val="-1"/>
          <w:sz w:val="24"/>
          <w:szCs w:val="24"/>
        </w:rPr>
        <w:t>。</w:t>
      </w:r>
    </w:p>
    <w:p w14:paraId="25494824">
      <w:pPr>
        <w:spacing w:line="222" w:lineRule="auto"/>
        <w:ind w:left="2441"/>
        <w:rPr>
          <w:rFonts w:ascii="FangSong_GB2312" w:hAnsi="FangSong_GB2312" w:eastAsia="FangSong_GB2312" w:cs="FangSong_GB2312"/>
          <w:sz w:val="20"/>
          <w:szCs w:val="20"/>
        </w:rPr>
      </w:pPr>
      <w:r>
        <w:rPr>
          <w:rFonts w:ascii="FangSong_GB2312" w:hAnsi="FangSong_GB2312" w:eastAsia="FangSong_GB2312" w:cs="FangSong_GB2312"/>
          <w:b/>
          <w:bCs/>
          <w:spacing w:val="6"/>
          <w:sz w:val="20"/>
          <w:szCs w:val="20"/>
        </w:rPr>
        <w:t>表</w:t>
      </w:r>
      <w:r>
        <w:rPr>
          <w:rFonts w:ascii="FangSong_GB2312" w:hAnsi="FangSong_GB2312" w:eastAsia="FangSong_GB2312" w:cs="FangSong_GB2312"/>
          <w:spacing w:val="-34"/>
          <w:sz w:val="20"/>
          <w:szCs w:val="20"/>
        </w:rPr>
        <w:t xml:space="preserve"> </w:t>
      </w:r>
      <w:r>
        <w:rPr>
          <w:rFonts w:ascii="Times New Roman" w:hAnsi="Times New Roman" w:eastAsia="Times New Roman" w:cs="Times New Roman"/>
          <w:b/>
          <w:bCs/>
          <w:spacing w:val="6"/>
          <w:sz w:val="20"/>
          <w:szCs w:val="20"/>
        </w:rPr>
        <w:t xml:space="preserve">1.4-1    </w:t>
      </w:r>
      <w:r>
        <w:rPr>
          <w:rFonts w:ascii="FangSong_GB2312" w:hAnsi="FangSong_GB2312" w:eastAsia="FangSong_GB2312" w:cs="FangSong_GB2312"/>
          <w:b/>
          <w:bCs/>
          <w:spacing w:val="6"/>
          <w:sz w:val="20"/>
          <w:szCs w:val="20"/>
        </w:rPr>
        <w:t>水土流失防治责任范围面</w:t>
      </w:r>
      <w:r>
        <w:rPr>
          <w:rFonts w:ascii="FangSong_GB2312" w:hAnsi="FangSong_GB2312" w:eastAsia="FangSong_GB2312" w:cs="FangSong_GB2312"/>
          <w:b/>
          <w:bCs/>
          <w:spacing w:val="5"/>
          <w:sz w:val="20"/>
          <w:szCs w:val="20"/>
        </w:rPr>
        <w:t>积统计表</w:t>
      </w:r>
    </w:p>
    <w:p w14:paraId="144539E4">
      <w:pPr>
        <w:spacing w:line="135" w:lineRule="exact"/>
      </w:pPr>
    </w:p>
    <w:tbl>
      <w:tblPr>
        <w:tblStyle w:val="6"/>
        <w:tblW w:w="8895"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499"/>
        <w:gridCol w:w="1319"/>
        <w:gridCol w:w="5137"/>
      </w:tblGrid>
      <w:tr w14:paraId="4E8A4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40" w:type="dxa"/>
            <w:vAlign w:val="top"/>
          </w:tcPr>
          <w:p w14:paraId="0ECF4C9A">
            <w:pPr>
              <w:spacing w:before="84" w:line="216" w:lineRule="auto"/>
              <w:ind w:left="11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项目名称</w:t>
            </w:r>
          </w:p>
        </w:tc>
        <w:tc>
          <w:tcPr>
            <w:tcW w:w="1499" w:type="dxa"/>
            <w:vAlign w:val="top"/>
          </w:tcPr>
          <w:p w14:paraId="54C92D2E">
            <w:pPr>
              <w:spacing w:before="84" w:line="216" w:lineRule="auto"/>
              <w:ind w:left="22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防治分区名称</w:t>
            </w:r>
          </w:p>
        </w:tc>
        <w:tc>
          <w:tcPr>
            <w:tcW w:w="1319" w:type="dxa"/>
            <w:vAlign w:val="top"/>
          </w:tcPr>
          <w:p w14:paraId="69288329">
            <w:pPr>
              <w:spacing w:before="85" w:line="214" w:lineRule="auto"/>
              <w:ind w:left="14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防治责任面积</w:t>
            </w:r>
          </w:p>
        </w:tc>
        <w:tc>
          <w:tcPr>
            <w:tcW w:w="5137" w:type="dxa"/>
            <w:vAlign w:val="top"/>
          </w:tcPr>
          <w:p w14:paraId="14DE9C3C">
            <w:pPr>
              <w:spacing w:before="85" w:line="214" w:lineRule="auto"/>
              <w:ind w:left="186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防治责任范围说明</w:t>
            </w:r>
          </w:p>
        </w:tc>
      </w:tr>
      <w:tr w14:paraId="366C5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40" w:type="dxa"/>
            <w:vMerge w:val="restart"/>
            <w:tcBorders>
              <w:bottom w:val="nil"/>
            </w:tcBorders>
            <w:vAlign w:val="top"/>
          </w:tcPr>
          <w:p w14:paraId="798D3B5E">
            <w:pPr>
              <w:spacing w:before="29" w:line="238" w:lineRule="auto"/>
              <w:ind w:left="120" w:right="107" w:firstLine="13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剑阁县义兴镇干</w:t>
            </w:r>
          </w:p>
          <w:p w14:paraId="4076DDB9">
            <w:pPr>
              <w:spacing w:before="1" w:line="219" w:lineRule="auto"/>
              <w:ind w:left="11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部职工周</w:t>
            </w:r>
          </w:p>
          <w:p w14:paraId="670BC81C">
            <w:pPr>
              <w:spacing w:before="19" w:line="221" w:lineRule="auto"/>
              <w:ind w:left="296" w:right="107" w:hanging="17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转房建设项目</w:t>
            </w:r>
          </w:p>
        </w:tc>
        <w:tc>
          <w:tcPr>
            <w:tcW w:w="1499" w:type="dxa"/>
            <w:vAlign w:val="top"/>
          </w:tcPr>
          <w:p w14:paraId="4CF8D3DB">
            <w:pPr>
              <w:spacing w:before="85" w:line="214" w:lineRule="auto"/>
              <w:ind w:left="12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319" w:type="dxa"/>
            <w:vAlign w:val="top"/>
          </w:tcPr>
          <w:p w14:paraId="29EFFF42">
            <w:pPr>
              <w:spacing w:before="63"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5137" w:type="dxa"/>
            <w:vAlign w:val="top"/>
          </w:tcPr>
          <w:p w14:paraId="6E832A49">
            <w:pPr>
              <w:spacing w:before="28" w:line="216" w:lineRule="auto"/>
              <w:ind w:left="152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干部周转房</w:t>
            </w:r>
            <w:r>
              <w:rPr>
                <w:rFonts w:ascii="FangSong_GB2312" w:hAnsi="FangSong_GB2312" w:eastAsia="FangSong_GB2312" w:cs="FangSong_GB2312"/>
                <w:spacing w:val="33"/>
                <w:sz w:val="18"/>
                <w:szCs w:val="18"/>
              </w:rPr>
              <w:t xml:space="preserve"> </w:t>
            </w:r>
            <w:r>
              <w:rPr>
                <w:rFonts w:ascii="Times New Roman" w:hAnsi="Times New Roman" w:eastAsia="Times New Roman" w:cs="Times New Roman"/>
                <w:spacing w:val="-4"/>
                <w:sz w:val="18"/>
                <w:szCs w:val="18"/>
              </w:rPr>
              <w:t xml:space="preserve">1  </w:t>
            </w:r>
            <w:r>
              <w:rPr>
                <w:rFonts w:ascii="FangSong_GB2312" w:hAnsi="FangSong_GB2312" w:eastAsia="FangSong_GB2312" w:cs="FangSong_GB2312"/>
                <w:spacing w:val="-4"/>
                <w:sz w:val="18"/>
                <w:szCs w:val="18"/>
              </w:rPr>
              <w:t>栋（</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FangSong_GB2312" w:hAnsi="FangSong_GB2312" w:eastAsia="FangSong_GB2312" w:cs="FangSong_GB2312"/>
                <w:spacing w:val="-4"/>
                <w:sz w:val="18"/>
                <w:szCs w:val="18"/>
              </w:rPr>
              <w:t>套）</w:t>
            </w:r>
          </w:p>
        </w:tc>
      </w:tr>
      <w:tr w14:paraId="247AE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40" w:type="dxa"/>
            <w:vMerge w:val="continue"/>
            <w:tcBorders>
              <w:top w:val="nil"/>
              <w:bottom w:val="nil"/>
            </w:tcBorders>
            <w:vAlign w:val="top"/>
          </w:tcPr>
          <w:p w14:paraId="41B05935">
            <w:pPr>
              <w:rPr>
                <w:rFonts w:ascii="Arial"/>
                <w:sz w:val="21"/>
              </w:rPr>
            </w:pPr>
          </w:p>
        </w:tc>
        <w:tc>
          <w:tcPr>
            <w:tcW w:w="1499" w:type="dxa"/>
            <w:vAlign w:val="top"/>
          </w:tcPr>
          <w:p w14:paraId="7F81C779">
            <w:pPr>
              <w:spacing w:before="86" w:line="216" w:lineRule="auto"/>
              <w:ind w:left="30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319" w:type="dxa"/>
            <w:vAlign w:val="top"/>
          </w:tcPr>
          <w:p w14:paraId="3CBB6DC1">
            <w:pPr>
              <w:spacing w:before="64"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137" w:type="dxa"/>
            <w:vAlign w:val="top"/>
          </w:tcPr>
          <w:p w14:paraId="15094B34">
            <w:pPr>
              <w:spacing w:before="29" w:line="216" w:lineRule="auto"/>
              <w:ind w:left="220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硬化场地</w:t>
            </w:r>
          </w:p>
        </w:tc>
      </w:tr>
      <w:tr w14:paraId="5A718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40" w:type="dxa"/>
            <w:vMerge w:val="continue"/>
            <w:tcBorders>
              <w:top w:val="nil"/>
            </w:tcBorders>
            <w:vAlign w:val="top"/>
          </w:tcPr>
          <w:p w14:paraId="2DEEF4D4">
            <w:pPr>
              <w:rPr>
                <w:rFonts w:ascii="Arial"/>
                <w:sz w:val="21"/>
              </w:rPr>
            </w:pPr>
          </w:p>
        </w:tc>
        <w:tc>
          <w:tcPr>
            <w:tcW w:w="1499" w:type="dxa"/>
            <w:vAlign w:val="top"/>
          </w:tcPr>
          <w:p w14:paraId="34990A8D">
            <w:pPr>
              <w:spacing w:before="135" w:line="216" w:lineRule="auto"/>
              <w:ind w:left="31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319" w:type="dxa"/>
            <w:vAlign w:val="top"/>
          </w:tcPr>
          <w:p w14:paraId="212439FF">
            <w:pPr>
              <w:spacing w:before="113"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137" w:type="dxa"/>
            <w:vAlign w:val="top"/>
          </w:tcPr>
          <w:p w14:paraId="7D451466">
            <w:pPr>
              <w:spacing w:before="75" w:line="214" w:lineRule="auto"/>
              <w:ind w:left="104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主体建筑周围及硬化场地周围绿化区域</w:t>
            </w:r>
          </w:p>
        </w:tc>
      </w:tr>
      <w:tr w14:paraId="36648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439" w:type="dxa"/>
            <w:gridSpan w:val="2"/>
            <w:vAlign w:val="top"/>
          </w:tcPr>
          <w:p w14:paraId="553BFD6D">
            <w:pPr>
              <w:spacing w:before="69" w:line="216" w:lineRule="auto"/>
              <w:ind w:left="1045"/>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319" w:type="dxa"/>
            <w:vAlign w:val="top"/>
          </w:tcPr>
          <w:p w14:paraId="6BADC8C3">
            <w:pPr>
              <w:spacing w:before="50" w:line="188" w:lineRule="auto"/>
              <w:ind w:left="47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5137" w:type="dxa"/>
            <w:vAlign w:val="top"/>
          </w:tcPr>
          <w:p w14:paraId="5E8AB95A">
            <w:pPr>
              <w:spacing w:before="69" w:line="214" w:lineRule="auto"/>
              <w:ind w:left="212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项目建设区</w:t>
            </w:r>
          </w:p>
        </w:tc>
      </w:tr>
    </w:tbl>
    <w:p w14:paraId="068A5C01">
      <w:pPr>
        <w:spacing w:before="32" w:line="222" w:lineRule="auto"/>
        <w:ind w:left="3495"/>
        <w:rPr>
          <w:rFonts w:ascii="FangSong_GB2312" w:hAnsi="FangSong_GB2312" w:eastAsia="FangSong_GB2312" w:cs="FangSong_GB2312"/>
          <w:sz w:val="20"/>
          <w:szCs w:val="20"/>
        </w:rPr>
      </w:pPr>
      <w:r>
        <w:rPr>
          <w:rFonts w:ascii="FangSong_GB2312" w:hAnsi="FangSong_GB2312" w:eastAsia="FangSong_GB2312" w:cs="FangSong_GB2312"/>
          <w:b/>
          <w:bCs/>
          <w:spacing w:val="3"/>
          <w:sz w:val="20"/>
          <w:szCs w:val="20"/>
        </w:rPr>
        <w:t>表</w:t>
      </w:r>
      <w:r>
        <w:rPr>
          <w:rFonts w:ascii="FangSong_GB2312" w:hAnsi="FangSong_GB2312" w:eastAsia="FangSong_GB2312" w:cs="FangSong_GB2312"/>
          <w:spacing w:val="-30"/>
          <w:sz w:val="20"/>
          <w:szCs w:val="20"/>
        </w:rPr>
        <w:t xml:space="preserve"> </w:t>
      </w:r>
      <w:r>
        <w:rPr>
          <w:rFonts w:ascii="Times New Roman" w:hAnsi="Times New Roman" w:eastAsia="Times New Roman" w:cs="Times New Roman"/>
          <w:b/>
          <w:bCs/>
          <w:spacing w:val="3"/>
          <w:sz w:val="20"/>
          <w:szCs w:val="20"/>
        </w:rPr>
        <w:t>1.4-2</w:t>
      </w:r>
      <w:r>
        <w:rPr>
          <w:rFonts w:ascii="Times New Roman" w:hAnsi="Times New Roman" w:eastAsia="Times New Roman" w:cs="Times New Roman"/>
          <w:b/>
          <w:bCs/>
          <w:spacing w:val="5"/>
          <w:sz w:val="20"/>
          <w:szCs w:val="20"/>
        </w:rPr>
        <w:t xml:space="preserve">    </w:t>
      </w:r>
      <w:r>
        <w:rPr>
          <w:rFonts w:ascii="FangSong_GB2312" w:hAnsi="FangSong_GB2312" w:eastAsia="FangSong_GB2312" w:cs="FangSong_GB2312"/>
          <w:b/>
          <w:bCs/>
          <w:spacing w:val="3"/>
          <w:sz w:val="20"/>
          <w:szCs w:val="20"/>
        </w:rPr>
        <w:t>拐点坐标表</w:t>
      </w:r>
    </w:p>
    <w:p w14:paraId="23650EB8">
      <w:pPr>
        <w:spacing w:line="136" w:lineRule="exact"/>
      </w:pPr>
    </w:p>
    <w:tbl>
      <w:tblPr>
        <w:tblStyle w:val="6"/>
        <w:tblW w:w="89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2"/>
        <w:gridCol w:w="3497"/>
        <w:gridCol w:w="3472"/>
      </w:tblGrid>
      <w:tr w14:paraId="12CD8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942" w:type="dxa"/>
            <w:tcBorders>
              <w:top w:val="single" w:color="000000" w:sz="10" w:space="0"/>
              <w:left w:val="single" w:color="000000" w:sz="10" w:space="0"/>
            </w:tcBorders>
            <w:vAlign w:val="top"/>
          </w:tcPr>
          <w:p w14:paraId="5C2AD7A4">
            <w:pPr>
              <w:spacing w:before="107" w:line="214" w:lineRule="auto"/>
              <w:ind w:left="78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拐点</w:t>
            </w:r>
          </w:p>
        </w:tc>
        <w:tc>
          <w:tcPr>
            <w:tcW w:w="3497" w:type="dxa"/>
            <w:tcBorders>
              <w:top w:val="single" w:color="000000" w:sz="10" w:space="0"/>
            </w:tcBorders>
            <w:vAlign w:val="top"/>
          </w:tcPr>
          <w:p w14:paraId="70D5866C">
            <w:pPr>
              <w:spacing w:before="141" w:line="185" w:lineRule="auto"/>
              <w:ind w:left="1679"/>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3472" w:type="dxa"/>
            <w:tcBorders>
              <w:top w:val="single" w:color="000000" w:sz="10" w:space="0"/>
              <w:right w:val="single" w:color="000000" w:sz="10" w:space="0"/>
            </w:tcBorders>
            <w:vAlign w:val="top"/>
          </w:tcPr>
          <w:p w14:paraId="651D17D4">
            <w:pPr>
              <w:spacing w:before="141" w:line="185" w:lineRule="auto"/>
              <w:ind w:left="1670"/>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r>
      <w:tr w14:paraId="28FEB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942" w:type="dxa"/>
            <w:tcBorders>
              <w:left w:val="single" w:color="000000" w:sz="10" w:space="0"/>
            </w:tcBorders>
            <w:vAlign w:val="top"/>
          </w:tcPr>
          <w:p w14:paraId="764CF313">
            <w:pPr>
              <w:spacing w:before="139" w:line="188" w:lineRule="auto"/>
              <w:ind w:left="93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3497" w:type="dxa"/>
            <w:vAlign w:val="top"/>
          </w:tcPr>
          <w:p w14:paraId="787F04AD">
            <w:pPr>
              <w:spacing w:before="139" w:line="188" w:lineRule="auto"/>
              <w:ind w:left="1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3530643.43</w:t>
            </w:r>
          </w:p>
        </w:tc>
        <w:tc>
          <w:tcPr>
            <w:tcW w:w="3472" w:type="dxa"/>
            <w:tcBorders>
              <w:right w:val="single" w:color="000000" w:sz="10" w:space="0"/>
            </w:tcBorders>
            <w:vAlign w:val="top"/>
          </w:tcPr>
          <w:p w14:paraId="4992CE32">
            <w:pPr>
              <w:spacing w:before="139" w:line="188" w:lineRule="auto"/>
              <w:ind w:left="1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35537010.36</w:t>
            </w:r>
          </w:p>
        </w:tc>
      </w:tr>
      <w:tr w14:paraId="69A99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942" w:type="dxa"/>
            <w:tcBorders>
              <w:left w:val="single" w:color="000000" w:sz="10" w:space="0"/>
            </w:tcBorders>
            <w:vAlign w:val="top"/>
          </w:tcPr>
          <w:p w14:paraId="1ABC5E36">
            <w:pPr>
              <w:spacing w:before="143" w:line="188" w:lineRule="auto"/>
              <w:ind w:left="91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3497" w:type="dxa"/>
            <w:vAlign w:val="top"/>
          </w:tcPr>
          <w:p w14:paraId="66E82055">
            <w:pPr>
              <w:spacing w:before="143" w:line="188" w:lineRule="auto"/>
              <w:ind w:left="1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3530655.60</w:t>
            </w:r>
          </w:p>
        </w:tc>
        <w:tc>
          <w:tcPr>
            <w:tcW w:w="3472" w:type="dxa"/>
            <w:tcBorders>
              <w:right w:val="single" w:color="000000" w:sz="10" w:space="0"/>
            </w:tcBorders>
            <w:vAlign w:val="top"/>
          </w:tcPr>
          <w:p w14:paraId="46C2EC9C">
            <w:pPr>
              <w:spacing w:before="143" w:line="188" w:lineRule="auto"/>
              <w:ind w:left="1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35537000.60</w:t>
            </w:r>
          </w:p>
        </w:tc>
      </w:tr>
      <w:tr w14:paraId="7700E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942" w:type="dxa"/>
            <w:tcBorders>
              <w:left w:val="single" w:color="000000" w:sz="10" w:space="0"/>
            </w:tcBorders>
            <w:vAlign w:val="top"/>
          </w:tcPr>
          <w:p w14:paraId="28037662">
            <w:pPr>
              <w:spacing w:before="148" w:line="188" w:lineRule="auto"/>
              <w:ind w:left="91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3497" w:type="dxa"/>
            <w:vAlign w:val="top"/>
          </w:tcPr>
          <w:p w14:paraId="1B6D139E">
            <w:pPr>
              <w:spacing w:before="148" w:line="188" w:lineRule="auto"/>
              <w:ind w:left="1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3530635.83</w:t>
            </w:r>
          </w:p>
        </w:tc>
        <w:tc>
          <w:tcPr>
            <w:tcW w:w="3472" w:type="dxa"/>
            <w:tcBorders>
              <w:right w:val="single" w:color="000000" w:sz="10" w:space="0"/>
            </w:tcBorders>
            <w:vAlign w:val="top"/>
          </w:tcPr>
          <w:p w14:paraId="600E9F89">
            <w:pPr>
              <w:spacing w:before="148" w:line="188" w:lineRule="auto"/>
              <w:ind w:left="1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35536975.94</w:t>
            </w:r>
          </w:p>
        </w:tc>
      </w:tr>
      <w:tr w14:paraId="44074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2" w:type="dxa"/>
            <w:tcBorders>
              <w:left w:val="single" w:color="000000" w:sz="10" w:space="0"/>
              <w:bottom w:val="single" w:color="000000" w:sz="10" w:space="0"/>
            </w:tcBorders>
            <w:vAlign w:val="top"/>
          </w:tcPr>
          <w:p w14:paraId="286AE584">
            <w:pPr>
              <w:spacing w:before="153" w:line="188" w:lineRule="auto"/>
              <w:ind w:left="91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3497" w:type="dxa"/>
            <w:tcBorders>
              <w:bottom w:val="single" w:color="000000" w:sz="10" w:space="0"/>
            </w:tcBorders>
            <w:vAlign w:val="top"/>
          </w:tcPr>
          <w:p w14:paraId="6CEC985C">
            <w:pPr>
              <w:spacing w:before="153" w:line="188" w:lineRule="auto"/>
              <w:ind w:left="13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3530623.66</w:t>
            </w:r>
          </w:p>
        </w:tc>
        <w:tc>
          <w:tcPr>
            <w:tcW w:w="3472" w:type="dxa"/>
            <w:tcBorders>
              <w:bottom w:val="single" w:color="000000" w:sz="10" w:space="0"/>
              <w:right w:val="single" w:color="000000" w:sz="10" w:space="0"/>
            </w:tcBorders>
            <w:vAlign w:val="top"/>
          </w:tcPr>
          <w:p w14:paraId="5D508395">
            <w:pPr>
              <w:spacing w:before="153" w:line="188" w:lineRule="auto"/>
              <w:ind w:left="12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35536985.71</w:t>
            </w:r>
          </w:p>
        </w:tc>
      </w:tr>
    </w:tbl>
    <w:p w14:paraId="3E6D846E">
      <w:pPr>
        <w:spacing w:before="308" w:line="216" w:lineRule="auto"/>
        <w:ind w:left="52"/>
        <w:outlineLvl w:val="1"/>
        <w:rPr>
          <w:rFonts w:ascii="FangSong_GB2312" w:hAnsi="FangSong_GB2312" w:eastAsia="FangSong_GB2312" w:cs="FangSong_GB2312"/>
          <w:sz w:val="30"/>
          <w:szCs w:val="30"/>
        </w:rPr>
      </w:pPr>
      <w:bookmarkStart w:id="19" w:name="bookmark12"/>
      <w:bookmarkEnd w:id="19"/>
      <w:bookmarkStart w:id="20" w:name="bookmark13"/>
      <w:bookmarkEnd w:id="20"/>
      <w:r>
        <w:rPr>
          <w:rFonts w:ascii="Times New Roman" w:hAnsi="Times New Roman" w:eastAsia="Times New Roman" w:cs="Times New Roman"/>
          <w:b/>
          <w:bCs/>
          <w:spacing w:val="-4"/>
          <w:sz w:val="30"/>
          <w:szCs w:val="30"/>
        </w:rPr>
        <w:t xml:space="preserve">1.5 </w:t>
      </w:r>
      <w:r>
        <w:rPr>
          <w:rFonts w:ascii="FangSong_GB2312" w:hAnsi="FangSong_GB2312" w:eastAsia="FangSong_GB2312" w:cs="FangSong_GB2312"/>
          <w:b/>
          <w:bCs/>
          <w:spacing w:val="-4"/>
          <w:sz w:val="30"/>
          <w:szCs w:val="30"/>
        </w:rPr>
        <w:t>水土流失防治目标</w:t>
      </w:r>
    </w:p>
    <w:p w14:paraId="100EB397">
      <w:pPr>
        <w:pStyle w:val="2"/>
        <w:spacing w:line="345" w:lineRule="auto"/>
      </w:pPr>
    </w:p>
    <w:p w14:paraId="1E6F5343">
      <w:pPr>
        <w:spacing w:before="92" w:line="214" w:lineRule="auto"/>
        <w:ind w:left="51"/>
        <w:outlineLvl w:val="2"/>
        <w:rPr>
          <w:rFonts w:ascii="FangSong_GB2312" w:hAnsi="FangSong_GB2312" w:eastAsia="FangSong_GB2312" w:cs="FangSong_GB2312"/>
          <w:sz w:val="28"/>
          <w:szCs w:val="28"/>
        </w:rPr>
      </w:pPr>
      <w:r>
        <w:rPr>
          <w:rFonts w:ascii="Times New Roman" w:hAnsi="Times New Roman" w:eastAsia="Times New Roman" w:cs="Times New Roman"/>
          <w:b/>
          <w:bCs/>
          <w:spacing w:val="-3"/>
          <w:sz w:val="28"/>
          <w:szCs w:val="28"/>
        </w:rPr>
        <w:t xml:space="preserve">1.5.1 </w:t>
      </w:r>
      <w:r>
        <w:rPr>
          <w:rFonts w:ascii="FangSong_GB2312" w:hAnsi="FangSong_GB2312" w:eastAsia="FangSong_GB2312" w:cs="FangSong_GB2312"/>
          <w:b/>
          <w:bCs/>
          <w:spacing w:val="-3"/>
          <w:sz w:val="28"/>
          <w:szCs w:val="28"/>
        </w:rPr>
        <w:t>执行标准等级</w:t>
      </w:r>
    </w:p>
    <w:p w14:paraId="5A0E0D5F">
      <w:pPr>
        <w:pStyle w:val="2"/>
        <w:spacing w:line="255" w:lineRule="auto"/>
      </w:pPr>
    </w:p>
    <w:p w14:paraId="686D0A43">
      <w:pPr>
        <w:spacing w:before="79" w:line="349" w:lineRule="auto"/>
        <w:ind w:left="39" w:firstLine="480"/>
        <w:jc w:val="both"/>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w:t>
      </w:r>
      <w:r>
        <w:rPr>
          <w:rFonts w:ascii="FangSong_GB2312" w:hAnsi="FangSong_GB2312" w:eastAsia="FangSong_GB2312" w:cs="FangSong_GB2312"/>
          <w:spacing w:val="6"/>
          <w:sz w:val="24"/>
          <w:szCs w:val="24"/>
        </w:rPr>
        <w:t>点治理区复核划分成</w:t>
      </w:r>
      <w:r>
        <w:rPr>
          <w:rFonts w:ascii="FangSong_GB2312" w:hAnsi="FangSong_GB2312" w:eastAsia="FangSong_GB2312" w:cs="FangSong_GB2312"/>
          <w:sz w:val="24"/>
          <w:szCs w:val="24"/>
        </w:rPr>
        <w:t>果》（办水保〔</w:t>
      </w:r>
      <w:r>
        <w:rPr>
          <w:rFonts w:ascii="Times New Roman" w:hAnsi="Times New Roman" w:eastAsia="Times New Roman" w:cs="Times New Roman"/>
          <w:sz w:val="24"/>
          <w:szCs w:val="24"/>
        </w:rPr>
        <w:t>2013</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188</w:t>
      </w:r>
      <w:r>
        <w:rPr>
          <w:rFonts w:ascii="Times New Roman" w:hAnsi="Times New Roman" w:eastAsia="Times New Roman" w:cs="Times New Roman"/>
          <w:spacing w:val="23"/>
          <w:w w:val="101"/>
          <w:sz w:val="24"/>
          <w:szCs w:val="24"/>
        </w:rPr>
        <w:t xml:space="preserve"> </w:t>
      </w:r>
      <w:r>
        <w:rPr>
          <w:rFonts w:ascii="FangSong_GB2312" w:hAnsi="FangSong_GB2312" w:eastAsia="FangSong_GB2312" w:cs="FangSong_GB2312"/>
          <w:sz w:val="24"/>
          <w:szCs w:val="24"/>
        </w:rPr>
        <w:t>号</w:t>
      </w:r>
      <w:r>
        <w:rPr>
          <w:rFonts w:ascii="FangSong_GB2312" w:hAnsi="FangSong_GB2312" w:eastAsia="FangSong_GB2312" w:cs="FangSong_GB2312"/>
          <w:spacing w:val="13"/>
          <w:sz w:val="24"/>
          <w:szCs w:val="24"/>
        </w:rPr>
        <w:t>），</w:t>
      </w:r>
      <w:r>
        <w:rPr>
          <w:rFonts w:ascii="FangSong_GB2312" w:hAnsi="FangSong_GB2312" w:eastAsia="FangSong_GB2312" w:cs="FangSong_GB2312"/>
          <w:sz w:val="24"/>
          <w:szCs w:val="24"/>
        </w:rPr>
        <w:t>项目区属于嘉陵江及沱江中下游国家级水土流失重点治理区；根据水利部办公厅关于印发《全国水土保持区划（</w:t>
      </w:r>
      <w:r>
        <w:rPr>
          <w:rFonts w:ascii="FangSong_GB2312" w:hAnsi="FangSong_GB2312" w:eastAsia="FangSong_GB2312" w:cs="FangSong_GB2312"/>
          <w:spacing w:val="-1"/>
          <w:sz w:val="24"/>
          <w:szCs w:val="24"/>
        </w:rPr>
        <w:t>试行）的通知》（办水</w:t>
      </w:r>
      <w:r>
        <w:rPr>
          <w:rFonts w:ascii="FangSong_GB2312" w:hAnsi="FangSong_GB2312" w:eastAsia="FangSong_GB2312" w:cs="FangSong_GB2312"/>
          <w:spacing w:val="1"/>
          <w:sz w:val="24"/>
          <w:szCs w:val="24"/>
        </w:rPr>
        <w:t>保〔</w:t>
      </w:r>
      <w:r>
        <w:rPr>
          <w:rFonts w:ascii="Times New Roman" w:hAnsi="Times New Roman" w:eastAsia="Times New Roman" w:cs="Times New Roman"/>
          <w:spacing w:val="1"/>
          <w:sz w:val="24"/>
          <w:szCs w:val="24"/>
        </w:rPr>
        <w:t>2012</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512</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1"/>
          <w:sz w:val="24"/>
          <w:szCs w:val="24"/>
        </w:rPr>
        <w:t>号）确定项目区属西南紫色土区；根据</w:t>
      </w:r>
      <w:r>
        <w:rPr>
          <w:rFonts w:ascii="FangSong_GB2312" w:hAnsi="FangSong_GB2312" w:eastAsia="FangSong_GB2312" w:cs="FangSong_GB2312"/>
          <w:sz w:val="24"/>
          <w:szCs w:val="24"/>
        </w:rPr>
        <w:t>《生产建设项目水土流失防治标准》（</w:t>
      </w:r>
      <w:r>
        <w:rPr>
          <w:rFonts w:ascii="Times New Roman" w:hAnsi="Times New Roman" w:eastAsia="Times New Roman" w:cs="Times New Roman"/>
          <w:sz w:val="24"/>
          <w:szCs w:val="24"/>
        </w:rPr>
        <w:t>GB/T50434-2018</w:t>
      </w:r>
      <w:r>
        <w:rPr>
          <w:rFonts w:ascii="FangSong_GB2312" w:hAnsi="FangSong_GB2312" w:eastAsia="FangSong_GB2312" w:cs="FangSong_GB2312"/>
          <w:sz w:val="24"/>
          <w:szCs w:val="24"/>
        </w:rPr>
        <w:t>）和《生产建设项目水土保持技术标准》</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GB50433-2018</w:t>
      </w:r>
      <w:r>
        <w:rPr>
          <w:rFonts w:ascii="FangSong_GB2312" w:hAnsi="FangSong_GB2312" w:eastAsia="FangSong_GB2312" w:cs="FangSong_GB2312"/>
          <w:spacing w:val="-1"/>
          <w:sz w:val="24"/>
          <w:szCs w:val="24"/>
        </w:rPr>
        <w:t>）</w:t>
      </w:r>
      <w:r>
        <w:rPr>
          <w:rFonts w:ascii="FangSong_GB2312" w:hAnsi="FangSong_GB2312" w:eastAsia="FangSong_GB2312" w:cs="FangSong_GB2312"/>
          <w:spacing w:val="-3"/>
          <w:sz w:val="24"/>
          <w:szCs w:val="24"/>
        </w:rPr>
        <w:t>的有关规定，</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项目位于各级人民政府和相关机构确定的水土流失重点预防区和</w:t>
      </w:r>
      <w:r>
        <w:rPr>
          <w:rFonts w:ascii="FangSong_GB2312" w:hAnsi="FangSong_GB2312" w:eastAsia="FangSong_GB2312" w:cs="FangSong_GB2312"/>
          <w:spacing w:val="-4"/>
          <w:sz w:val="24"/>
          <w:szCs w:val="24"/>
        </w:rPr>
        <w:t>重点治</w:t>
      </w:r>
      <w:r>
        <w:rPr>
          <w:rFonts w:ascii="FangSong_GB2312" w:hAnsi="FangSong_GB2312" w:eastAsia="FangSong_GB2312" w:cs="FangSong_GB2312"/>
          <w:spacing w:val="-2"/>
          <w:sz w:val="24"/>
          <w:szCs w:val="24"/>
        </w:rPr>
        <w:t>理区、饮用水水源保护区、水功能一级区的保护区和保留区、</w:t>
      </w:r>
      <w:r>
        <w:rPr>
          <w:rFonts w:ascii="FangSong_GB2312" w:hAnsi="FangSong_GB2312" w:eastAsia="FangSong_GB2312" w:cs="FangSong_GB2312"/>
          <w:spacing w:val="-56"/>
          <w:sz w:val="24"/>
          <w:szCs w:val="24"/>
        </w:rPr>
        <w:t xml:space="preserve"> </w:t>
      </w:r>
      <w:r>
        <w:rPr>
          <w:rFonts w:ascii="FangSong_GB2312" w:hAnsi="FangSong_GB2312" w:eastAsia="FangSong_GB2312" w:cs="FangSong_GB2312"/>
          <w:spacing w:val="-2"/>
          <w:sz w:val="24"/>
          <w:szCs w:val="24"/>
        </w:rPr>
        <w:t>自然保护区、世界文化</w:t>
      </w:r>
    </w:p>
    <w:p w14:paraId="4C8854B6">
      <w:pPr>
        <w:spacing w:line="228" w:lineRule="auto"/>
        <w:ind w:left="5417"/>
        <w:rPr>
          <w:rFonts w:ascii="FangSong_GB2312" w:hAnsi="FangSong_GB2312" w:eastAsia="FangSong_GB2312" w:cs="FangSong_GB2312"/>
          <w:sz w:val="20"/>
          <w:szCs w:val="20"/>
        </w:rPr>
      </w:pPr>
      <w:r>
        <w:pict>
          <v:shape id="_x0000_s1034" o:spid="_x0000_s1034" o:spt="202" type="#_x0000_t202" style="position:absolute;left:0pt;margin-left:220.9pt;margin-top:-0.2pt;height:10.15pt;width:6pt;z-index:251684864;mso-width-relative:page;mso-height-relative:page;" filled="f" stroked="f" coordsize="21600,21600">
            <v:path/>
            <v:fill on="f" focussize="0,0"/>
            <v:stroke on="f"/>
            <v:imagedata o:title=""/>
            <o:lock v:ext="edit" aspectratio="f"/>
            <v:textbox inset="0mm,0mm,0mm,0mm">
              <w:txbxContent>
                <w:p w14:paraId="3B19B44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xbxContent>
            </v:textbox>
          </v:shape>
        </w:pict>
      </w:r>
      <w:r>
        <w:rPr>
          <w:rFonts w:ascii="FangSong_GB2312" w:hAnsi="FangSong_GB2312" w:eastAsia="FangSong_GB2312" w:cs="FangSong_GB2312"/>
          <w:spacing w:val="8"/>
          <w:sz w:val="20"/>
          <w:szCs w:val="20"/>
        </w:rPr>
        <w:t>剑阁县绿森林业勘察设计有限公司</w:t>
      </w:r>
    </w:p>
    <w:p w14:paraId="0BCDC464">
      <w:pPr>
        <w:spacing w:line="228" w:lineRule="auto"/>
        <w:rPr>
          <w:rFonts w:ascii="FangSong_GB2312" w:hAnsi="FangSong_GB2312" w:eastAsia="FangSong_GB2312" w:cs="FangSong_GB2312"/>
          <w:sz w:val="20"/>
          <w:szCs w:val="20"/>
        </w:rPr>
        <w:sectPr>
          <w:headerReference r:id="rId26" w:type="default"/>
          <w:pgSz w:w="11906" w:h="16839"/>
          <w:pgMar w:top="1164" w:right="1437" w:bottom="400" w:left="1481" w:header="831" w:footer="0" w:gutter="0"/>
          <w:cols w:space="720" w:num="1"/>
        </w:sectPr>
      </w:pPr>
    </w:p>
    <w:p w14:paraId="582A7071">
      <w:pPr>
        <w:spacing w:before="196" w:line="359" w:lineRule="auto"/>
        <w:ind w:left="5" w:right="60" w:firstLine="9"/>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和自然遗产地、风景名胜区、地质公园、森林公园、重要湿地，且不能避让的，以及</w:t>
      </w:r>
      <w:r>
        <w:rPr>
          <w:rFonts w:ascii="FangSong_GB2312" w:hAnsi="FangSong_GB2312" w:eastAsia="FangSong_GB2312" w:cs="FangSong_GB2312"/>
          <w:spacing w:val="-3"/>
          <w:sz w:val="24"/>
          <w:szCs w:val="24"/>
        </w:rPr>
        <w:t>位于县级及以上城市区域的，应执行一级标准</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，因此本项目水土流失防治指标执</w:t>
      </w:r>
      <w:r>
        <w:rPr>
          <w:rFonts w:ascii="FangSong_GB2312" w:hAnsi="FangSong_GB2312" w:eastAsia="FangSong_GB2312" w:cs="FangSong_GB2312"/>
          <w:spacing w:val="-4"/>
          <w:sz w:val="24"/>
          <w:szCs w:val="24"/>
        </w:rPr>
        <w:t>行建</w:t>
      </w:r>
      <w:r>
        <w:rPr>
          <w:rFonts w:ascii="FangSong_GB2312" w:hAnsi="FangSong_GB2312" w:eastAsia="FangSong_GB2312" w:cs="FangSong_GB2312"/>
          <w:spacing w:val="-1"/>
          <w:sz w:val="24"/>
          <w:szCs w:val="24"/>
        </w:rPr>
        <w:t>设类项目西南紫色土区一级标准。</w:t>
      </w:r>
    </w:p>
    <w:p w14:paraId="587F118A">
      <w:pPr>
        <w:spacing w:before="129" w:line="216" w:lineRule="auto"/>
        <w:ind w:left="18"/>
        <w:outlineLvl w:val="2"/>
        <w:rPr>
          <w:rFonts w:ascii="FangSong_GB2312" w:hAnsi="FangSong_GB2312" w:eastAsia="FangSong_GB2312" w:cs="FangSong_GB2312"/>
          <w:sz w:val="28"/>
          <w:szCs w:val="28"/>
        </w:rPr>
      </w:pPr>
      <w:r>
        <w:rPr>
          <w:rFonts w:ascii="Times New Roman" w:hAnsi="Times New Roman" w:eastAsia="Times New Roman" w:cs="Times New Roman"/>
          <w:b/>
          <w:bCs/>
          <w:spacing w:val="-7"/>
          <w:sz w:val="28"/>
          <w:szCs w:val="28"/>
        </w:rPr>
        <w:t>1.5.2</w:t>
      </w:r>
      <w:r>
        <w:rPr>
          <w:rFonts w:ascii="Times New Roman" w:hAnsi="Times New Roman" w:eastAsia="Times New Roman" w:cs="Times New Roman"/>
          <w:b/>
          <w:bCs/>
          <w:spacing w:val="17"/>
          <w:sz w:val="28"/>
          <w:szCs w:val="28"/>
        </w:rPr>
        <w:t xml:space="preserve">  </w:t>
      </w:r>
      <w:r>
        <w:rPr>
          <w:rFonts w:ascii="FangSong_GB2312" w:hAnsi="FangSong_GB2312" w:eastAsia="FangSong_GB2312" w:cs="FangSong_GB2312"/>
          <w:b/>
          <w:bCs/>
          <w:spacing w:val="-7"/>
          <w:sz w:val="28"/>
          <w:szCs w:val="28"/>
        </w:rPr>
        <w:t>防治目标</w:t>
      </w:r>
    </w:p>
    <w:p w14:paraId="5D5D0BC6">
      <w:pPr>
        <w:pStyle w:val="2"/>
        <w:spacing w:line="250" w:lineRule="auto"/>
      </w:pPr>
    </w:p>
    <w:p w14:paraId="12A41757">
      <w:pPr>
        <w:spacing w:before="78" w:line="359" w:lineRule="auto"/>
        <w:ind w:left="12" w:right="60" w:firstLine="474"/>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根据《生产建设项目水土流失防治标准》（</w:t>
      </w:r>
      <w:r>
        <w:rPr>
          <w:rFonts w:ascii="Times New Roman" w:hAnsi="Times New Roman" w:eastAsia="Times New Roman" w:cs="Times New Roman"/>
          <w:spacing w:val="-1"/>
          <w:sz w:val="24"/>
          <w:szCs w:val="24"/>
        </w:rPr>
        <w:t>GB/T50433-2018</w:t>
      </w:r>
      <w:r>
        <w:rPr>
          <w:rFonts w:ascii="FangSong_GB2312" w:hAnsi="FangSong_GB2312" w:eastAsia="FangSong_GB2312" w:cs="FangSong_GB2312"/>
          <w:spacing w:val="-1"/>
          <w:sz w:val="24"/>
          <w:szCs w:val="24"/>
        </w:rPr>
        <w:t>）及本项目的建设特</w:t>
      </w:r>
      <w:r>
        <w:rPr>
          <w:rFonts w:ascii="FangSong_GB2312" w:hAnsi="FangSong_GB2312" w:eastAsia="FangSong_GB2312" w:cs="FangSong_GB2312"/>
          <w:sz w:val="24"/>
          <w:szCs w:val="24"/>
        </w:rPr>
        <w:t>点、环境现状等，明确本项目水土流失防治的基</w:t>
      </w:r>
      <w:r>
        <w:rPr>
          <w:rFonts w:ascii="FangSong_GB2312" w:hAnsi="FangSong_GB2312" w:eastAsia="FangSong_GB2312" w:cs="FangSong_GB2312"/>
          <w:spacing w:val="-1"/>
          <w:sz w:val="24"/>
          <w:szCs w:val="24"/>
        </w:rPr>
        <w:t>本目标为：项目建设范围内的新增水</w:t>
      </w:r>
      <w:r>
        <w:rPr>
          <w:rFonts w:ascii="FangSong_GB2312" w:hAnsi="FangSong_GB2312" w:eastAsia="FangSong_GB2312" w:cs="FangSong_GB2312"/>
          <w:sz w:val="24"/>
          <w:szCs w:val="24"/>
        </w:rPr>
        <w:t>土流失应得到有效控制，原有水土流失得到治理</w:t>
      </w:r>
      <w:r>
        <w:rPr>
          <w:rFonts w:ascii="FangSong_GB2312" w:hAnsi="FangSong_GB2312" w:eastAsia="FangSong_GB2312" w:cs="FangSong_GB2312"/>
          <w:spacing w:val="-1"/>
          <w:sz w:val="24"/>
          <w:szCs w:val="24"/>
        </w:rPr>
        <w:t>；水土保持设施应安全有效；水土资</w:t>
      </w:r>
      <w:r>
        <w:rPr>
          <w:rFonts w:ascii="FangSong_GB2312" w:hAnsi="FangSong_GB2312" w:eastAsia="FangSong_GB2312" w:cs="FangSong_GB2312"/>
          <w:sz w:val="24"/>
          <w:szCs w:val="24"/>
        </w:rPr>
        <w:t>源、林草植被应得到最大限度的保护与恢复；水</w:t>
      </w:r>
      <w:r>
        <w:rPr>
          <w:rFonts w:ascii="FangSong_GB2312" w:hAnsi="FangSong_GB2312" w:eastAsia="FangSong_GB2312" w:cs="FangSong_GB2312"/>
          <w:spacing w:val="-1"/>
          <w:sz w:val="24"/>
          <w:szCs w:val="24"/>
        </w:rPr>
        <w:t>土流失防治目标值六项指标达到西南</w:t>
      </w:r>
      <w:r>
        <w:rPr>
          <w:rFonts w:ascii="FangSong_GB2312" w:hAnsi="FangSong_GB2312" w:eastAsia="FangSong_GB2312" w:cs="FangSong_GB2312"/>
          <w:spacing w:val="-2"/>
          <w:sz w:val="24"/>
          <w:szCs w:val="24"/>
        </w:rPr>
        <w:t>紫色土区一级标准。</w:t>
      </w:r>
    </w:p>
    <w:p w14:paraId="55001B7F">
      <w:pPr>
        <w:spacing w:before="2" w:line="358" w:lineRule="auto"/>
        <w:ind w:left="5" w:right="60" w:firstLine="503"/>
        <w:jc w:val="both"/>
        <w:rPr>
          <w:rFonts w:ascii="FangSong_GB2312" w:hAnsi="FangSong_GB2312" w:eastAsia="FangSong_GB2312" w:cs="FangSong_GB2312"/>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z w:val="24"/>
          <w:szCs w:val="24"/>
        </w:rPr>
        <w:t>、根据《生产建设项目水土流失防治标准》（</w:t>
      </w:r>
      <w:r>
        <w:rPr>
          <w:rFonts w:ascii="Times New Roman" w:hAnsi="Times New Roman" w:eastAsia="Times New Roman" w:cs="Times New Roman"/>
          <w:sz w:val="24"/>
          <w:szCs w:val="24"/>
        </w:rPr>
        <w:t>GB/T50434-2018</w:t>
      </w:r>
      <w:r>
        <w:rPr>
          <w:rFonts w:ascii="FangSong_GB2312" w:hAnsi="FangSong_GB2312" w:eastAsia="FangSong_GB2312" w:cs="FangSong_GB2312"/>
          <w:spacing w:val="15"/>
          <w:sz w:val="24"/>
          <w:szCs w:val="24"/>
        </w:rPr>
        <w:t>），</w:t>
      </w:r>
      <w:r>
        <w:rPr>
          <w:rFonts w:ascii="FangSong_GB2312" w:hAnsi="FangSong_GB2312" w:eastAsia="FangSong_GB2312" w:cs="FangSong_GB2312"/>
          <w:sz w:val="24"/>
          <w:szCs w:val="24"/>
        </w:rPr>
        <w:t>结合项目区气候类型、土壤侵蚀强度、地形、所处位置以及项目特性等对水</w:t>
      </w:r>
      <w:r>
        <w:rPr>
          <w:rFonts w:ascii="FangSong_GB2312" w:hAnsi="FangSong_GB2312" w:eastAsia="FangSong_GB2312" w:cs="FangSong_GB2312"/>
          <w:spacing w:val="-1"/>
          <w:sz w:val="24"/>
          <w:szCs w:val="24"/>
        </w:rPr>
        <w:t>土流失防治标准进行</w:t>
      </w:r>
      <w:r>
        <w:rPr>
          <w:rFonts w:ascii="FangSong_GB2312" w:hAnsi="FangSong_GB2312" w:eastAsia="FangSong_GB2312" w:cs="FangSong_GB2312"/>
          <w:spacing w:val="-2"/>
          <w:sz w:val="24"/>
          <w:szCs w:val="24"/>
        </w:rPr>
        <w:t>修正：</w:t>
      </w:r>
    </w:p>
    <w:p w14:paraId="7F74541E">
      <w:pPr>
        <w:spacing w:before="2" w:line="358" w:lineRule="auto"/>
        <w:ind w:left="8" w:right="60" w:firstLine="476"/>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）水土流失治理度、林草植被恢复率、林草覆盖率可根据干旱程度按照下列</w:t>
      </w:r>
      <w:r>
        <w:rPr>
          <w:rFonts w:ascii="FangSong_GB2312" w:hAnsi="FangSong_GB2312" w:eastAsia="FangSong_GB2312" w:cs="FangSong_GB2312"/>
          <w:sz w:val="24"/>
          <w:szCs w:val="24"/>
        </w:rPr>
        <w:t>原则进行调整：</w:t>
      </w:r>
      <w:r>
        <w:rPr>
          <w:rFonts w:ascii="宋体" w:hAnsi="宋体" w:eastAsia="宋体" w:cs="宋体"/>
          <w:sz w:val="24"/>
          <w:szCs w:val="24"/>
        </w:rPr>
        <w:t>①</w:t>
      </w:r>
      <w:r>
        <w:rPr>
          <w:rFonts w:ascii="FangSong_GB2312" w:hAnsi="FangSong_GB2312" w:eastAsia="FangSong_GB2312" w:cs="FangSong_GB2312"/>
          <w:sz w:val="24"/>
          <w:szCs w:val="24"/>
        </w:rPr>
        <w:t>位于极干旱地区的，林草植被恢复和林</w:t>
      </w:r>
      <w:r>
        <w:rPr>
          <w:rFonts w:ascii="FangSong_GB2312" w:hAnsi="FangSong_GB2312" w:eastAsia="FangSong_GB2312" w:cs="FangSong_GB2312"/>
          <w:spacing w:val="-1"/>
          <w:sz w:val="24"/>
          <w:szCs w:val="24"/>
        </w:rPr>
        <w:t>草覆盖率可不作定量要求，</w:t>
      </w:r>
      <w:r>
        <w:rPr>
          <w:rFonts w:ascii="FangSong_GB2312" w:hAnsi="FangSong_GB2312" w:eastAsia="FangSong_GB2312" w:cs="FangSong_GB2312"/>
          <w:spacing w:val="-3"/>
          <w:sz w:val="24"/>
          <w:szCs w:val="24"/>
        </w:rPr>
        <w:t>水土流失治理度可降低</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3"/>
          <w:sz w:val="24"/>
          <w:szCs w:val="24"/>
        </w:rPr>
        <w:t>5%~8%</w:t>
      </w:r>
      <w:r>
        <w:rPr>
          <w:rFonts w:ascii="FangSong_GB2312" w:hAnsi="FangSong_GB2312" w:eastAsia="FangSong_GB2312" w:cs="FangSong_GB2312"/>
          <w:spacing w:val="-3"/>
          <w:sz w:val="24"/>
          <w:szCs w:val="24"/>
        </w:rPr>
        <w:t>；</w:t>
      </w:r>
      <w:r>
        <w:rPr>
          <w:rFonts w:ascii="宋体" w:hAnsi="宋体" w:eastAsia="宋体" w:cs="宋体"/>
          <w:spacing w:val="-3"/>
          <w:sz w:val="24"/>
          <w:szCs w:val="24"/>
        </w:rPr>
        <w:t>②</w:t>
      </w:r>
      <w:r>
        <w:rPr>
          <w:rFonts w:ascii="FangSong_GB2312" w:hAnsi="FangSong_GB2312" w:eastAsia="FangSong_GB2312" w:cs="FangSong_GB2312"/>
          <w:spacing w:val="-3"/>
          <w:sz w:val="24"/>
          <w:szCs w:val="24"/>
        </w:rPr>
        <w:t>位于干旱地</w:t>
      </w:r>
      <w:r>
        <w:rPr>
          <w:rFonts w:ascii="FangSong_GB2312" w:hAnsi="FangSong_GB2312" w:eastAsia="FangSong_GB2312" w:cs="FangSong_GB2312"/>
          <w:spacing w:val="-4"/>
          <w:sz w:val="24"/>
          <w:szCs w:val="24"/>
        </w:rPr>
        <w:t>区的，水土流失治理度、林草植被恢复</w:t>
      </w:r>
      <w:r>
        <w:rPr>
          <w:rFonts w:ascii="FangSong_GB2312" w:hAnsi="FangSong_GB2312" w:eastAsia="FangSong_GB2312" w:cs="FangSong_GB2312"/>
          <w:spacing w:val="-2"/>
          <w:sz w:val="24"/>
          <w:szCs w:val="24"/>
        </w:rPr>
        <w:t>率、林草覆盖率可降低</w:t>
      </w:r>
      <w:r>
        <w:rPr>
          <w:rFonts w:ascii="FangSong_GB2312" w:hAnsi="FangSong_GB2312" w:eastAsia="FangSong_GB2312" w:cs="FangSong_GB2312"/>
          <w:spacing w:val="-39"/>
          <w:sz w:val="24"/>
          <w:szCs w:val="24"/>
        </w:rPr>
        <w:t xml:space="preserve"> </w:t>
      </w:r>
      <w:r>
        <w:rPr>
          <w:rFonts w:ascii="Times New Roman" w:hAnsi="Times New Roman" w:eastAsia="Times New Roman" w:cs="Times New Roman"/>
          <w:spacing w:val="-2"/>
          <w:sz w:val="24"/>
          <w:szCs w:val="24"/>
        </w:rPr>
        <w:t>3%~5%</w:t>
      </w:r>
      <w:r>
        <w:rPr>
          <w:rFonts w:ascii="FangSong_GB2312" w:hAnsi="FangSong_GB2312" w:eastAsia="FangSong_GB2312" w:cs="FangSong_GB2312"/>
          <w:spacing w:val="-2"/>
          <w:sz w:val="24"/>
          <w:szCs w:val="24"/>
        </w:rPr>
        <w:t>。</w:t>
      </w:r>
    </w:p>
    <w:p w14:paraId="7BF9FECB">
      <w:pPr>
        <w:spacing w:before="6" w:line="359" w:lineRule="auto"/>
        <w:ind w:left="5" w:firstLine="483"/>
        <w:jc w:val="both"/>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广元市剑阁县多年平均降水量</w:t>
      </w:r>
      <w:r>
        <w:rPr>
          <w:rFonts w:ascii="FangSong_GB2312" w:hAnsi="FangSong_GB2312" w:eastAsia="FangSong_GB2312" w:cs="FangSong_GB2312"/>
          <w:spacing w:val="-20"/>
          <w:sz w:val="24"/>
          <w:szCs w:val="24"/>
        </w:rPr>
        <w:t xml:space="preserve"> </w:t>
      </w:r>
      <w:r>
        <w:rPr>
          <w:rFonts w:ascii="Times New Roman" w:hAnsi="Times New Roman" w:eastAsia="Times New Roman" w:cs="Times New Roman"/>
          <w:spacing w:val="-4"/>
          <w:sz w:val="24"/>
          <w:szCs w:val="24"/>
        </w:rPr>
        <w:t>1086.60mm</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4"/>
          <w:sz w:val="24"/>
          <w:szCs w:val="24"/>
        </w:rPr>
        <w:t>，多年平均蒸发量</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1002.00mm</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4"/>
          <w:sz w:val="24"/>
          <w:szCs w:val="24"/>
        </w:rPr>
        <w:t>，干燥度</w:t>
      </w:r>
      <w:r>
        <w:rPr>
          <w:rFonts w:ascii="FangSong_GB2312" w:hAnsi="FangSong_GB2312" w:eastAsia="FangSong_GB2312" w:cs="FangSong_GB2312"/>
          <w:spacing w:val="-5"/>
          <w:sz w:val="24"/>
          <w:szCs w:val="24"/>
        </w:rPr>
        <w:t>（最大可能蒸发量与降水量之比）采用近似估算为</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5"/>
          <w:sz w:val="24"/>
          <w:szCs w:val="24"/>
        </w:rPr>
        <w:t>0.92</w:t>
      </w:r>
      <w:r>
        <w:rPr>
          <w:rFonts w:ascii="FangSong_GB2312" w:hAnsi="FangSong_GB2312" w:eastAsia="FangSong_GB2312" w:cs="FangSong_GB2312"/>
          <w:spacing w:val="-5"/>
          <w:sz w:val="24"/>
          <w:szCs w:val="24"/>
        </w:rPr>
        <w:t>，对比气候大区年干燥度指标，</w:t>
      </w:r>
      <w:r>
        <w:rPr>
          <w:rFonts w:ascii="FangSong_GB2312" w:hAnsi="FangSong_GB2312" w:eastAsia="FangSong_GB2312" w:cs="FangSong_GB2312"/>
          <w:sz w:val="24"/>
          <w:szCs w:val="24"/>
        </w:rPr>
        <w:t>本项目位于湿润区，水土流失治理度、林草植被恢复率和林草</w:t>
      </w:r>
      <w:r>
        <w:rPr>
          <w:rFonts w:ascii="FangSong_GB2312" w:hAnsi="FangSong_GB2312" w:eastAsia="FangSong_GB2312" w:cs="FangSong_GB2312"/>
          <w:spacing w:val="-1"/>
          <w:sz w:val="24"/>
          <w:szCs w:val="24"/>
        </w:rPr>
        <w:t>覆盖率不调整。</w:t>
      </w:r>
    </w:p>
    <w:p w14:paraId="20CFF911">
      <w:pPr>
        <w:spacing w:before="2" w:line="359" w:lineRule="auto"/>
        <w:ind w:left="9" w:right="60" w:firstLine="475"/>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2</w:t>
      </w:r>
      <w:r>
        <w:rPr>
          <w:rFonts w:ascii="FangSong_GB2312" w:hAnsi="FangSong_GB2312" w:eastAsia="FangSong_GB2312" w:cs="FangSong_GB2312"/>
          <w:spacing w:val="-4"/>
          <w:sz w:val="24"/>
          <w:szCs w:val="24"/>
        </w:rPr>
        <w:t>）土壤流失控制比在轻度侵蚀为主的区域不应小于</w:t>
      </w:r>
      <w:r>
        <w:rPr>
          <w:rFonts w:ascii="FangSong_GB2312" w:hAnsi="FangSong_GB2312" w:eastAsia="FangSong_GB2312" w:cs="FangSong_GB2312"/>
          <w:spacing w:val="-18"/>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4"/>
          <w:sz w:val="24"/>
          <w:szCs w:val="24"/>
        </w:rPr>
        <w:t>，中度以上侵蚀为主的区</w:t>
      </w:r>
      <w:r>
        <w:rPr>
          <w:rFonts w:ascii="FangSong_GB2312" w:hAnsi="FangSong_GB2312" w:eastAsia="FangSong_GB2312" w:cs="FangSong_GB2312"/>
          <w:spacing w:val="-2"/>
          <w:sz w:val="24"/>
          <w:szCs w:val="24"/>
        </w:rPr>
        <w:t>域可降低</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2"/>
          <w:sz w:val="24"/>
          <w:szCs w:val="24"/>
        </w:rPr>
        <w:t>0.1~0.2</w:t>
      </w:r>
      <w:r>
        <w:rPr>
          <w:rFonts w:ascii="FangSong_GB2312" w:hAnsi="FangSong_GB2312" w:eastAsia="FangSong_GB2312" w:cs="FangSong_GB2312"/>
          <w:spacing w:val="-2"/>
          <w:sz w:val="24"/>
          <w:szCs w:val="24"/>
        </w:rPr>
        <w:t>。</w:t>
      </w:r>
    </w:p>
    <w:p w14:paraId="24BC8103">
      <w:pPr>
        <w:spacing w:before="2" w:line="357" w:lineRule="auto"/>
        <w:ind w:left="12" w:right="60" w:firstLine="480"/>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项</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2"/>
          <w:sz w:val="24"/>
          <w:szCs w:val="24"/>
        </w:rPr>
        <w:t>目区土壤侵蚀强度以轻度为主，土壤流失控制比不应小于</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w:t>
      </w:r>
      <w:r>
        <w:rPr>
          <w:rFonts w:ascii="FangSong_GB2312" w:hAnsi="FangSong_GB2312" w:eastAsia="FangSong_GB2312" w:cs="FangSong_GB2312"/>
          <w:spacing w:val="-3"/>
          <w:sz w:val="24"/>
          <w:szCs w:val="24"/>
        </w:rPr>
        <w:t>本工程土壤流失控制比提高</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pacing w:val="-3"/>
          <w:sz w:val="24"/>
          <w:szCs w:val="24"/>
        </w:rPr>
        <w:t>0.15</w:t>
      </w:r>
      <w:r>
        <w:rPr>
          <w:rFonts w:ascii="FangSong_GB2312" w:hAnsi="FangSong_GB2312" w:eastAsia="FangSong_GB2312" w:cs="FangSong_GB2312"/>
          <w:spacing w:val="-3"/>
          <w:sz w:val="24"/>
          <w:szCs w:val="24"/>
        </w:rPr>
        <w:t>。</w:t>
      </w:r>
    </w:p>
    <w:p w14:paraId="218E1575">
      <w:pPr>
        <w:spacing w:before="3" w:line="358" w:lineRule="auto"/>
        <w:ind w:left="12" w:right="62" w:firstLine="47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w:t>
      </w:r>
      <w:r>
        <w:rPr>
          <w:rFonts w:ascii="FangSong_GB2312" w:hAnsi="FangSong_GB2312" w:eastAsia="FangSong_GB2312" w:cs="FangSong_GB2312"/>
          <w:spacing w:val="-1"/>
          <w:sz w:val="24"/>
          <w:szCs w:val="24"/>
        </w:rPr>
        <w:t>）在中山区的项目，渣土防护率可减少</w:t>
      </w:r>
      <w:r>
        <w:rPr>
          <w:rFonts w:ascii="FangSong_GB2312" w:hAnsi="FangSong_GB2312" w:eastAsia="FangSong_GB2312" w:cs="FangSong_GB2312"/>
          <w:spacing w:val="-24"/>
          <w:sz w:val="24"/>
          <w:szCs w:val="24"/>
        </w:rPr>
        <w:t xml:space="preserve"> </w:t>
      </w:r>
      <w:r>
        <w:rPr>
          <w:rFonts w:ascii="Times New Roman" w:hAnsi="Times New Roman" w:eastAsia="Times New Roman" w:cs="Times New Roman"/>
          <w:spacing w:val="-1"/>
          <w:sz w:val="24"/>
          <w:szCs w:val="24"/>
        </w:rPr>
        <w:t>1%~3%</w:t>
      </w:r>
      <w:r>
        <w:rPr>
          <w:rFonts w:ascii="FangSong_GB2312" w:hAnsi="FangSong_GB2312" w:eastAsia="FangSong_GB2312" w:cs="FangSong_GB2312"/>
          <w:spacing w:val="-1"/>
          <w:sz w:val="24"/>
          <w:szCs w:val="24"/>
        </w:rPr>
        <w:t>；在极高山、高山区的项目渣</w:t>
      </w:r>
      <w:r>
        <w:rPr>
          <w:rFonts w:ascii="FangSong_GB2312" w:hAnsi="FangSong_GB2312" w:eastAsia="FangSong_GB2312" w:cs="FangSong_GB2312"/>
          <w:spacing w:val="-2"/>
          <w:sz w:val="24"/>
          <w:szCs w:val="24"/>
        </w:rPr>
        <w:t>土防护率可减少</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3%~5%</w:t>
      </w:r>
      <w:r>
        <w:rPr>
          <w:rFonts w:ascii="FangSong_GB2312" w:hAnsi="FangSong_GB2312" w:eastAsia="FangSong_GB2312" w:cs="FangSong_GB2312"/>
          <w:spacing w:val="-2"/>
          <w:sz w:val="24"/>
          <w:szCs w:val="24"/>
        </w:rPr>
        <w:t>。</w:t>
      </w:r>
    </w:p>
    <w:p w14:paraId="79CD821F">
      <w:pPr>
        <w:spacing w:before="2" w:line="214"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本项目位于海拔</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1"/>
          <w:sz w:val="24"/>
          <w:szCs w:val="24"/>
        </w:rPr>
        <w:t xml:space="preserve">827.68m~832.45m </w:t>
      </w:r>
      <w:r>
        <w:rPr>
          <w:rFonts w:ascii="FangSong_GB2312" w:hAnsi="FangSong_GB2312" w:eastAsia="FangSong_GB2312" w:cs="FangSong_GB2312"/>
          <w:spacing w:val="-1"/>
          <w:sz w:val="24"/>
          <w:szCs w:val="24"/>
        </w:rPr>
        <w:t>左右的低海拔区域，渣土防护率不调整。</w:t>
      </w:r>
    </w:p>
    <w:p w14:paraId="33ADE4BA">
      <w:pPr>
        <w:spacing w:before="185" w:line="216"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4</w:t>
      </w:r>
      <w:r>
        <w:rPr>
          <w:rFonts w:ascii="FangSong_GB2312" w:hAnsi="FangSong_GB2312" w:eastAsia="FangSong_GB2312" w:cs="FangSong_GB2312"/>
          <w:spacing w:val="-1"/>
          <w:sz w:val="24"/>
          <w:szCs w:val="24"/>
        </w:rPr>
        <w:t>）位于城市区的项目渣土防护率和林草覆盖率可提高</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%~2%</w:t>
      </w:r>
      <w:r>
        <w:rPr>
          <w:rFonts w:ascii="FangSong_GB2312" w:hAnsi="FangSong_GB2312" w:eastAsia="FangSong_GB2312" w:cs="FangSong_GB2312"/>
          <w:spacing w:val="-2"/>
          <w:sz w:val="24"/>
          <w:szCs w:val="24"/>
        </w:rPr>
        <w:t>。</w:t>
      </w:r>
    </w:p>
    <w:p w14:paraId="58D59621">
      <w:pPr>
        <w:spacing w:before="187" w:line="216"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本项目不属于城市区，渣土防护率和林草覆盖率不调整；</w:t>
      </w:r>
    </w:p>
    <w:p w14:paraId="52F79E78">
      <w:pPr>
        <w:spacing w:before="186" w:line="215" w:lineRule="auto"/>
        <w:ind w:left="485"/>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5</w:t>
      </w:r>
      <w:r>
        <w:rPr>
          <w:rFonts w:ascii="FangSong_GB2312" w:hAnsi="FangSong_GB2312" w:eastAsia="FangSong_GB2312" w:cs="FangSong_GB2312"/>
          <w:sz w:val="24"/>
          <w:szCs w:val="24"/>
        </w:rPr>
        <w:t>）对林草植被有限制的项目，林草覆盖率可按相关</w:t>
      </w:r>
      <w:r>
        <w:rPr>
          <w:rFonts w:ascii="FangSong_GB2312" w:hAnsi="FangSong_GB2312" w:eastAsia="FangSong_GB2312" w:cs="FangSong_GB2312"/>
          <w:spacing w:val="-1"/>
          <w:sz w:val="24"/>
          <w:szCs w:val="24"/>
        </w:rPr>
        <w:t>规定适当调整。</w:t>
      </w:r>
    </w:p>
    <w:p w14:paraId="6A6B29CB">
      <w:pPr>
        <w:spacing w:before="189" w:line="310" w:lineRule="auto"/>
        <w:ind w:left="5384" w:right="60" w:hanging="4895"/>
        <w:rPr>
          <w:rFonts w:ascii="FangSong_GB2312" w:hAnsi="FangSong_GB2312" w:eastAsia="FangSong_GB2312" w:cs="FangSong_GB2312"/>
          <w:sz w:val="20"/>
          <w:szCs w:val="20"/>
        </w:rPr>
      </w:pPr>
      <w:r>
        <w:pict>
          <v:shape id="_x0000_s1035" o:spid="_x0000_s1035" o:spt="202" type="#_x0000_t202" style="position:absolute;left:0pt;margin-left:219.1pt;margin-top:28.6pt;height:10.15pt;width:6.15pt;z-index:251685888;mso-width-relative:page;mso-height-relative:page;" filled="f" stroked="f" coordsize="21600,21600">
            <v:path/>
            <v:fill on="f" focussize="0,0"/>
            <v:stroke on="f"/>
            <v:imagedata o:title=""/>
            <o:lock v:ext="edit" aspectratio="f"/>
            <v:textbox inset="0mm,0mm,0mm,0mm">
              <w:txbxContent>
                <w:p w14:paraId="43BF684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xbxContent>
            </v:textbox>
          </v:shape>
        </w:pict>
      </w:r>
      <w:r>
        <w:rPr>
          <w:rFonts w:ascii="FangSong_GB2312" w:hAnsi="FangSong_GB2312" w:eastAsia="FangSong_GB2312" w:cs="FangSong_GB2312"/>
          <w:sz w:val="24"/>
          <w:szCs w:val="24"/>
        </w:rPr>
        <w:t>本项目属于对林草植被有限制的项目，项目占地已</w:t>
      </w:r>
      <w:r>
        <w:rPr>
          <w:rFonts w:ascii="FangSong_GB2312" w:hAnsi="FangSong_GB2312" w:eastAsia="FangSong_GB2312" w:cs="FangSong_GB2312"/>
          <w:spacing w:val="-1"/>
          <w:sz w:val="24"/>
          <w:szCs w:val="24"/>
        </w:rPr>
        <w:t>尽可能用于周转房建设，林草</w:t>
      </w:r>
      <w:r>
        <w:rPr>
          <w:rFonts w:ascii="FangSong_GB2312" w:hAnsi="FangSong_GB2312" w:eastAsia="FangSong_GB2312" w:cs="FangSong_GB2312"/>
          <w:spacing w:val="8"/>
          <w:sz w:val="20"/>
          <w:szCs w:val="20"/>
        </w:rPr>
        <w:t>剑阁县绿森林业勘察设计有限公司</w:t>
      </w:r>
    </w:p>
    <w:p w14:paraId="1CABEC1B">
      <w:pPr>
        <w:spacing w:line="310" w:lineRule="auto"/>
        <w:rPr>
          <w:rFonts w:ascii="FangSong_GB2312" w:hAnsi="FangSong_GB2312" w:eastAsia="FangSong_GB2312" w:cs="FangSong_GB2312"/>
          <w:sz w:val="20"/>
          <w:szCs w:val="20"/>
        </w:rPr>
        <w:sectPr>
          <w:headerReference r:id="rId27" w:type="default"/>
          <w:pgSz w:w="11906" w:h="16839"/>
          <w:pgMar w:top="1164" w:right="1453" w:bottom="400" w:left="1513" w:header="831" w:footer="0" w:gutter="0"/>
          <w:cols w:space="720" w:num="1"/>
        </w:sectPr>
      </w:pPr>
    </w:p>
    <w:p w14:paraId="76633478">
      <w:pPr>
        <w:spacing w:before="197" w:line="214" w:lineRule="auto"/>
        <w:ind w:left="7"/>
        <w:rPr>
          <w:rFonts w:ascii="FangSong_GB2312" w:hAnsi="FangSong_GB2312" w:eastAsia="FangSong_GB2312" w:cs="FangSong_GB2312"/>
          <w:sz w:val="24"/>
          <w:szCs w:val="24"/>
        </w:rPr>
      </w:pPr>
      <w:bookmarkStart w:id="21" w:name="bookmark98"/>
      <w:bookmarkEnd w:id="21"/>
      <w:r>
        <w:rPr>
          <w:rFonts w:ascii="FangSong_GB2312" w:hAnsi="FangSong_GB2312" w:eastAsia="FangSong_GB2312" w:cs="FangSong_GB2312"/>
          <w:spacing w:val="-2"/>
          <w:sz w:val="24"/>
          <w:szCs w:val="24"/>
        </w:rPr>
        <w:t>覆盖率调整为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20%</w:t>
      </w:r>
      <w:r>
        <w:rPr>
          <w:rFonts w:ascii="FangSong_GB2312" w:hAnsi="FangSong_GB2312" w:eastAsia="FangSong_GB2312" w:cs="FangSong_GB2312"/>
          <w:spacing w:val="-2"/>
          <w:sz w:val="24"/>
          <w:szCs w:val="24"/>
        </w:rPr>
        <w:t>。</w:t>
      </w:r>
    </w:p>
    <w:p w14:paraId="5A35B0A7">
      <w:pPr>
        <w:spacing w:before="186" w:line="359" w:lineRule="auto"/>
        <w:ind w:left="7" w:firstLine="477"/>
        <w:jc w:val="both"/>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FangSong_GB2312" w:hAnsi="FangSong_GB2312" w:eastAsia="FangSong_GB2312" w:cs="FangSong_GB2312"/>
          <w:spacing w:val="-6"/>
          <w:sz w:val="24"/>
          <w:szCs w:val="24"/>
        </w:rPr>
        <w:t>、根据《生产建设项目水土流失防治标准》（</w:t>
      </w:r>
      <w:r>
        <w:rPr>
          <w:rFonts w:ascii="Times New Roman" w:hAnsi="Times New Roman" w:eastAsia="Times New Roman" w:cs="Times New Roman"/>
          <w:spacing w:val="-6"/>
          <w:sz w:val="24"/>
          <w:szCs w:val="24"/>
        </w:rPr>
        <w:t>GB/T 50433-2018</w:t>
      </w:r>
      <w:r>
        <w:rPr>
          <w:rFonts w:ascii="FangSong_GB2312" w:hAnsi="FangSong_GB2312" w:eastAsia="FangSong_GB2312" w:cs="FangSong_GB2312"/>
          <w:spacing w:val="-6"/>
          <w:sz w:val="24"/>
          <w:szCs w:val="24"/>
        </w:rPr>
        <w:t>）第</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6"/>
          <w:sz w:val="24"/>
          <w:szCs w:val="24"/>
        </w:rPr>
        <w:t>3.2.</w:t>
      </w:r>
      <w:r>
        <w:rPr>
          <w:rFonts w:ascii="Times New Roman" w:hAnsi="Times New Roman" w:eastAsia="Times New Roman" w:cs="Times New Roman"/>
          <w:spacing w:val="-7"/>
          <w:sz w:val="24"/>
          <w:szCs w:val="24"/>
        </w:rPr>
        <w:t xml:space="preserve">2 </w:t>
      </w:r>
      <w:r>
        <w:rPr>
          <w:rFonts w:ascii="FangSong_GB2312" w:hAnsi="FangSong_GB2312" w:eastAsia="FangSong_GB2312" w:cs="FangSong_GB2312"/>
          <w:spacing w:val="-7"/>
          <w:sz w:val="24"/>
          <w:szCs w:val="24"/>
        </w:rPr>
        <w:t>条规定：</w:t>
      </w:r>
      <w:r>
        <w:rPr>
          <w:rFonts w:ascii="FangSong_GB2312" w:hAnsi="FangSong_GB2312" w:eastAsia="FangSong_GB2312" w:cs="FangSong_GB2312"/>
          <w:spacing w:val="1"/>
          <w:sz w:val="24"/>
          <w:szCs w:val="24"/>
        </w:rPr>
        <w:t>对无法避让水土流失重点预防区和重点治理区的生产建</w:t>
      </w:r>
      <w:r>
        <w:rPr>
          <w:rFonts w:ascii="FangSong_GB2312" w:hAnsi="FangSong_GB2312" w:eastAsia="FangSong_GB2312" w:cs="FangSong_GB2312"/>
          <w:sz w:val="24"/>
          <w:szCs w:val="24"/>
        </w:rPr>
        <w:t>设项目应提高植物措施标准，</w:t>
      </w:r>
      <w:r>
        <w:rPr>
          <w:rFonts w:ascii="FangSong_GB2312" w:hAnsi="FangSong_GB2312" w:eastAsia="FangSong_GB2312" w:cs="FangSong_GB2312"/>
          <w:spacing w:val="-2"/>
          <w:sz w:val="24"/>
          <w:szCs w:val="24"/>
        </w:rPr>
        <w:t>林草覆盖率应提高</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个</w:t>
      </w:r>
      <w:r>
        <w:rPr>
          <w:rFonts w:ascii="Times New Roman" w:hAnsi="Times New Roman" w:eastAsia="Times New Roman" w:cs="Times New Roman"/>
          <w:spacing w:val="-2"/>
          <w:sz w:val="24"/>
          <w:szCs w:val="24"/>
        </w:rPr>
        <w:t xml:space="preserve">~2 </w:t>
      </w:r>
      <w:r>
        <w:rPr>
          <w:rFonts w:ascii="FangSong_GB2312" w:hAnsi="FangSong_GB2312" w:eastAsia="FangSong_GB2312" w:cs="FangSong_GB2312"/>
          <w:spacing w:val="-2"/>
          <w:sz w:val="24"/>
          <w:szCs w:val="24"/>
        </w:rPr>
        <w:t>个百分点。</w:t>
      </w:r>
    </w:p>
    <w:p w14:paraId="34FA8D04">
      <w:pPr>
        <w:spacing w:line="357" w:lineRule="auto"/>
        <w:ind w:left="5" w:right="51" w:firstLine="484"/>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本项目位于嘉陵江及沱江中下游国家级水土流失重点</w:t>
      </w:r>
      <w:r>
        <w:rPr>
          <w:rFonts w:ascii="FangSong_GB2312" w:hAnsi="FangSong_GB2312" w:eastAsia="FangSong_GB2312" w:cs="FangSong_GB2312"/>
          <w:spacing w:val="6"/>
          <w:sz w:val="24"/>
          <w:szCs w:val="24"/>
        </w:rPr>
        <w:t>治理区，林草覆盖率提高</w:t>
      </w:r>
      <w:r>
        <w:rPr>
          <w:rFonts w:ascii="Times New Roman" w:hAnsi="Times New Roman" w:eastAsia="Times New Roman" w:cs="Times New Roman"/>
          <w:spacing w:val="-2"/>
          <w:sz w:val="24"/>
          <w:szCs w:val="24"/>
        </w:rPr>
        <w:t>2%</w:t>
      </w:r>
      <w:r>
        <w:rPr>
          <w:rFonts w:ascii="FangSong_GB2312" w:hAnsi="FangSong_GB2312" w:eastAsia="FangSong_GB2312" w:cs="FangSong_GB2312"/>
          <w:spacing w:val="-2"/>
          <w:sz w:val="24"/>
          <w:szCs w:val="24"/>
        </w:rPr>
        <w:t>。</w:t>
      </w:r>
    </w:p>
    <w:p w14:paraId="28B9F8E7">
      <w:pPr>
        <w:pStyle w:val="2"/>
      </w:pPr>
    </w:p>
    <w:p w14:paraId="40121871">
      <w:pPr>
        <w:pStyle w:val="2"/>
      </w:pPr>
    </w:p>
    <w:p w14:paraId="3C92DF35">
      <w:pPr>
        <w:pStyle w:val="2"/>
      </w:pPr>
    </w:p>
    <w:p w14:paraId="73393AB2">
      <w:pPr>
        <w:pStyle w:val="2"/>
      </w:pPr>
    </w:p>
    <w:p w14:paraId="03546347">
      <w:pPr>
        <w:pStyle w:val="2"/>
      </w:pPr>
    </w:p>
    <w:p w14:paraId="4B2A102C">
      <w:pPr>
        <w:pStyle w:val="2"/>
      </w:pPr>
    </w:p>
    <w:p w14:paraId="66A667C7">
      <w:pPr>
        <w:pStyle w:val="2"/>
      </w:pPr>
    </w:p>
    <w:p w14:paraId="1C3B5427">
      <w:pPr>
        <w:pStyle w:val="2"/>
      </w:pPr>
    </w:p>
    <w:p w14:paraId="02721A7C">
      <w:pPr>
        <w:pStyle w:val="2"/>
      </w:pPr>
    </w:p>
    <w:p w14:paraId="7C241DC3">
      <w:pPr>
        <w:pStyle w:val="2"/>
      </w:pPr>
    </w:p>
    <w:p w14:paraId="07DD9105">
      <w:pPr>
        <w:pStyle w:val="2"/>
      </w:pPr>
    </w:p>
    <w:p w14:paraId="392B8A0E">
      <w:pPr>
        <w:pStyle w:val="2"/>
      </w:pPr>
    </w:p>
    <w:p w14:paraId="45694604">
      <w:pPr>
        <w:pStyle w:val="2"/>
        <w:spacing w:line="241" w:lineRule="auto"/>
      </w:pPr>
    </w:p>
    <w:p w14:paraId="26BFABEA">
      <w:pPr>
        <w:pStyle w:val="2"/>
        <w:spacing w:line="241" w:lineRule="auto"/>
      </w:pPr>
    </w:p>
    <w:p w14:paraId="4A3728D0">
      <w:pPr>
        <w:pStyle w:val="2"/>
        <w:spacing w:line="241" w:lineRule="auto"/>
      </w:pPr>
    </w:p>
    <w:p w14:paraId="36A7B4F7">
      <w:pPr>
        <w:pStyle w:val="2"/>
        <w:spacing w:line="241" w:lineRule="auto"/>
      </w:pPr>
    </w:p>
    <w:p w14:paraId="722505D0">
      <w:pPr>
        <w:pStyle w:val="2"/>
        <w:spacing w:line="241" w:lineRule="auto"/>
      </w:pPr>
    </w:p>
    <w:p w14:paraId="39A048EB">
      <w:pPr>
        <w:pStyle w:val="2"/>
        <w:spacing w:line="241" w:lineRule="auto"/>
      </w:pPr>
    </w:p>
    <w:p w14:paraId="7AE86EE5">
      <w:pPr>
        <w:pStyle w:val="2"/>
        <w:spacing w:line="241" w:lineRule="auto"/>
      </w:pPr>
    </w:p>
    <w:p w14:paraId="0E1168EA">
      <w:pPr>
        <w:pStyle w:val="2"/>
        <w:spacing w:line="241" w:lineRule="auto"/>
      </w:pPr>
    </w:p>
    <w:p w14:paraId="3E7D5301">
      <w:pPr>
        <w:pStyle w:val="2"/>
        <w:spacing w:line="241" w:lineRule="auto"/>
      </w:pPr>
    </w:p>
    <w:p w14:paraId="2FD7A182">
      <w:pPr>
        <w:pStyle w:val="2"/>
        <w:spacing w:line="241" w:lineRule="auto"/>
      </w:pPr>
    </w:p>
    <w:p w14:paraId="10282C77">
      <w:pPr>
        <w:pStyle w:val="2"/>
        <w:spacing w:line="241" w:lineRule="auto"/>
      </w:pPr>
    </w:p>
    <w:p w14:paraId="352A505F">
      <w:pPr>
        <w:pStyle w:val="2"/>
        <w:spacing w:line="241" w:lineRule="auto"/>
      </w:pPr>
    </w:p>
    <w:p w14:paraId="479B02FE">
      <w:pPr>
        <w:pStyle w:val="2"/>
        <w:spacing w:line="241" w:lineRule="auto"/>
      </w:pPr>
    </w:p>
    <w:p w14:paraId="4D563AC0">
      <w:pPr>
        <w:pStyle w:val="2"/>
        <w:spacing w:line="241" w:lineRule="auto"/>
      </w:pPr>
    </w:p>
    <w:p w14:paraId="1B2B60BF">
      <w:pPr>
        <w:pStyle w:val="2"/>
        <w:spacing w:line="241" w:lineRule="auto"/>
      </w:pPr>
    </w:p>
    <w:p w14:paraId="3BE42A91">
      <w:pPr>
        <w:pStyle w:val="2"/>
        <w:spacing w:line="241" w:lineRule="auto"/>
      </w:pPr>
    </w:p>
    <w:p w14:paraId="0966FEE2">
      <w:pPr>
        <w:pStyle w:val="2"/>
        <w:spacing w:line="241" w:lineRule="auto"/>
      </w:pPr>
    </w:p>
    <w:p w14:paraId="303264EB">
      <w:pPr>
        <w:pStyle w:val="2"/>
        <w:spacing w:line="241" w:lineRule="auto"/>
      </w:pPr>
    </w:p>
    <w:p w14:paraId="1DF9EB92">
      <w:pPr>
        <w:pStyle w:val="2"/>
        <w:spacing w:line="241" w:lineRule="auto"/>
      </w:pPr>
    </w:p>
    <w:p w14:paraId="3B089218">
      <w:pPr>
        <w:pStyle w:val="2"/>
        <w:spacing w:line="241" w:lineRule="auto"/>
      </w:pPr>
    </w:p>
    <w:p w14:paraId="2C16480C">
      <w:pPr>
        <w:pStyle w:val="2"/>
        <w:spacing w:line="241" w:lineRule="auto"/>
      </w:pPr>
    </w:p>
    <w:p w14:paraId="55A2FCC8">
      <w:pPr>
        <w:pStyle w:val="2"/>
        <w:spacing w:line="241" w:lineRule="auto"/>
      </w:pPr>
    </w:p>
    <w:p w14:paraId="5970B85C">
      <w:pPr>
        <w:pStyle w:val="2"/>
        <w:spacing w:line="241" w:lineRule="auto"/>
      </w:pPr>
    </w:p>
    <w:p w14:paraId="55C27600">
      <w:pPr>
        <w:pStyle w:val="2"/>
        <w:spacing w:line="241" w:lineRule="auto"/>
      </w:pPr>
    </w:p>
    <w:p w14:paraId="5274CB55">
      <w:pPr>
        <w:pStyle w:val="2"/>
        <w:spacing w:line="241" w:lineRule="auto"/>
      </w:pPr>
    </w:p>
    <w:p w14:paraId="3A341733">
      <w:pPr>
        <w:pStyle w:val="2"/>
        <w:spacing w:line="241" w:lineRule="auto"/>
      </w:pPr>
    </w:p>
    <w:p w14:paraId="501E9CF2">
      <w:pPr>
        <w:pStyle w:val="2"/>
        <w:spacing w:line="241" w:lineRule="auto"/>
      </w:pPr>
    </w:p>
    <w:p w14:paraId="02AEADD1">
      <w:pPr>
        <w:pStyle w:val="2"/>
        <w:spacing w:line="241" w:lineRule="auto"/>
      </w:pPr>
    </w:p>
    <w:p w14:paraId="6680AB7B">
      <w:pPr>
        <w:pStyle w:val="2"/>
        <w:spacing w:line="241" w:lineRule="auto"/>
      </w:pPr>
    </w:p>
    <w:p w14:paraId="479CF74F">
      <w:pPr>
        <w:pStyle w:val="2"/>
        <w:spacing w:line="241" w:lineRule="auto"/>
      </w:pPr>
    </w:p>
    <w:p w14:paraId="14C2F00D">
      <w:pPr>
        <w:pStyle w:val="2"/>
        <w:spacing w:line="241" w:lineRule="auto"/>
      </w:pPr>
    </w:p>
    <w:p w14:paraId="5D2BCF3F">
      <w:pPr>
        <w:pStyle w:val="2"/>
        <w:spacing w:line="241" w:lineRule="auto"/>
      </w:pPr>
    </w:p>
    <w:p w14:paraId="43A5E490">
      <w:pPr>
        <w:pStyle w:val="2"/>
        <w:spacing w:line="241" w:lineRule="auto"/>
      </w:pPr>
    </w:p>
    <w:p w14:paraId="1FD0CAC0">
      <w:pPr>
        <w:pStyle w:val="2"/>
        <w:spacing w:line="241" w:lineRule="auto"/>
      </w:pPr>
    </w:p>
    <w:p w14:paraId="26574B66">
      <w:pPr>
        <w:pStyle w:val="2"/>
        <w:spacing w:line="241" w:lineRule="auto"/>
      </w:pPr>
    </w:p>
    <w:p w14:paraId="14C09A31">
      <w:pPr>
        <w:spacing w:before="65" w:line="229" w:lineRule="auto"/>
        <w:ind w:left="5384"/>
        <w:rPr>
          <w:rFonts w:ascii="FangSong_GB2312" w:hAnsi="FangSong_GB2312" w:eastAsia="FangSong_GB2312" w:cs="FangSong_GB2312"/>
          <w:sz w:val="20"/>
          <w:szCs w:val="20"/>
        </w:rPr>
      </w:pPr>
      <w:r>
        <w:pict>
          <v:shape id="_x0000_s1036" o:spid="_x0000_s1036" o:spt="202" type="#_x0000_t202" style="position:absolute;left:0pt;margin-left:217.5pt;margin-top:3pt;height:10.15pt;width:10.05pt;z-index:251687936;mso-width-relative:page;mso-height-relative:page;" filled="f" stroked="f" coordsize="21600,21600">
            <v:path/>
            <v:fill on="f" focussize="0,0"/>
            <v:stroke on="f"/>
            <v:imagedata o:title=""/>
            <o:lock v:ext="edit" aspectratio="f"/>
            <v:textbox inset="0mm,0mm,0mm,0mm">
              <w:txbxContent>
                <w:p w14:paraId="2151684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xbxContent>
            </v:textbox>
          </v:shape>
        </w:pict>
      </w:r>
      <w:r>
        <w:rPr>
          <w:rFonts w:ascii="FangSong_GB2312" w:hAnsi="FangSong_GB2312" w:eastAsia="FangSong_GB2312" w:cs="FangSong_GB2312"/>
          <w:spacing w:val="8"/>
          <w:sz w:val="20"/>
          <w:szCs w:val="20"/>
        </w:rPr>
        <w:t>剑阁县绿森林业勘察设计有限公司</w:t>
      </w:r>
    </w:p>
    <w:p w14:paraId="5F3D3A6C">
      <w:pPr>
        <w:spacing w:line="229" w:lineRule="auto"/>
        <w:rPr>
          <w:rFonts w:ascii="FangSong_GB2312" w:hAnsi="FangSong_GB2312" w:eastAsia="FangSong_GB2312" w:cs="FangSong_GB2312"/>
          <w:sz w:val="20"/>
          <w:szCs w:val="20"/>
        </w:rPr>
        <w:sectPr>
          <w:headerReference r:id="rId28" w:type="default"/>
          <w:pgSz w:w="11906" w:h="16839"/>
          <w:pgMar w:top="1164" w:right="1462" w:bottom="400" w:left="1513" w:header="831" w:footer="0" w:gutter="0"/>
          <w:cols w:space="720" w:num="1"/>
        </w:sectPr>
      </w:pPr>
    </w:p>
    <w:p w14:paraId="422F9D2B">
      <w:pPr>
        <w:pStyle w:val="2"/>
        <w:spacing w:line="305" w:lineRule="auto"/>
      </w:pPr>
    </w:p>
    <w:p w14:paraId="1CC56E54">
      <w:pPr>
        <w:spacing w:before="78" w:line="216"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本项目水土流失防治指标见表</w:t>
      </w:r>
      <w:r>
        <w:rPr>
          <w:rFonts w:ascii="FangSong_GB2312" w:hAnsi="FangSong_GB2312" w:eastAsia="FangSong_GB2312" w:cs="FangSong_GB2312"/>
          <w:spacing w:val="-15"/>
          <w:sz w:val="24"/>
          <w:szCs w:val="24"/>
        </w:rPr>
        <w:t xml:space="preserve"> </w:t>
      </w:r>
      <w:r>
        <w:rPr>
          <w:rFonts w:ascii="Times New Roman" w:hAnsi="Times New Roman" w:eastAsia="Times New Roman" w:cs="Times New Roman"/>
          <w:spacing w:val="-3"/>
          <w:sz w:val="24"/>
          <w:szCs w:val="24"/>
        </w:rPr>
        <w:t>1.5-1</w:t>
      </w:r>
      <w:r>
        <w:rPr>
          <w:rFonts w:ascii="FangSong_GB2312" w:hAnsi="FangSong_GB2312" w:eastAsia="FangSong_GB2312" w:cs="FangSong_GB2312"/>
          <w:spacing w:val="-3"/>
          <w:sz w:val="24"/>
          <w:szCs w:val="24"/>
        </w:rPr>
        <w:t>。</w:t>
      </w:r>
    </w:p>
    <w:p w14:paraId="2DA4CDF6">
      <w:pPr>
        <w:spacing w:before="180" w:line="224" w:lineRule="auto"/>
        <w:ind w:left="5605"/>
        <w:rPr>
          <w:rFonts w:ascii="FangSong_GB2312" w:hAnsi="FangSong_GB2312" w:eastAsia="FangSong_GB2312" w:cs="FangSong_GB2312"/>
          <w:sz w:val="20"/>
          <w:szCs w:val="20"/>
        </w:rPr>
      </w:pPr>
      <w:bookmarkStart w:id="22" w:name="bookmark99"/>
      <w:bookmarkEnd w:id="22"/>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9"/>
          <w:sz w:val="20"/>
          <w:szCs w:val="20"/>
        </w:rPr>
        <w:t xml:space="preserve"> </w:t>
      </w:r>
      <w:r>
        <w:rPr>
          <w:rFonts w:ascii="Times New Roman" w:hAnsi="Times New Roman" w:eastAsia="Times New Roman" w:cs="Times New Roman"/>
          <w:b/>
          <w:bCs/>
          <w:spacing w:val="5"/>
          <w:sz w:val="20"/>
          <w:szCs w:val="20"/>
        </w:rPr>
        <w:t xml:space="preserve">1.5-1    </w:t>
      </w:r>
      <w:r>
        <w:rPr>
          <w:rFonts w:ascii="FangSong_GB2312" w:hAnsi="FangSong_GB2312" w:eastAsia="FangSong_GB2312" w:cs="FangSong_GB2312"/>
          <w:b/>
          <w:bCs/>
          <w:spacing w:val="5"/>
          <w:sz w:val="20"/>
          <w:szCs w:val="20"/>
        </w:rPr>
        <w:t>水土流失防治指标修正表</w:t>
      </w:r>
    </w:p>
    <w:p w14:paraId="3F029B2D">
      <w:pPr>
        <w:spacing w:before="154"/>
      </w:pPr>
    </w:p>
    <w:tbl>
      <w:tblPr>
        <w:tblStyle w:val="6"/>
        <w:tblW w:w="144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559"/>
        <w:gridCol w:w="793"/>
        <w:gridCol w:w="888"/>
        <w:gridCol w:w="1103"/>
        <w:gridCol w:w="818"/>
        <w:gridCol w:w="1029"/>
        <w:gridCol w:w="1209"/>
        <w:gridCol w:w="1178"/>
        <w:gridCol w:w="536"/>
        <w:gridCol w:w="677"/>
        <w:gridCol w:w="4620"/>
      </w:tblGrid>
      <w:tr w14:paraId="5E71A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93" w:type="dxa"/>
            <w:vMerge w:val="restart"/>
            <w:tcBorders>
              <w:top w:val="single" w:color="000000" w:sz="10" w:space="0"/>
              <w:left w:val="single" w:color="000000" w:sz="10" w:space="0"/>
              <w:bottom w:val="nil"/>
            </w:tcBorders>
            <w:vAlign w:val="top"/>
          </w:tcPr>
          <w:p w14:paraId="07206ABE">
            <w:pPr>
              <w:spacing w:line="336" w:lineRule="auto"/>
              <w:rPr>
                <w:rFonts w:ascii="Arial"/>
                <w:sz w:val="21"/>
              </w:rPr>
            </w:pPr>
          </w:p>
          <w:p w14:paraId="0581253F">
            <w:pPr>
              <w:spacing w:line="337" w:lineRule="auto"/>
              <w:rPr>
                <w:rFonts w:ascii="Arial"/>
                <w:sz w:val="21"/>
              </w:rPr>
            </w:pPr>
          </w:p>
          <w:p w14:paraId="426CF017">
            <w:pPr>
              <w:spacing w:before="58" w:line="216" w:lineRule="auto"/>
              <w:ind w:left="14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防治目标</w:t>
            </w:r>
          </w:p>
        </w:tc>
        <w:tc>
          <w:tcPr>
            <w:tcW w:w="1352" w:type="dxa"/>
            <w:gridSpan w:val="2"/>
            <w:tcBorders>
              <w:top w:val="single" w:color="000000" w:sz="10" w:space="0"/>
            </w:tcBorders>
            <w:vAlign w:val="top"/>
          </w:tcPr>
          <w:p w14:paraId="75770B88">
            <w:pPr>
              <w:spacing w:before="32" w:line="341" w:lineRule="auto"/>
              <w:ind w:left="317" w:right="144" w:hanging="18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标准规定（二</w:t>
            </w:r>
            <w:r>
              <w:rPr>
                <w:rFonts w:ascii="FangSong_GB2312" w:hAnsi="FangSong_GB2312" w:eastAsia="FangSong_GB2312" w:cs="FangSong_GB2312"/>
                <w:spacing w:val="-4"/>
                <w:sz w:val="18"/>
                <w:szCs w:val="18"/>
              </w:rPr>
              <w:t>级标准）</w:t>
            </w:r>
          </w:p>
        </w:tc>
        <w:tc>
          <w:tcPr>
            <w:tcW w:w="6225" w:type="dxa"/>
            <w:gridSpan w:val="6"/>
            <w:tcBorders>
              <w:top w:val="single" w:color="000000" w:sz="10" w:space="0"/>
            </w:tcBorders>
            <w:vAlign w:val="top"/>
          </w:tcPr>
          <w:p w14:paraId="0AB8886A">
            <w:pPr>
              <w:spacing w:before="208" w:line="215" w:lineRule="auto"/>
              <w:ind w:left="275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标准修正</w:t>
            </w:r>
          </w:p>
        </w:tc>
        <w:tc>
          <w:tcPr>
            <w:tcW w:w="1213" w:type="dxa"/>
            <w:gridSpan w:val="2"/>
            <w:tcBorders>
              <w:top w:val="single" w:color="000000" w:sz="10" w:space="0"/>
            </w:tcBorders>
            <w:vAlign w:val="top"/>
          </w:tcPr>
          <w:p w14:paraId="47BD86BA">
            <w:pPr>
              <w:spacing w:before="208" w:line="215" w:lineRule="auto"/>
              <w:ind w:left="25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采用标准</w:t>
            </w:r>
          </w:p>
        </w:tc>
        <w:tc>
          <w:tcPr>
            <w:tcW w:w="4620" w:type="dxa"/>
            <w:vMerge w:val="restart"/>
            <w:tcBorders>
              <w:top w:val="single" w:color="000000" w:sz="10" w:space="0"/>
              <w:bottom w:val="nil"/>
              <w:right w:val="single" w:color="000000" w:sz="10" w:space="0"/>
            </w:tcBorders>
            <w:vAlign w:val="top"/>
          </w:tcPr>
          <w:p w14:paraId="5EA2B9E1">
            <w:pPr>
              <w:spacing w:line="336" w:lineRule="auto"/>
              <w:rPr>
                <w:rFonts w:ascii="Arial"/>
                <w:sz w:val="21"/>
              </w:rPr>
            </w:pPr>
          </w:p>
          <w:p w14:paraId="3DB47C4B">
            <w:pPr>
              <w:spacing w:line="337" w:lineRule="auto"/>
              <w:rPr>
                <w:rFonts w:ascii="Arial"/>
                <w:sz w:val="21"/>
              </w:rPr>
            </w:pPr>
          </w:p>
          <w:p w14:paraId="767DB7F7">
            <w:pPr>
              <w:spacing w:before="58" w:line="216" w:lineRule="auto"/>
              <w:ind w:left="2139"/>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备注</w:t>
            </w:r>
          </w:p>
        </w:tc>
      </w:tr>
      <w:tr w14:paraId="3AB76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993" w:type="dxa"/>
            <w:vMerge w:val="continue"/>
            <w:tcBorders>
              <w:top w:val="nil"/>
              <w:left w:val="single" w:color="000000" w:sz="10" w:space="0"/>
            </w:tcBorders>
            <w:vAlign w:val="top"/>
          </w:tcPr>
          <w:p w14:paraId="66FD6EE4">
            <w:pPr>
              <w:rPr>
                <w:rFonts w:ascii="Arial"/>
                <w:sz w:val="21"/>
              </w:rPr>
            </w:pPr>
          </w:p>
        </w:tc>
        <w:tc>
          <w:tcPr>
            <w:tcW w:w="559" w:type="dxa"/>
            <w:textDirection w:val="tbRlV"/>
            <w:vAlign w:val="top"/>
          </w:tcPr>
          <w:p w14:paraId="53FB5D12">
            <w:pPr>
              <w:spacing w:before="198" w:line="205" w:lineRule="auto"/>
              <w:ind w:left="31"/>
              <w:rPr>
                <w:rFonts w:ascii="FangSong_GB2312" w:hAnsi="FangSong_GB2312" w:eastAsia="FangSong_GB2312" w:cs="FangSong_GB2312"/>
                <w:sz w:val="18"/>
                <w:szCs w:val="18"/>
              </w:rPr>
            </w:pPr>
            <w:r>
              <w:rPr>
                <w:rFonts w:ascii="FangSong_GB2312" w:hAnsi="FangSong_GB2312" w:eastAsia="FangSong_GB2312" w:cs="FangSong_GB2312"/>
                <w:spacing w:val="-19"/>
                <w:sz w:val="18"/>
                <w:szCs w:val="18"/>
              </w:rPr>
              <w:t>施</w:t>
            </w:r>
            <w:r>
              <w:rPr>
                <w:rFonts w:ascii="FangSong_GB2312" w:hAnsi="FangSong_GB2312" w:eastAsia="FangSong_GB2312" w:cs="FangSong_GB2312"/>
                <w:spacing w:val="9"/>
                <w:sz w:val="18"/>
                <w:szCs w:val="18"/>
              </w:rPr>
              <w:t xml:space="preserve">  </w:t>
            </w:r>
            <w:r>
              <w:rPr>
                <w:rFonts w:ascii="FangSong_GB2312" w:hAnsi="FangSong_GB2312" w:eastAsia="FangSong_GB2312" w:cs="FangSong_GB2312"/>
                <w:spacing w:val="-19"/>
                <w:sz w:val="18"/>
                <w:szCs w:val="18"/>
              </w:rPr>
              <w:t>工</w:t>
            </w:r>
            <w:r>
              <w:rPr>
                <w:rFonts w:ascii="FangSong_GB2312" w:hAnsi="FangSong_GB2312" w:eastAsia="FangSong_GB2312" w:cs="FangSong_GB2312"/>
                <w:spacing w:val="9"/>
                <w:sz w:val="18"/>
                <w:szCs w:val="18"/>
              </w:rPr>
              <w:t xml:space="preserve">  </w:t>
            </w:r>
            <w:r>
              <w:rPr>
                <w:rFonts w:ascii="FangSong_GB2312" w:hAnsi="FangSong_GB2312" w:eastAsia="FangSong_GB2312" w:cs="FangSong_GB2312"/>
                <w:spacing w:val="-19"/>
                <w:sz w:val="18"/>
                <w:szCs w:val="18"/>
              </w:rPr>
              <w:t>期</w:t>
            </w:r>
          </w:p>
        </w:tc>
        <w:tc>
          <w:tcPr>
            <w:tcW w:w="793" w:type="dxa"/>
            <w:vAlign w:val="top"/>
          </w:tcPr>
          <w:p w14:paraId="0472353B">
            <w:pPr>
              <w:spacing w:before="203" w:line="360" w:lineRule="auto"/>
              <w:ind w:left="214" w:right="134" w:hanging="9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设计水</w:t>
            </w:r>
            <w:r>
              <w:rPr>
                <w:rFonts w:ascii="FangSong_GB2312" w:hAnsi="FangSong_GB2312" w:eastAsia="FangSong_GB2312" w:cs="FangSong_GB2312"/>
                <w:spacing w:val="-5"/>
                <w:sz w:val="18"/>
                <w:szCs w:val="18"/>
              </w:rPr>
              <w:t>平年</w:t>
            </w:r>
          </w:p>
        </w:tc>
        <w:tc>
          <w:tcPr>
            <w:tcW w:w="888" w:type="dxa"/>
            <w:vAlign w:val="top"/>
          </w:tcPr>
          <w:p w14:paraId="1FC170F9">
            <w:pPr>
              <w:spacing w:before="30" w:line="214" w:lineRule="auto"/>
              <w:ind w:left="17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按干燥</w:t>
            </w:r>
          </w:p>
          <w:p w14:paraId="3A445C30">
            <w:pPr>
              <w:spacing w:before="141" w:line="339" w:lineRule="auto"/>
              <w:ind w:left="256" w:right="180" w:hanging="8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度进行</w:t>
            </w:r>
            <w:r>
              <w:rPr>
                <w:rFonts w:ascii="FangSong_GB2312" w:hAnsi="FangSong_GB2312" w:eastAsia="FangSong_GB2312" w:cs="FangSong_GB2312"/>
                <w:spacing w:val="-2"/>
                <w:sz w:val="18"/>
                <w:szCs w:val="18"/>
              </w:rPr>
              <w:t>修正</w:t>
            </w:r>
          </w:p>
        </w:tc>
        <w:tc>
          <w:tcPr>
            <w:tcW w:w="1103" w:type="dxa"/>
            <w:vAlign w:val="top"/>
          </w:tcPr>
          <w:p w14:paraId="2C7D9BCA">
            <w:pPr>
              <w:spacing w:before="30" w:line="214" w:lineRule="auto"/>
              <w:ind w:left="18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按土壤侵</w:t>
            </w:r>
          </w:p>
          <w:p w14:paraId="6A08032C">
            <w:pPr>
              <w:spacing w:before="141" w:line="339" w:lineRule="auto"/>
              <w:ind w:left="465" w:right="196" w:hanging="27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蚀强度修</w:t>
            </w:r>
            <w:r>
              <w:rPr>
                <w:rFonts w:ascii="FangSong_GB2312" w:hAnsi="FangSong_GB2312" w:eastAsia="FangSong_GB2312" w:cs="FangSong_GB2312"/>
                <w:sz w:val="18"/>
                <w:szCs w:val="18"/>
              </w:rPr>
              <w:t>正</w:t>
            </w:r>
          </w:p>
        </w:tc>
        <w:tc>
          <w:tcPr>
            <w:tcW w:w="818" w:type="dxa"/>
            <w:vAlign w:val="top"/>
          </w:tcPr>
          <w:p w14:paraId="66EDFED9">
            <w:pPr>
              <w:spacing w:before="30" w:line="214" w:lineRule="auto"/>
              <w:ind w:left="14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按地形</w:t>
            </w:r>
          </w:p>
          <w:p w14:paraId="19D4CDBC">
            <w:pPr>
              <w:spacing w:before="141" w:line="339" w:lineRule="auto"/>
              <w:ind w:left="324" w:right="140" w:hanging="18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条件修</w:t>
            </w:r>
            <w:r>
              <w:rPr>
                <w:rFonts w:ascii="FangSong_GB2312" w:hAnsi="FangSong_GB2312" w:eastAsia="FangSong_GB2312" w:cs="FangSong_GB2312"/>
                <w:sz w:val="18"/>
                <w:szCs w:val="18"/>
              </w:rPr>
              <w:t>正</w:t>
            </w:r>
          </w:p>
        </w:tc>
        <w:tc>
          <w:tcPr>
            <w:tcW w:w="1029" w:type="dxa"/>
            <w:vAlign w:val="top"/>
          </w:tcPr>
          <w:p w14:paraId="20F51F98">
            <w:pPr>
              <w:spacing w:before="30" w:line="214" w:lineRule="auto"/>
              <w:ind w:left="15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按是否涉</w:t>
            </w:r>
          </w:p>
          <w:p w14:paraId="7AEC13FD">
            <w:pPr>
              <w:spacing w:before="141" w:line="339" w:lineRule="auto"/>
              <w:ind w:left="332" w:right="154" w:hanging="17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及城市区修正</w:t>
            </w:r>
          </w:p>
        </w:tc>
        <w:tc>
          <w:tcPr>
            <w:tcW w:w="1209" w:type="dxa"/>
            <w:vAlign w:val="top"/>
          </w:tcPr>
          <w:p w14:paraId="1B69F126">
            <w:pPr>
              <w:spacing w:before="202" w:line="360" w:lineRule="auto"/>
              <w:ind w:left="153" w:right="105" w:hanging="42"/>
              <w:rPr>
                <w:rFonts w:ascii="FangSong_GB2312" w:hAnsi="FangSong_GB2312" w:eastAsia="FangSong_GB2312" w:cs="FangSong_GB2312"/>
                <w:sz w:val="18"/>
                <w:szCs w:val="18"/>
              </w:rPr>
            </w:pPr>
            <w:r>
              <w:rPr>
                <w:rFonts w:ascii="FangSong_GB2312" w:hAnsi="FangSong_GB2312" w:eastAsia="FangSong_GB2312" w:cs="FangSong_GB2312"/>
                <w:spacing w:val="-16"/>
                <w:sz w:val="18"/>
                <w:szCs w:val="18"/>
              </w:rPr>
              <w:t>其他（林草植</w:t>
            </w:r>
            <w:r>
              <w:rPr>
                <w:rFonts w:ascii="FangSong_GB2312" w:hAnsi="FangSong_GB2312" w:eastAsia="FangSong_GB2312" w:cs="FangSong_GB2312"/>
                <w:spacing w:val="-1"/>
                <w:sz w:val="18"/>
                <w:szCs w:val="18"/>
              </w:rPr>
              <w:t>被有限制）</w:t>
            </w:r>
          </w:p>
        </w:tc>
        <w:tc>
          <w:tcPr>
            <w:tcW w:w="1178" w:type="dxa"/>
            <w:vAlign w:val="top"/>
          </w:tcPr>
          <w:p w14:paraId="51390C45">
            <w:pPr>
              <w:spacing w:before="30" w:line="214" w:lineRule="auto"/>
              <w:ind w:left="14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按是否避让</w:t>
            </w:r>
          </w:p>
          <w:p w14:paraId="672C4B3B">
            <w:pPr>
              <w:spacing w:before="141" w:line="339" w:lineRule="auto"/>
              <w:ind w:left="410" w:right="134" w:hanging="25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重点防治区</w:t>
            </w:r>
            <w:r>
              <w:rPr>
                <w:rFonts w:ascii="FangSong_GB2312" w:hAnsi="FangSong_GB2312" w:eastAsia="FangSong_GB2312" w:cs="FangSong_GB2312"/>
                <w:spacing w:val="-2"/>
                <w:sz w:val="18"/>
                <w:szCs w:val="18"/>
              </w:rPr>
              <w:t>修正</w:t>
            </w:r>
          </w:p>
        </w:tc>
        <w:tc>
          <w:tcPr>
            <w:tcW w:w="536" w:type="dxa"/>
            <w:textDirection w:val="tbRlV"/>
            <w:vAlign w:val="top"/>
          </w:tcPr>
          <w:p w14:paraId="544946B6">
            <w:pPr>
              <w:spacing w:before="173" w:line="205" w:lineRule="auto"/>
              <w:ind w:left="31"/>
              <w:rPr>
                <w:rFonts w:ascii="FangSong_GB2312" w:hAnsi="FangSong_GB2312" w:eastAsia="FangSong_GB2312" w:cs="FangSong_GB2312"/>
                <w:sz w:val="18"/>
                <w:szCs w:val="18"/>
              </w:rPr>
            </w:pPr>
            <w:r>
              <w:rPr>
                <w:rFonts w:ascii="FangSong_GB2312" w:hAnsi="FangSong_GB2312" w:eastAsia="FangSong_GB2312" w:cs="FangSong_GB2312"/>
                <w:spacing w:val="-19"/>
                <w:sz w:val="18"/>
                <w:szCs w:val="18"/>
              </w:rPr>
              <w:t>施</w:t>
            </w:r>
            <w:r>
              <w:rPr>
                <w:rFonts w:ascii="FangSong_GB2312" w:hAnsi="FangSong_GB2312" w:eastAsia="FangSong_GB2312" w:cs="FangSong_GB2312"/>
                <w:spacing w:val="9"/>
                <w:sz w:val="18"/>
                <w:szCs w:val="18"/>
              </w:rPr>
              <w:t xml:space="preserve">  </w:t>
            </w:r>
            <w:r>
              <w:rPr>
                <w:rFonts w:ascii="FangSong_GB2312" w:hAnsi="FangSong_GB2312" w:eastAsia="FangSong_GB2312" w:cs="FangSong_GB2312"/>
                <w:spacing w:val="-19"/>
                <w:sz w:val="18"/>
                <w:szCs w:val="18"/>
              </w:rPr>
              <w:t>工</w:t>
            </w:r>
            <w:r>
              <w:rPr>
                <w:rFonts w:ascii="FangSong_GB2312" w:hAnsi="FangSong_GB2312" w:eastAsia="FangSong_GB2312" w:cs="FangSong_GB2312"/>
                <w:spacing w:val="9"/>
                <w:sz w:val="18"/>
                <w:szCs w:val="18"/>
              </w:rPr>
              <w:t xml:space="preserve">  </w:t>
            </w:r>
            <w:r>
              <w:rPr>
                <w:rFonts w:ascii="FangSong_GB2312" w:hAnsi="FangSong_GB2312" w:eastAsia="FangSong_GB2312" w:cs="FangSong_GB2312"/>
                <w:spacing w:val="-19"/>
                <w:sz w:val="18"/>
                <w:szCs w:val="18"/>
              </w:rPr>
              <w:t>期</w:t>
            </w:r>
          </w:p>
        </w:tc>
        <w:tc>
          <w:tcPr>
            <w:tcW w:w="677" w:type="dxa"/>
            <w:vAlign w:val="top"/>
          </w:tcPr>
          <w:p w14:paraId="0B5E04FB">
            <w:pPr>
              <w:spacing w:before="30" w:line="216" w:lineRule="auto"/>
              <w:ind w:left="167"/>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设计</w:t>
            </w:r>
          </w:p>
          <w:p w14:paraId="15510943">
            <w:pPr>
              <w:spacing w:before="139" w:line="339" w:lineRule="auto"/>
              <w:ind w:left="260" w:right="151" w:hanging="9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水平</w:t>
            </w:r>
            <w:r>
              <w:rPr>
                <w:rFonts w:ascii="FangSong_GB2312" w:hAnsi="FangSong_GB2312" w:eastAsia="FangSong_GB2312" w:cs="FangSong_GB2312"/>
                <w:sz w:val="18"/>
                <w:szCs w:val="18"/>
              </w:rPr>
              <w:t>年</w:t>
            </w:r>
          </w:p>
        </w:tc>
        <w:tc>
          <w:tcPr>
            <w:tcW w:w="4620" w:type="dxa"/>
            <w:vMerge w:val="continue"/>
            <w:tcBorders>
              <w:top w:val="nil"/>
              <w:right w:val="single" w:color="000000" w:sz="10" w:space="0"/>
            </w:tcBorders>
            <w:vAlign w:val="top"/>
          </w:tcPr>
          <w:p w14:paraId="05780A2B">
            <w:pPr>
              <w:rPr>
                <w:rFonts w:ascii="Arial"/>
                <w:sz w:val="21"/>
              </w:rPr>
            </w:pPr>
          </w:p>
        </w:tc>
      </w:tr>
      <w:tr w14:paraId="3E63D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993" w:type="dxa"/>
            <w:tcBorders>
              <w:left w:val="single" w:color="000000" w:sz="10" w:space="0"/>
            </w:tcBorders>
            <w:vAlign w:val="top"/>
          </w:tcPr>
          <w:p w14:paraId="1B52E7A8">
            <w:pPr>
              <w:spacing w:before="34" w:line="216" w:lineRule="auto"/>
              <w:ind w:left="125"/>
              <w:outlineLvl w:val="1"/>
              <w:rPr>
                <w:rFonts w:ascii="FangSong_GB2312" w:hAnsi="FangSong_GB2312" w:eastAsia="FangSong_GB2312" w:cs="FangSong_GB2312"/>
                <w:sz w:val="18"/>
                <w:szCs w:val="18"/>
              </w:rPr>
            </w:pPr>
            <w:bookmarkStart w:id="23" w:name="bookmark100"/>
            <w:bookmarkEnd w:id="23"/>
            <w:r>
              <w:rPr>
                <w:rFonts w:ascii="FangSong_GB2312" w:hAnsi="FangSong_GB2312" w:eastAsia="FangSong_GB2312" w:cs="FangSong_GB2312"/>
                <w:spacing w:val="-2"/>
                <w:sz w:val="18"/>
                <w:szCs w:val="18"/>
              </w:rPr>
              <w:t>水土流失</w:t>
            </w:r>
          </w:p>
          <w:p w14:paraId="779548DD">
            <w:pPr>
              <w:spacing w:before="137" w:line="216" w:lineRule="auto"/>
              <w:ind w:left="22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治理度</w:t>
            </w:r>
          </w:p>
          <w:p w14:paraId="25012D06">
            <w:pPr>
              <w:spacing w:before="152" w:line="192" w:lineRule="auto"/>
              <w:ind w:left="35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p>
        </w:tc>
        <w:tc>
          <w:tcPr>
            <w:tcW w:w="559" w:type="dxa"/>
            <w:vAlign w:val="top"/>
          </w:tcPr>
          <w:p w14:paraId="0EB55575">
            <w:pPr>
              <w:spacing w:line="421" w:lineRule="auto"/>
              <w:rPr>
                <w:rFonts w:ascii="Arial"/>
                <w:sz w:val="21"/>
              </w:rPr>
            </w:pPr>
          </w:p>
          <w:p w14:paraId="31EE699F">
            <w:pPr>
              <w:spacing w:before="52" w:line="85"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793" w:type="dxa"/>
            <w:vAlign w:val="top"/>
          </w:tcPr>
          <w:p w14:paraId="0939937A">
            <w:pPr>
              <w:spacing w:line="345" w:lineRule="auto"/>
              <w:rPr>
                <w:rFonts w:ascii="Arial"/>
                <w:sz w:val="21"/>
              </w:rPr>
            </w:pPr>
          </w:p>
          <w:p w14:paraId="69DAA266">
            <w:pPr>
              <w:spacing w:before="52"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888" w:type="dxa"/>
            <w:vAlign w:val="top"/>
          </w:tcPr>
          <w:p w14:paraId="44F5455B">
            <w:pPr>
              <w:rPr>
                <w:rFonts w:ascii="Arial"/>
                <w:sz w:val="21"/>
              </w:rPr>
            </w:pPr>
          </w:p>
        </w:tc>
        <w:tc>
          <w:tcPr>
            <w:tcW w:w="1103" w:type="dxa"/>
            <w:vAlign w:val="top"/>
          </w:tcPr>
          <w:p w14:paraId="0E4A0BC3">
            <w:pPr>
              <w:spacing w:line="341" w:lineRule="auto"/>
              <w:rPr>
                <w:rFonts w:ascii="Arial"/>
                <w:sz w:val="21"/>
              </w:rPr>
            </w:pPr>
          </w:p>
          <w:p w14:paraId="60FB613B">
            <w:pPr>
              <w:spacing w:before="52" w:line="192" w:lineRule="auto"/>
              <w:ind w:left="51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8" w:type="dxa"/>
            <w:vAlign w:val="top"/>
          </w:tcPr>
          <w:p w14:paraId="2F4A5B40">
            <w:pPr>
              <w:rPr>
                <w:rFonts w:ascii="Arial"/>
                <w:sz w:val="21"/>
              </w:rPr>
            </w:pPr>
          </w:p>
        </w:tc>
        <w:tc>
          <w:tcPr>
            <w:tcW w:w="1029" w:type="dxa"/>
            <w:vAlign w:val="top"/>
          </w:tcPr>
          <w:p w14:paraId="3E37A6BA">
            <w:pPr>
              <w:rPr>
                <w:rFonts w:ascii="Arial"/>
                <w:sz w:val="21"/>
              </w:rPr>
            </w:pPr>
          </w:p>
        </w:tc>
        <w:tc>
          <w:tcPr>
            <w:tcW w:w="1209" w:type="dxa"/>
            <w:vAlign w:val="top"/>
          </w:tcPr>
          <w:p w14:paraId="1CE28580">
            <w:pPr>
              <w:rPr>
                <w:rFonts w:ascii="Arial"/>
                <w:sz w:val="21"/>
              </w:rPr>
            </w:pPr>
          </w:p>
        </w:tc>
        <w:tc>
          <w:tcPr>
            <w:tcW w:w="1178" w:type="dxa"/>
            <w:vAlign w:val="top"/>
          </w:tcPr>
          <w:p w14:paraId="20E77E62">
            <w:pPr>
              <w:rPr>
                <w:rFonts w:ascii="Arial"/>
                <w:sz w:val="21"/>
              </w:rPr>
            </w:pPr>
          </w:p>
        </w:tc>
        <w:tc>
          <w:tcPr>
            <w:tcW w:w="536" w:type="dxa"/>
            <w:vAlign w:val="top"/>
          </w:tcPr>
          <w:p w14:paraId="62516F16">
            <w:pPr>
              <w:rPr>
                <w:rFonts w:ascii="Arial"/>
                <w:sz w:val="21"/>
              </w:rPr>
            </w:pPr>
          </w:p>
        </w:tc>
        <w:tc>
          <w:tcPr>
            <w:tcW w:w="677" w:type="dxa"/>
            <w:vAlign w:val="top"/>
          </w:tcPr>
          <w:p w14:paraId="66D365E3">
            <w:pPr>
              <w:spacing w:line="345" w:lineRule="auto"/>
              <w:rPr>
                <w:rFonts w:ascii="Arial"/>
                <w:sz w:val="21"/>
              </w:rPr>
            </w:pPr>
          </w:p>
          <w:p w14:paraId="5FA84213">
            <w:pPr>
              <w:spacing w:before="52" w:line="188"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4620" w:type="dxa"/>
            <w:tcBorders>
              <w:right w:val="single" w:color="000000" w:sz="10" w:space="0"/>
            </w:tcBorders>
            <w:vAlign w:val="top"/>
          </w:tcPr>
          <w:p w14:paraId="1489CDDB">
            <w:pPr>
              <w:rPr>
                <w:rFonts w:ascii="Arial"/>
                <w:sz w:val="21"/>
              </w:rPr>
            </w:pPr>
          </w:p>
        </w:tc>
      </w:tr>
      <w:tr w14:paraId="1EEAC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93" w:type="dxa"/>
            <w:tcBorders>
              <w:left w:val="single" w:color="000000" w:sz="10" w:space="0"/>
            </w:tcBorders>
            <w:vAlign w:val="top"/>
          </w:tcPr>
          <w:p w14:paraId="441489EA">
            <w:pPr>
              <w:spacing w:before="37" w:line="336" w:lineRule="auto"/>
              <w:ind w:left="219" w:right="138" w:hanging="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土壤流失</w:t>
            </w:r>
            <w:r>
              <w:rPr>
                <w:rFonts w:ascii="FangSong_GB2312" w:hAnsi="FangSong_GB2312" w:eastAsia="FangSong_GB2312" w:cs="FangSong_GB2312"/>
                <w:spacing w:val="-4"/>
                <w:sz w:val="18"/>
                <w:szCs w:val="18"/>
              </w:rPr>
              <w:t>控制比</w:t>
            </w:r>
          </w:p>
        </w:tc>
        <w:tc>
          <w:tcPr>
            <w:tcW w:w="559" w:type="dxa"/>
            <w:vAlign w:val="top"/>
          </w:tcPr>
          <w:p w14:paraId="04671E36">
            <w:pPr>
              <w:tabs>
                <w:tab w:val="left" w:pos="357"/>
              </w:tabs>
              <w:spacing w:before="131"/>
              <w:ind w:left="173"/>
              <w:rPr>
                <w:rFonts w:ascii="Arial"/>
                <w:sz w:val="21"/>
              </w:rPr>
            </w:pPr>
            <w:r>
              <w:rPr>
                <w:rFonts w:ascii="Arial" w:hAnsi="Arial" w:eastAsia="Arial" w:cs="Arial"/>
                <w:sz w:val="21"/>
                <w:szCs w:val="21"/>
                <w:u w:val="single" w:color="auto"/>
              </w:rPr>
              <w:tab/>
            </w:r>
          </w:p>
        </w:tc>
        <w:tc>
          <w:tcPr>
            <w:tcW w:w="793" w:type="dxa"/>
            <w:vAlign w:val="top"/>
          </w:tcPr>
          <w:p w14:paraId="0B02C7F8">
            <w:pPr>
              <w:spacing w:before="248" w:line="188"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c>
          <w:tcPr>
            <w:tcW w:w="888" w:type="dxa"/>
            <w:vAlign w:val="top"/>
          </w:tcPr>
          <w:p w14:paraId="6449EB3F">
            <w:pPr>
              <w:rPr>
                <w:rFonts w:ascii="Arial"/>
                <w:sz w:val="21"/>
              </w:rPr>
            </w:pPr>
          </w:p>
        </w:tc>
        <w:tc>
          <w:tcPr>
            <w:tcW w:w="1103" w:type="dxa"/>
            <w:vAlign w:val="top"/>
          </w:tcPr>
          <w:p w14:paraId="6110C03E">
            <w:pPr>
              <w:spacing w:before="248" w:line="188" w:lineRule="auto"/>
              <w:ind w:left="3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+0.15</w:t>
            </w:r>
          </w:p>
        </w:tc>
        <w:tc>
          <w:tcPr>
            <w:tcW w:w="818" w:type="dxa"/>
            <w:vAlign w:val="top"/>
          </w:tcPr>
          <w:p w14:paraId="7C788B60">
            <w:pPr>
              <w:rPr>
                <w:rFonts w:ascii="Arial"/>
                <w:sz w:val="21"/>
              </w:rPr>
            </w:pPr>
          </w:p>
        </w:tc>
        <w:tc>
          <w:tcPr>
            <w:tcW w:w="1029" w:type="dxa"/>
            <w:vAlign w:val="top"/>
          </w:tcPr>
          <w:p w14:paraId="1C4BF48C">
            <w:pPr>
              <w:rPr>
                <w:rFonts w:ascii="Arial"/>
                <w:sz w:val="21"/>
              </w:rPr>
            </w:pPr>
          </w:p>
        </w:tc>
        <w:tc>
          <w:tcPr>
            <w:tcW w:w="1209" w:type="dxa"/>
            <w:vAlign w:val="top"/>
          </w:tcPr>
          <w:p w14:paraId="41AA54B0">
            <w:pPr>
              <w:rPr>
                <w:rFonts w:ascii="Arial"/>
                <w:sz w:val="21"/>
              </w:rPr>
            </w:pPr>
          </w:p>
        </w:tc>
        <w:tc>
          <w:tcPr>
            <w:tcW w:w="1178" w:type="dxa"/>
            <w:vAlign w:val="top"/>
          </w:tcPr>
          <w:p w14:paraId="603D7E30">
            <w:pPr>
              <w:rPr>
                <w:rFonts w:ascii="Arial"/>
                <w:sz w:val="21"/>
              </w:rPr>
            </w:pPr>
          </w:p>
        </w:tc>
        <w:tc>
          <w:tcPr>
            <w:tcW w:w="536" w:type="dxa"/>
            <w:vAlign w:val="top"/>
          </w:tcPr>
          <w:p w14:paraId="4392643B">
            <w:pPr>
              <w:rPr>
                <w:rFonts w:ascii="Arial"/>
                <w:sz w:val="21"/>
              </w:rPr>
            </w:pPr>
          </w:p>
        </w:tc>
        <w:tc>
          <w:tcPr>
            <w:tcW w:w="677" w:type="dxa"/>
            <w:vAlign w:val="top"/>
          </w:tcPr>
          <w:p w14:paraId="33259AB6">
            <w:pPr>
              <w:spacing w:before="248" w:line="188" w:lineRule="auto"/>
              <w:ind w:left="31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620" w:type="dxa"/>
            <w:tcBorders>
              <w:right w:val="single" w:color="000000" w:sz="10" w:space="0"/>
            </w:tcBorders>
            <w:vAlign w:val="top"/>
          </w:tcPr>
          <w:p w14:paraId="1BDCD634">
            <w:pPr>
              <w:spacing w:before="56" w:line="214" w:lineRule="auto"/>
              <w:ind w:left="15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项目区土壤侵蚀强度以轻度为主，土壤流失控制比提高</w:t>
            </w:r>
          </w:p>
          <w:p w14:paraId="021BC2AD">
            <w:pPr>
              <w:spacing w:before="158" w:line="188" w:lineRule="auto"/>
              <w:ind w:left="2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w:t>
            </w:r>
          </w:p>
        </w:tc>
      </w:tr>
      <w:tr w14:paraId="622B0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93" w:type="dxa"/>
            <w:tcBorders>
              <w:left w:val="single" w:color="000000" w:sz="10" w:space="0"/>
            </w:tcBorders>
            <w:vAlign w:val="top"/>
          </w:tcPr>
          <w:p w14:paraId="5DBDAA1A">
            <w:pPr>
              <w:spacing w:before="40" w:line="219" w:lineRule="auto"/>
              <w:ind w:left="135"/>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渣土防护</w:t>
            </w:r>
          </w:p>
          <w:p w14:paraId="18BE5665">
            <w:pPr>
              <w:spacing w:before="137" w:line="209" w:lineRule="auto"/>
              <w:ind w:left="266"/>
              <w:rPr>
                <w:rFonts w:ascii="Times New Roman" w:hAnsi="Times New Roman" w:eastAsia="Times New Roman" w:cs="Times New Roman"/>
                <w:sz w:val="18"/>
                <w:szCs w:val="18"/>
              </w:rPr>
            </w:pPr>
            <w:r>
              <w:rPr>
                <w:rFonts w:ascii="FangSong_GB2312" w:hAnsi="FangSong_GB2312" w:eastAsia="FangSong_GB2312" w:cs="FangSong_GB2312"/>
                <w:spacing w:val="-4"/>
                <w:sz w:val="18"/>
                <w:szCs w:val="18"/>
              </w:rPr>
              <w:t>率</w:t>
            </w:r>
            <w:r>
              <w:rPr>
                <w:rFonts w:ascii="Times New Roman" w:hAnsi="Times New Roman" w:eastAsia="Times New Roman" w:cs="Times New Roman"/>
                <w:spacing w:val="-4"/>
                <w:sz w:val="18"/>
                <w:szCs w:val="18"/>
              </w:rPr>
              <w:t>(%)</w:t>
            </w:r>
          </w:p>
        </w:tc>
        <w:tc>
          <w:tcPr>
            <w:tcW w:w="559" w:type="dxa"/>
            <w:vAlign w:val="top"/>
          </w:tcPr>
          <w:p w14:paraId="38D5971C">
            <w:pPr>
              <w:spacing w:before="251"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793" w:type="dxa"/>
            <w:vAlign w:val="top"/>
          </w:tcPr>
          <w:p w14:paraId="1CF4B448">
            <w:pPr>
              <w:spacing w:before="251"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888" w:type="dxa"/>
            <w:vAlign w:val="top"/>
          </w:tcPr>
          <w:p w14:paraId="48136B55">
            <w:pPr>
              <w:rPr>
                <w:rFonts w:ascii="Arial"/>
                <w:sz w:val="21"/>
              </w:rPr>
            </w:pPr>
          </w:p>
        </w:tc>
        <w:tc>
          <w:tcPr>
            <w:tcW w:w="1103" w:type="dxa"/>
            <w:vAlign w:val="top"/>
          </w:tcPr>
          <w:p w14:paraId="554E679B">
            <w:pPr>
              <w:rPr>
                <w:rFonts w:ascii="Arial"/>
                <w:sz w:val="21"/>
              </w:rPr>
            </w:pPr>
          </w:p>
        </w:tc>
        <w:tc>
          <w:tcPr>
            <w:tcW w:w="818" w:type="dxa"/>
            <w:vAlign w:val="top"/>
          </w:tcPr>
          <w:p w14:paraId="1F2F1D23">
            <w:pPr>
              <w:rPr>
                <w:rFonts w:ascii="Arial"/>
                <w:sz w:val="21"/>
              </w:rPr>
            </w:pPr>
          </w:p>
        </w:tc>
        <w:tc>
          <w:tcPr>
            <w:tcW w:w="1029" w:type="dxa"/>
            <w:vAlign w:val="top"/>
          </w:tcPr>
          <w:p w14:paraId="0646D12E">
            <w:pPr>
              <w:rPr>
                <w:rFonts w:ascii="Arial"/>
                <w:sz w:val="21"/>
              </w:rPr>
            </w:pPr>
          </w:p>
        </w:tc>
        <w:tc>
          <w:tcPr>
            <w:tcW w:w="1209" w:type="dxa"/>
            <w:vAlign w:val="top"/>
          </w:tcPr>
          <w:p w14:paraId="54551343">
            <w:pPr>
              <w:rPr>
                <w:rFonts w:ascii="Arial"/>
                <w:sz w:val="21"/>
              </w:rPr>
            </w:pPr>
          </w:p>
        </w:tc>
        <w:tc>
          <w:tcPr>
            <w:tcW w:w="1178" w:type="dxa"/>
            <w:vAlign w:val="top"/>
          </w:tcPr>
          <w:p w14:paraId="0E977EA4">
            <w:pPr>
              <w:rPr>
                <w:rFonts w:ascii="Arial"/>
                <w:sz w:val="21"/>
              </w:rPr>
            </w:pPr>
          </w:p>
        </w:tc>
        <w:tc>
          <w:tcPr>
            <w:tcW w:w="536" w:type="dxa"/>
            <w:vAlign w:val="top"/>
          </w:tcPr>
          <w:p w14:paraId="37708A38">
            <w:pPr>
              <w:spacing w:before="251"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677" w:type="dxa"/>
            <w:vAlign w:val="top"/>
          </w:tcPr>
          <w:p w14:paraId="78DA8206">
            <w:pPr>
              <w:spacing w:before="251" w:line="188"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4620" w:type="dxa"/>
            <w:tcBorders>
              <w:right w:val="single" w:color="000000" w:sz="10" w:space="0"/>
            </w:tcBorders>
            <w:vAlign w:val="top"/>
          </w:tcPr>
          <w:p w14:paraId="2C592431">
            <w:pPr>
              <w:rPr>
                <w:rFonts w:ascii="Arial"/>
                <w:sz w:val="21"/>
              </w:rPr>
            </w:pPr>
          </w:p>
        </w:tc>
      </w:tr>
      <w:tr w14:paraId="24752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993" w:type="dxa"/>
            <w:tcBorders>
              <w:left w:val="single" w:color="000000" w:sz="10" w:space="0"/>
            </w:tcBorders>
            <w:vAlign w:val="top"/>
          </w:tcPr>
          <w:p w14:paraId="0EFC2FA3">
            <w:pPr>
              <w:spacing w:before="43" w:line="216" w:lineRule="auto"/>
              <w:ind w:left="12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表土保护</w:t>
            </w:r>
          </w:p>
          <w:p w14:paraId="55ECDB3F">
            <w:pPr>
              <w:spacing w:before="139" w:line="209" w:lineRule="auto"/>
              <w:ind w:left="266"/>
              <w:rPr>
                <w:rFonts w:ascii="Times New Roman" w:hAnsi="Times New Roman" w:eastAsia="Times New Roman" w:cs="Times New Roman"/>
                <w:sz w:val="18"/>
                <w:szCs w:val="18"/>
              </w:rPr>
            </w:pPr>
            <w:r>
              <w:rPr>
                <w:rFonts w:ascii="FangSong_GB2312" w:hAnsi="FangSong_GB2312" w:eastAsia="FangSong_GB2312" w:cs="FangSong_GB2312"/>
                <w:spacing w:val="-4"/>
                <w:sz w:val="18"/>
                <w:szCs w:val="18"/>
              </w:rPr>
              <w:t>率</w:t>
            </w:r>
            <w:r>
              <w:rPr>
                <w:rFonts w:ascii="Times New Roman" w:hAnsi="Times New Roman" w:eastAsia="Times New Roman" w:cs="Times New Roman"/>
                <w:spacing w:val="-4"/>
                <w:sz w:val="18"/>
                <w:szCs w:val="18"/>
              </w:rPr>
              <w:t>(%)</w:t>
            </w:r>
          </w:p>
        </w:tc>
        <w:tc>
          <w:tcPr>
            <w:tcW w:w="559" w:type="dxa"/>
            <w:vAlign w:val="top"/>
          </w:tcPr>
          <w:p w14:paraId="11F36D63">
            <w:pPr>
              <w:spacing w:before="253" w:line="188" w:lineRule="auto"/>
              <w:ind w:left="1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793" w:type="dxa"/>
            <w:vAlign w:val="top"/>
          </w:tcPr>
          <w:p w14:paraId="1893EBD5">
            <w:pPr>
              <w:spacing w:before="253"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888" w:type="dxa"/>
            <w:vAlign w:val="top"/>
          </w:tcPr>
          <w:p w14:paraId="3789BC91">
            <w:pPr>
              <w:rPr>
                <w:rFonts w:ascii="Arial"/>
                <w:sz w:val="21"/>
              </w:rPr>
            </w:pPr>
          </w:p>
        </w:tc>
        <w:tc>
          <w:tcPr>
            <w:tcW w:w="1103" w:type="dxa"/>
            <w:vAlign w:val="top"/>
          </w:tcPr>
          <w:p w14:paraId="2DCF13F6">
            <w:pPr>
              <w:rPr>
                <w:rFonts w:ascii="Arial"/>
                <w:sz w:val="21"/>
              </w:rPr>
            </w:pPr>
          </w:p>
        </w:tc>
        <w:tc>
          <w:tcPr>
            <w:tcW w:w="818" w:type="dxa"/>
            <w:vAlign w:val="top"/>
          </w:tcPr>
          <w:p w14:paraId="60BB5A9F">
            <w:pPr>
              <w:rPr>
                <w:rFonts w:ascii="Arial"/>
                <w:sz w:val="21"/>
              </w:rPr>
            </w:pPr>
          </w:p>
        </w:tc>
        <w:tc>
          <w:tcPr>
            <w:tcW w:w="1029" w:type="dxa"/>
            <w:vAlign w:val="top"/>
          </w:tcPr>
          <w:p w14:paraId="2282F24F">
            <w:pPr>
              <w:rPr>
                <w:rFonts w:ascii="Arial"/>
                <w:sz w:val="21"/>
              </w:rPr>
            </w:pPr>
          </w:p>
        </w:tc>
        <w:tc>
          <w:tcPr>
            <w:tcW w:w="1209" w:type="dxa"/>
            <w:vAlign w:val="top"/>
          </w:tcPr>
          <w:p w14:paraId="2C77D9AA">
            <w:pPr>
              <w:rPr>
                <w:rFonts w:ascii="Arial"/>
                <w:sz w:val="21"/>
              </w:rPr>
            </w:pPr>
          </w:p>
        </w:tc>
        <w:tc>
          <w:tcPr>
            <w:tcW w:w="1178" w:type="dxa"/>
            <w:vAlign w:val="top"/>
          </w:tcPr>
          <w:p w14:paraId="5679BEE8">
            <w:pPr>
              <w:rPr>
                <w:rFonts w:ascii="Arial"/>
                <w:sz w:val="21"/>
              </w:rPr>
            </w:pPr>
          </w:p>
        </w:tc>
        <w:tc>
          <w:tcPr>
            <w:tcW w:w="536" w:type="dxa"/>
            <w:vAlign w:val="top"/>
          </w:tcPr>
          <w:p w14:paraId="7687BA7F">
            <w:pPr>
              <w:spacing w:before="253" w:line="188" w:lineRule="auto"/>
              <w:ind w:left="1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677" w:type="dxa"/>
            <w:vAlign w:val="top"/>
          </w:tcPr>
          <w:p w14:paraId="086AACCC">
            <w:pPr>
              <w:spacing w:before="253" w:line="188"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4620" w:type="dxa"/>
            <w:tcBorders>
              <w:right w:val="single" w:color="000000" w:sz="10" w:space="0"/>
            </w:tcBorders>
            <w:vAlign w:val="top"/>
          </w:tcPr>
          <w:p w14:paraId="18FE384A">
            <w:pPr>
              <w:rPr>
                <w:rFonts w:ascii="Arial"/>
                <w:sz w:val="21"/>
              </w:rPr>
            </w:pPr>
          </w:p>
        </w:tc>
      </w:tr>
      <w:tr w14:paraId="56D79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trPr>
        <w:tc>
          <w:tcPr>
            <w:tcW w:w="993" w:type="dxa"/>
            <w:tcBorders>
              <w:left w:val="single" w:color="000000" w:sz="10" w:space="0"/>
            </w:tcBorders>
            <w:vAlign w:val="top"/>
          </w:tcPr>
          <w:p w14:paraId="773DD53C">
            <w:pPr>
              <w:spacing w:before="43" w:line="359" w:lineRule="auto"/>
              <w:ind w:left="220" w:right="138" w:hanging="9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林草植被</w:t>
            </w:r>
            <w:r>
              <w:rPr>
                <w:rFonts w:ascii="FangSong_GB2312" w:hAnsi="FangSong_GB2312" w:eastAsia="FangSong_GB2312" w:cs="FangSong_GB2312"/>
                <w:spacing w:val="-4"/>
                <w:sz w:val="18"/>
                <w:szCs w:val="18"/>
              </w:rPr>
              <w:t>恢复率</w:t>
            </w:r>
          </w:p>
          <w:p w14:paraId="04EE02F4">
            <w:pPr>
              <w:spacing w:before="14" w:line="192" w:lineRule="auto"/>
              <w:ind w:left="35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w:t>
            </w:r>
          </w:p>
        </w:tc>
        <w:tc>
          <w:tcPr>
            <w:tcW w:w="559" w:type="dxa"/>
            <w:vAlign w:val="top"/>
          </w:tcPr>
          <w:p w14:paraId="4DF2D14C">
            <w:pPr>
              <w:spacing w:line="431" w:lineRule="auto"/>
              <w:rPr>
                <w:rFonts w:ascii="Arial"/>
                <w:sz w:val="21"/>
              </w:rPr>
            </w:pPr>
          </w:p>
          <w:p w14:paraId="26D50D36">
            <w:pPr>
              <w:spacing w:before="52" w:line="86"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793" w:type="dxa"/>
            <w:vAlign w:val="top"/>
          </w:tcPr>
          <w:p w14:paraId="397B9074">
            <w:pPr>
              <w:spacing w:line="355" w:lineRule="auto"/>
              <w:rPr>
                <w:rFonts w:ascii="Arial"/>
                <w:sz w:val="21"/>
              </w:rPr>
            </w:pPr>
          </w:p>
          <w:p w14:paraId="2855E619">
            <w:pPr>
              <w:spacing w:before="52" w:line="188" w:lineRule="auto"/>
              <w:ind w:left="30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888" w:type="dxa"/>
            <w:vAlign w:val="top"/>
          </w:tcPr>
          <w:p w14:paraId="3FE88519">
            <w:pPr>
              <w:rPr>
                <w:rFonts w:ascii="Arial"/>
                <w:sz w:val="21"/>
              </w:rPr>
            </w:pPr>
          </w:p>
        </w:tc>
        <w:tc>
          <w:tcPr>
            <w:tcW w:w="1103" w:type="dxa"/>
            <w:vAlign w:val="top"/>
          </w:tcPr>
          <w:p w14:paraId="539B7697">
            <w:pPr>
              <w:rPr>
                <w:rFonts w:ascii="Arial"/>
                <w:sz w:val="21"/>
              </w:rPr>
            </w:pPr>
          </w:p>
        </w:tc>
        <w:tc>
          <w:tcPr>
            <w:tcW w:w="818" w:type="dxa"/>
            <w:vAlign w:val="top"/>
          </w:tcPr>
          <w:p w14:paraId="6D8E686E">
            <w:pPr>
              <w:rPr>
                <w:rFonts w:ascii="Arial"/>
                <w:sz w:val="21"/>
              </w:rPr>
            </w:pPr>
          </w:p>
        </w:tc>
        <w:tc>
          <w:tcPr>
            <w:tcW w:w="1029" w:type="dxa"/>
            <w:vAlign w:val="top"/>
          </w:tcPr>
          <w:p w14:paraId="0DD1CFD6">
            <w:pPr>
              <w:rPr>
                <w:rFonts w:ascii="Arial"/>
                <w:sz w:val="21"/>
              </w:rPr>
            </w:pPr>
          </w:p>
        </w:tc>
        <w:tc>
          <w:tcPr>
            <w:tcW w:w="1209" w:type="dxa"/>
            <w:vAlign w:val="top"/>
          </w:tcPr>
          <w:p w14:paraId="70111552">
            <w:pPr>
              <w:rPr>
                <w:rFonts w:ascii="Arial"/>
                <w:sz w:val="21"/>
              </w:rPr>
            </w:pPr>
          </w:p>
        </w:tc>
        <w:tc>
          <w:tcPr>
            <w:tcW w:w="1178" w:type="dxa"/>
            <w:vAlign w:val="top"/>
          </w:tcPr>
          <w:p w14:paraId="4A24A286">
            <w:pPr>
              <w:rPr>
                <w:rFonts w:ascii="Arial"/>
                <w:sz w:val="21"/>
              </w:rPr>
            </w:pPr>
          </w:p>
        </w:tc>
        <w:tc>
          <w:tcPr>
            <w:tcW w:w="536" w:type="dxa"/>
            <w:vAlign w:val="top"/>
          </w:tcPr>
          <w:p w14:paraId="0E580B48">
            <w:pPr>
              <w:rPr>
                <w:rFonts w:ascii="Arial"/>
                <w:sz w:val="21"/>
              </w:rPr>
            </w:pPr>
          </w:p>
        </w:tc>
        <w:tc>
          <w:tcPr>
            <w:tcW w:w="677" w:type="dxa"/>
            <w:vAlign w:val="top"/>
          </w:tcPr>
          <w:p w14:paraId="6140E559">
            <w:pPr>
              <w:spacing w:line="355" w:lineRule="auto"/>
              <w:rPr>
                <w:rFonts w:ascii="Arial"/>
                <w:sz w:val="21"/>
              </w:rPr>
            </w:pPr>
          </w:p>
          <w:p w14:paraId="3C2D4302">
            <w:pPr>
              <w:spacing w:before="52" w:line="188" w:lineRule="auto"/>
              <w:ind w:left="25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4620" w:type="dxa"/>
            <w:tcBorders>
              <w:right w:val="single" w:color="000000" w:sz="10" w:space="0"/>
            </w:tcBorders>
            <w:vAlign w:val="top"/>
          </w:tcPr>
          <w:p w14:paraId="64A9A857">
            <w:pPr>
              <w:rPr>
                <w:rFonts w:ascii="Arial"/>
                <w:sz w:val="21"/>
              </w:rPr>
            </w:pPr>
          </w:p>
        </w:tc>
      </w:tr>
      <w:tr w14:paraId="2EEF8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993" w:type="dxa"/>
            <w:tcBorders>
              <w:left w:val="single" w:color="000000" w:sz="10" w:space="0"/>
              <w:bottom w:val="single" w:color="000000" w:sz="10" w:space="0"/>
            </w:tcBorders>
            <w:vAlign w:val="top"/>
          </w:tcPr>
          <w:p w14:paraId="411148D6">
            <w:pPr>
              <w:spacing w:before="221" w:line="360" w:lineRule="auto"/>
              <w:ind w:left="265" w:right="138" w:hanging="141"/>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林草覆盖</w:t>
            </w:r>
            <w:r>
              <w:rPr>
                <w:rFonts w:ascii="FangSong_GB2312" w:hAnsi="FangSong_GB2312" w:eastAsia="FangSong_GB2312" w:cs="FangSong_GB2312"/>
                <w:spacing w:val="-4"/>
                <w:sz w:val="18"/>
                <w:szCs w:val="18"/>
              </w:rPr>
              <w:t>率</w:t>
            </w:r>
            <w:r>
              <w:rPr>
                <w:rFonts w:ascii="Times New Roman" w:hAnsi="Times New Roman" w:eastAsia="Times New Roman" w:cs="Times New Roman"/>
                <w:spacing w:val="-4"/>
                <w:sz w:val="18"/>
                <w:szCs w:val="18"/>
              </w:rPr>
              <w:t>(%)</w:t>
            </w:r>
          </w:p>
        </w:tc>
        <w:tc>
          <w:tcPr>
            <w:tcW w:w="559" w:type="dxa"/>
            <w:tcBorders>
              <w:bottom w:val="single" w:color="000000" w:sz="10" w:space="0"/>
            </w:tcBorders>
            <w:vAlign w:val="top"/>
          </w:tcPr>
          <w:p w14:paraId="08512C69">
            <w:pPr>
              <w:spacing w:line="456" w:lineRule="auto"/>
              <w:rPr>
                <w:rFonts w:ascii="Arial"/>
                <w:sz w:val="21"/>
              </w:rPr>
            </w:pPr>
          </w:p>
          <w:p w14:paraId="30847FFB">
            <w:pPr>
              <w:spacing w:before="52" w:line="86" w:lineRule="exact"/>
              <w:ind w:left="173"/>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793" w:type="dxa"/>
            <w:tcBorders>
              <w:bottom w:val="single" w:color="000000" w:sz="10" w:space="0"/>
            </w:tcBorders>
            <w:vAlign w:val="top"/>
          </w:tcPr>
          <w:p w14:paraId="6C6863F1">
            <w:pPr>
              <w:spacing w:line="380" w:lineRule="auto"/>
              <w:rPr>
                <w:rFonts w:ascii="Arial"/>
                <w:sz w:val="21"/>
              </w:rPr>
            </w:pPr>
          </w:p>
          <w:p w14:paraId="7B7F7E40">
            <w:pPr>
              <w:spacing w:before="52" w:line="188" w:lineRule="auto"/>
              <w:ind w:left="2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888" w:type="dxa"/>
            <w:tcBorders>
              <w:bottom w:val="single" w:color="000000" w:sz="10" w:space="0"/>
            </w:tcBorders>
            <w:vAlign w:val="top"/>
          </w:tcPr>
          <w:p w14:paraId="09AB9ED6">
            <w:pPr>
              <w:rPr>
                <w:rFonts w:ascii="Arial"/>
                <w:sz w:val="21"/>
              </w:rPr>
            </w:pPr>
          </w:p>
        </w:tc>
        <w:tc>
          <w:tcPr>
            <w:tcW w:w="1103" w:type="dxa"/>
            <w:tcBorders>
              <w:bottom w:val="single" w:color="000000" w:sz="10" w:space="0"/>
            </w:tcBorders>
            <w:vAlign w:val="top"/>
          </w:tcPr>
          <w:p w14:paraId="06B232DD">
            <w:pPr>
              <w:rPr>
                <w:rFonts w:ascii="Arial"/>
                <w:sz w:val="21"/>
              </w:rPr>
            </w:pPr>
          </w:p>
        </w:tc>
        <w:tc>
          <w:tcPr>
            <w:tcW w:w="818" w:type="dxa"/>
            <w:tcBorders>
              <w:bottom w:val="single" w:color="000000" w:sz="10" w:space="0"/>
            </w:tcBorders>
            <w:vAlign w:val="top"/>
          </w:tcPr>
          <w:p w14:paraId="684E45D1">
            <w:pPr>
              <w:rPr>
                <w:rFonts w:ascii="Arial"/>
                <w:sz w:val="21"/>
              </w:rPr>
            </w:pPr>
          </w:p>
        </w:tc>
        <w:tc>
          <w:tcPr>
            <w:tcW w:w="1029" w:type="dxa"/>
            <w:tcBorders>
              <w:bottom w:val="single" w:color="000000" w:sz="10" w:space="0"/>
            </w:tcBorders>
            <w:vAlign w:val="top"/>
          </w:tcPr>
          <w:p w14:paraId="7D90A750">
            <w:pPr>
              <w:rPr>
                <w:rFonts w:ascii="Arial"/>
                <w:sz w:val="21"/>
              </w:rPr>
            </w:pPr>
          </w:p>
        </w:tc>
        <w:tc>
          <w:tcPr>
            <w:tcW w:w="1209" w:type="dxa"/>
            <w:tcBorders>
              <w:bottom w:val="single" w:color="000000" w:sz="10" w:space="0"/>
            </w:tcBorders>
            <w:vAlign w:val="top"/>
          </w:tcPr>
          <w:p w14:paraId="417D44C6">
            <w:pPr>
              <w:spacing w:line="383" w:lineRule="auto"/>
              <w:rPr>
                <w:rFonts w:ascii="Arial"/>
                <w:sz w:val="21"/>
              </w:rPr>
            </w:pPr>
          </w:p>
          <w:p w14:paraId="25E026F4">
            <w:pPr>
              <w:spacing w:before="52" w:line="185" w:lineRule="auto"/>
              <w:ind w:left="53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w:t>
            </w:r>
          </w:p>
        </w:tc>
        <w:tc>
          <w:tcPr>
            <w:tcW w:w="1178" w:type="dxa"/>
            <w:tcBorders>
              <w:bottom w:val="single" w:color="000000" w:sz="10" w:space="0"/>
            </w:tcBorders>
            <w:vAlign w:val="top"/>
          </w:tcPr>
          <w:p w14:paraId="72397133">
            <w:pPr>
              <w:spacing w:line="381" w:lineRule="auto"/>
              <w:rPr>
                <w:rFonts w:ascii="Arial"/>
                <w:sz w:val="21"/>
              </w:rPr>
            </w:pPr>
          </w:p>
          <w:p w14:paraId="65E724BD">
            <w:pPr>
              <w:spacing w:before="51" w:line="188" w:lineRule="auto"/>
              <w:ind w:left="4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w:t>
            </w:r>
          </w:p>
        </w:tc>
        <w:tc>
          <w:tcPr>
            <w:tcW w:w="536" w:type="dxa"/>
            <w:tcBorders>
              <w:bottom w:val="single" w:color="000000" w:sz="10" w:space="0"/>
            </w:tcBorders>
            <w:vAlign w:val="top"/>
          </w:tcPr>
          <w:p w14:paraId="48E28141">
            <w:pPr>
              <w:rPr>
                <w:rFonts w:ascii="Arial"/>
                <w:sz w:val="21"/>
              </w:rPr>
            </w:pPr>
          </w:p>
        </w:tc>
        <w:tc>
          <w:tcPr>
            <w:tcW w:w="677" w:type="dxa"/>
            <w:tcBorders>
              <w:bottom w:val="single" w:color="000000" w:sz="10" w:space="0"/>
            </w:tcBorders>
            <w:vAlign w:val="top"/>
          </w:tcPr>
          <w:p w14:paraId="60B434E3">
            <w:pPr>
              <w:spacing w:line="380" w:lineRule="auto"/>
              <w:rPr>
                <w:rFonts w:ascii="Arial"/>
                <w:sz w:val="21"/>
              </w:rPr>
            </w:pPr>
          </w:p>
          <w:p w14:paraId="0EBE119D">
            <w:pPr>
              <w:spacing w:before="52" w:line="188" w:lineRule="auto"/>
              <w:ind w:left="2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4620" w:type="dxa"/>
            <w:tcBorders>
              <w:bottom w:val="single" w:color="000000" w:sz="10" w:space="0"/>
              <w:right w:val="single" w:color="000000" w:sz="10" w:space="0"/>
            </w:tcBorders>
            <w:vAlign w:val="top"/>
          </w:tcPr>
          <w:p w14:paraId="0DF89716">
            <w:pPr>
              <w:spacing w:before="48" w:line="214" w:lineRule="auto"/>
              <w:ind w:left="15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位于嘉陵江及沱江中下游国家级水土流失重点治理区，</w:t>
            </w:r>
          </w:p>
          <w:p w14:paraId="1D906BBF">
            <w:pPr>
              <w:spacing w:before="139" w:line="216" w:lineRule="auto"/>
              <w:ind w:left="11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林草覆盖率提高</w:t>
            </w:r>
            <w:r>
              <w:rPr>
                <w:rFonts w:ascii="FangSong_GB2312" w:hAnsi="FangSong_GB2312" w:eastAsia="FangSong_GB2312" w:cs="FangSong_GB2312"/>
                <w:spacing w:val="-26"/>
                <w:sz w:val="18"/>
                <w:szCs w:val="18"/>
              </w:rPr>
              <w:t xml:space="preserve"> </w:t>
            </w:r>
            <w:r>
              <w:rPr>
                <w:rFonts w:ascii="Times New Roman" w:hAnsi="Times New Roman" w:eastAsia="Times New Roman" w:cs="Times New Roman"/>
                <w:spacing w:val="-1"/>
                <w:sz w:val="18"/>
                <w:szCs w:val="18"/>
              </w:rPr>
              <w:t>2%</w:t>
            </w:r>
            <w:r>
              <w:rPr>
                <w:rFonts w:ascii="FangSong_GB2312" w:hAnsi="FangSong_GB2312" w:eastAsia="FangSong_GB2312" w:cs="FangSong_GB2312"/>
                <w:spacing w:val="-1"/>
                <w:sz w:val="18"/>
                <w:szCs w:val="18"/>
              </w:rPr>
              <w:t>；项目占地尽可能用于周转房建设，</w:t>
            </w:r>
          </w:p>
          <w:p w14:paraId="23469FE6">
            <w:pPr>
              <w:spacing w:before="139" w:line="216" w:lineRule="auto"/>
              <w:ind w:left="1406"/>
              <w:rPr>
                <w:rFonts w:ascii="Times New Roman" w:hAnsi="Times New Roman" w:eastAsia="Times New Roman" w:cs="Times New Roman"/>
                <w:sz w:val="18"/>
                <w:szCs w:val="18"/>
              </w:rPr>
            </w:pPr>
            <w:r>
              <w:rPr>
                <w:rFonts w:ascii="FangSong_GB2312" w:hAnsi="FangSong_GB2312" w:eastAsia="FangSong_GB2312" w:cs="FangSong_GB2312"/>
                <w:spacing w:val="-1"/>
                <w:sz w:val="18"/>
                <w:szCs w:val="18"/>
              </w:rPr>
              <w:t>林草覆盖率调整为</w:t>
            </w:r>
            <w:r>
              <w:rPr>
                <w:rFonts w:ascii="FangSong_GB2312" w:hAnsi="FangSong_GB2312" w:eastAsia="FangSong_GB2312" w:cs="FangSong_GB2312"/>
                <w:spacing w:val="-39"/>
                <w:sz w:val="18"/>
                <w:szCs w:val="18"/>
              </w:rPr>
              <w:t xml:space="preserve"> </w:t>
            </w:r>
            <w:r>
              <w:rPr>
                <w:rFonts w:ascii="Times New Roman" w:hAnsi="Times New Roman" w:eastAsia="Times New Roman" w:cs="Times New Roman"/>
                <w:spacing w:val="-1"/>
                <w:sz w:val="18"/>
                <w:szCs w:val="18"/>
              </w:rPr>
              <w:t>20%</w:t>
            </w:r>
          </w:p>
        </w:tc>
      </w:tr>
    </w:tbl>
    <w:p w14:paraId="21D69AE7">
      <w:pPr>
        <w:pStyle w:val="2"/>
        <w:spacing w:line="300" w:lineRule="auto"/>
      </w:pPr>
    </w:p>
    <w:p w14:paraId="0F9B89B9">
      <w:pPr>
        <w:pStyle w:val="2"/>
        <w:spacing w:line="300" w:lineRule="auto"/>
      </w:pPr>
    </w:p>
    <w:p w14:paraId="035A0385">
      <w:pPr>
        <w:pStyle w:val="2"/>
        <w:spacing w:line="300" w:lineRule="auto"/>
      </w:pPr>
    </w:p>
    <w:p w14:paraId="6D3528A9">
      <w:pPr>
        <w:spacing w:before="65" w:line="229" w:lineRule="auto"/>
        <w:ind w:left="7149"/>
        <w:rPr>
          <w:rFonts w:ascii="FangSong_GB2312" w:hAnsi="FangSong_GB2312" w:eastAsia="FangSong_GB2312" w:cs="FangSong_GB2312"/>
          <w:sz w:val="20"/>
          <w:szCs w:val="20"/>
        </w:rPr>
      </w:pPr>
      <w:r>
        <w:rPr>
          <w:rFonts w:ascii="Times New Roman" w:hAnsi="Times New Roman" w:eastAsia="Times New Roman" w:cs="Times New Roman"/>
          <w:spacing w:val="3"/>
          <w:position w:val="3"/>
          <w:sz w:val="18"/>
          <w:szCs w:val="18"/>
        </w:rPr>
        <w:t xml:space="preserve">11                                                     </w:t>
      </w:r>
      <w:r>
        <w:rPr>
          <w:rFonts w:ascii="Times New Roman" w:hAnsi="Times New Roman" w:eastAsia="Times New Roman" w:cs="Times New Roman"/>
          <w:spacing w:val="2"/>
          <w:position w:val="3"/>
          <w:sz w:val="18"/>
          <w:szCs w:val="18"/>
        </w:rPr>
        <w:t xml:space="preserve">                      </w:t>
      </w:r>
      <w:r>
        <w:rPr>
          <w:rFonts w:ascii="FangSong_GB2312" w:hAnsi="FangSong_GB2312" w:eastAsia="FangSong_GB2312" w:cs="FangSong_GB2312"/>
          <w:spacing w:val="2"/>
          <w:sz w:val="20"/>
          <w:szCs w:val="20"/>
        </w:rPr>
        <w:t>剑阁县绿森林业勘察设计有限公司</w:t>
      </w:r>
    </w:p>
    <w:p w14:paraId="6CECE452">
      <w:pPr>
        <w:spacing w:line="229" w:lineRule="auto"/>
        <w:rPr>
          <w:rFonts w:ascii="FangSong_GB2312" w:hAnsi="FangSong_GB2312" w:eastAsia="FangSong_GB2312" w:cs="FangSong_GB2312"/>
          <w:sz w:val="20"/>
          <w:szCs w:val="20"/>
        </w:rPr>
        <w:sectPr>
          <w:headerReference r:id="rId29" w:type="default"/>
          <w:pgSz w:w="16839" w:h="11906"/>
          <w:pgMar w:top="1164" w:right="1204" w:bottom="400" w:left="1204" w:header="831" w:footer="0" w:gutter="0"/>
          <w:cols w:space="720" w:num="1"/>
        </w:sectPr>
      </w:pPr>
    </w:p>
    <w:p w14:paraId="5B22C2D8">
      <w:pPr>
        <w:pStyle w:val="2"/>
        <w:spacing w:line="248" w:lineRule="auto"/>
      </w:pPr>
    </w:p>
    <w:p w14:paraId="616B7527">
      <w:pPr>
        <w:spacing w:before="98" w:line="214" w:lineRule="auto"/>
        <w:ind w:left="20"/>
        <w:outlineLvl w:val="1"/>
        <w:rPr>
          <w:rFonts w:ascii="FangSong_GB2312" w:hAnsi="FangSong_GB2312" w:eastAsia="FangSong_GB2312" w:cs="FangSong_GB2312"/>
          <w:sz w:val="30"/>
          <w:szCs w:val="30"/>
        </w:rPr>
      </w:pPr>
      <w:bookmarkStart w:id="24" w:name="bookmark15"/>
      <w:bookmarkEnd w:id="24"/>
      <w:bookmarkStart w:id="25" w:name="bookmark14"/>
      <w:bookmarkEnd w:id="25"/>
      <w:r>
        <w:rPr>
          <w:rFonts w:ascii="Times New Roman" w:hAnsi="Times New Roman" w:eastAsia="Times New Roman" w:cs="Times New Roman"/>
          <w:b/>
          <w:bCs/>
          <w:spacing w:val="-4"/>
          <w:sz w:val="30"/>
          <w:szCs w:val="30"/>
        </w:rPr>
        <w:t xml:space="preserve">1.6 </w:t>
      </w:r>
      <w:r>
        <w:rPr>
          <w:rFonts w:ascii="FangSong_GB2312" w:hAnsi="FangSong_GB2312" w:eastAsia="FangSong_GB2312" w:cs="FangSong_GB2312"/>
          <w:b/>
          <w:bCs/>
          <w:spacing w:val="-4"/>
          <w:sz w:val="30"/>
          <w:szCs w:val="30"/>
        </w:rPr>
        <w:t>项目水土保持评价结论</w:t>
      </w:r>
    </w:p>
    <w:p w14:paraId="53E5DE9B">
      <w:pPr>
        <w:pStyle w:val="2"/>
        <w:spacing w:line="358" w:lineRule="auto"/>
      </w:pPr>
    </w:p>
    <w:p w14:paraId="35BBCA52">
      <w:pPr>
        <w:spacing w:before="78" w:line="323" w:lineRule="auto"/>
        <w:ind w:left="6" w:right="66" w:firstLine="501"/>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2"/>
          <w:sz w:val="24"/>
          <w:szCs w:val="24"/>
        </w:rPr>
        <w:t>、工程选址无法避让国家级水土流失重点治理区</w:t>
      </w:r>
      <w:r>
        <w:rPr>
          <w:rFonts w:ascii="FangSong_GB2312" w:hAnsi="FangSong_GB2312" w:eastAsia="FangSong_GB2312" w:cs="FangSong_GB2312"/>
          <w:spacing w:val="1"/>
          <w:sz w:val="24"/>
          <w:szCs w:val="24"/>
        </w:rPr>
        <w:t>，本方案执行一级防治标准，</w:t>
      </w:r>
      <w:r>
        <w:rPr>
          <w:rFonts w:ascii="FangSong_GB2312" w:hAnsi="FangSong_GB2312" w:eastAsia="FangSong_GB2312" w:cs="FangSong_GB2312"/>
          <w:sz w:val="24"/>
          <w:szCs w:val="24"/>
        </w:rPr>
        <w:t>提高防治标准，严格控制扰动地表和植被损坏范围、减少工程</w:t>
      </w:r>
      <w:r>
        <w:rPr>
          <w:rFonts w:ascii="FangSong_GB2312" w:hAnsi="FangSong_GB2312" w:eastAsia="FangSong_GB2312" w:cs="FangSong_GB2312"/>
          <w:spacing w:val="-1"/>
          <w:sz w:val="24"/>
          <w:szCs w:val="24"/>
        </w:rPr>
        <w:t>占地、加强工程管理、</w:t>
      </w:r>
      <w:r>
        <w:rPr>
          <w:rFonts w:ascii="FangSong_GB2312" w:hAnsi="FangSong_GB2312" w:eastAsia="FangSong_GB2312" w:cs="FangSong_GB2312"/>
          <w:sz w:val="24"/>
          <w:szCs w:val="24"/>
        </w:rPr>
        <w:t>优化施工工艺等措施，可有效控制工程建设生产的水土流失影</w:t>
      </w:r>
      <w:r>
        <w:rPr>
          <w:rFonts w:ascii="FangSong_GB2312" w:hAnsi="FangSong_GB2312" w:eastAsia="FangSong_GB2312" w:cs="FangSong_GB2312"/>
          <w:spacing w:val="-1"/>
          <w:sz w:val="24"/>
          <w:szCs w:val="24"/>
        </w:rPr>
        <w:t>响，能够达到水土保持相关要求，工程选址（线）可行。</w:t>
      </w:r>
    </w:p>
    <w:p w14:paraId="1725E617">
      <w:pPr>
        <w:spacing w:before="185" w:line="215"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、主体工程施工总布置符合水土保持的要求。</w:t>
      </w:r>
    </w:p>
    <w:p w14:paraId="4DFA3BAC">
      <w:pPr>
        <w:spacing w:before="189" w:line="287" w:lineRule="auto"/>
        <w:ind w:left="12" w:right="183" w:firstLine="477"/>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、主体工程占地数量、占地性质、占地类型和占地可恢复性等方面</w:t>
      </w:r>
      <w:r>
        <w:rPr>
          <w:rFonts w:ascii="FangSong_GB2312" w:hAnsi="FangSong_GB2312" w:eastAsia="FangSong_GB2312" w:cs="FangSong_GB2312"/>
          <w:spacing w:val="-2"/>
          <w:sz w:val="24"/>
          <w:szCs w:val="24"/>
        </w:rPr>
        <w:t>基本符合水</w:t>
      </w:r>
      <w:r>
        <w:rPr>
          <w:rFonts w:ascii="FangSong_GB2312" w:hAnsi="FangSong_GB2312" w:eastAsia="FangSong_GB2312" w:cs="FangSong_GB2312"/>
          <w:spacing w:val="-3"/>
          <w:sz w:val="24"/>
          <w:szCs w:val="24"/>
        </w:rPr>
        <w:t>土保持要求。</w:t>
      </w:r>
    </w:p>
    <w:p w14:paraId="3F8D9598">
      <w:pPr>
        <w:spacing w:before="187" w:line="287" w:lineRule="auto"/>
        <w:ind w:left="22" w:right="68" w:firstLine="463"/>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1"/>
          <w:sz w:val="24"/>
          <w:szCs w:val="24"/>
        </w:rPr>
        <w:t>、项</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1"/>
          <w:sz w:val="24"/>
          <w:szCs w:val="24"/>
        </w:rPr>
        <w:t>目区土石方回填主要来源于前期表土剥离</w:t>
      </w:r>
      <w:r>
        <w:rPr>
          <w:rFonts w:ascii="FangSong_GB2312" w:hAnsi="FangSong_GB2312" w:eastAsia="FangSong_GB2312" w:cs="FangSong_GB2312"/>
          <w:sz w:val="24"/>
          <w:szCs w:val="24"/>
        </w:rPr>
        <w:t>及基础开挖，尽量减少了土地扰</w:t>
      </w:r>
      <w:r>
        <w:rPr>
          <w:rFonts w:ascii="FangSong_GB2312" w:hAnsi="FangSong_GB2312" w:eastAsia="FangSong_GB2312" w:cs="FangSong_GB2312"/>
          <w:spacing w:val="-3"/>
          <w:sz w:val="24"/>
          <w:szCs w:val="24"/>
        </w:rPr>
        <w:t>动，符合水土保持要求。</w:t>
      </w:r>
    </w:p>
    <w:p w14:paraId="696A3493">
      <w:pPr>
        <w:spacing w:before="185" w:line="216" w:lineRule="auto"/>
        <w:ind w:left="491"/>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5</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4"/>
          <w:sz w:val="24"/>
          <w:szCs w:val="24"/>
        </w:rPr>
        <w:t>、本项目无取、弃土场。</w:t>
      </w:r>
    </w:p>
    <w:p w14:paraId="307F5D76">
      <w:pPr>
        <w:spacing w:before="186" w:line="311" w:lineRule="auto"/>
        <w:ind w:left="8" w:right="66" w:firstLine="481"/>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、主体工程施工组织设计中提出的施工用水、用电方案是可行的</w:t>
      </w:r>
      <w:r>
        <w:rPr>
          <w:rFonts w:ascii="FangSong_GB2312" w:hAnsi="FangSong_GB2312" w:eastAsia="FangSong_GB2312" w:cs="FangSong_GB2312"/>
          <w:spacing w:val="-2"/>
          <w:sz w:val="24"/>
          <w:szCs w:val="24"/>
        </w:rPr>
        <w:t>，满足施工要</w:t>
      </w:r>
      <w:r>
        <w:rPr>
          <w:rFonts w:ascii="FangSong_GB2312" w:hAnsi="FangSong_GB2312" w:eastAsia="FangSong_GB2312" w:cs="FangSong_GB2312"/>
          <w:sz w:val="24"/>
          <w:szCs w:val="24"/>
        </w:rPr>
        <w:t>求；建筑材料采购方式基本合理。施工时已根据各项目分</w:t>
      </w:r>
      <w:r>
        <w:rPr>
          <w:rFonts w:ascii="FangSong_GB2312" w:hAnsi="FangSong_GB2312" w:eastAsia="FangSong_GB2312" w:cs="FangSong_GB2312"/>
          <w:spacing w:val="-1"/>
          <w:sz w:val="24"/>
          <w:szCs w:val="24"/>
        </w:rPr>
        <w:t>区具体的工程措施合理安排各施工工序，减少或避免了各工序间的相互干扰。</w:t>
      </w:r>
    </w:p>
    <w:p w14:paraId="05F0D216">
      <w:pPr>
        <w:spacing w:before="187" w:line="311" w:lineRule="auto"/>
        <w:ind w:left="8" w:firstLine="480"/>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7</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3"/>
          <w:sz w:val="24"/>
          <w:szCs w:val="24"/>
        </w:rPr>
        <w:t>、本项目的水土保持措施有建构筑物工程：表土剥离</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7"/>
          <w:position w:val="8"/>
          <w:sz w:val="15"/>
          <w:szCs w:val="15"/>
        </w:rPr>
        <w:t xml:space="preserve"> </w:t>
      </w:r>
      <w:r>
        <w:rPr>
          <w:rFonts w:ascii="FangSong_GB2312" w:hAnsi="FangSong_GB2312" w:eastAsia="FangSong_GB2312" w:cs="FangSong_GB2312"/>
          <w:spacing w:val="-3"/>
          <w:sz w:val="24"/>
          <w:szCs w:val="24"/>
        </w:rPr>
        <w:t>；绿化</w:t>
      </w:r>
      <w:r>
        <w:rPr>
          <w:rFonts w:ascii="FangSong_GB2312" w:hAnsi="FangSong_GB2312" w:eastAsia="FangSong_GB2312" w:cs="FangSong_GB2312"/>
          <w:spacing w:val="-4"/>
          <w:sz w:val="24"/>
          <w:szCs w:val="24"/>
        </w:rPr>
        <w:t>工程：表</w:t>
      </w:r>
      <w:r>
        <w:rPr>
          <w:rFonts w:ascii="FangSong_GB2312" w:hAnsi="FangSong_GB2312" w:eastAsia="FangSong_GB2312" w:cs="FangSong_GB2312"/>
          <w:spacing w:val="-9"/>
          <w:sz w:val="24"/>
          <w:szCs w:val="24"/>
        </w:rPr>
        <w:t>土回覆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9"/>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9"/>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7"/>
          <w:sz w:val="15"/>
          <w:szCs w:val="15"/>
        </w:rPr>
        <w:t>3</w:t>
      </w:r>
      <w:r>
        <w:rPr>
          <w:rFonts w:ascii="FangSong_GB2312" w:hAnsi="FangSong_GB2312" w:eastAsia="FangSong_GB2312" w:cs="FangSong_GB2312"/>
          <w:spacing w:val="-9"/>
          <w:sz w:val="24"/>
          <w:szCs w:val="24"/>
        </w:rPr>
        <w:t>、盖板排水沟</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9"/>
          <w:sz w:val="24"/>
          <w:szCs w:val="24"/>
        </w:rPr>
        <w:t>80m</w:t>
      </w:r>
      <w:r>
        <w:rPr>
          <w:rFonts w:ascii="FangSong_GB2312" w:hAnsi="FangSong_GB2312" w:eastAsia="FangSong_GB2312" w:cs="FangSong_GB2312"/>
          <w:spacing w:val="-9"/>
          <w:sz w:val="24"/>
          <w:szCs w:val="24"/>
        </w:rPr>
        <w:t>、雨水</w:t>
      </w:r>
      <w:r>
        <w:rPr>
          <w:rFonts w:ascii="FangSong_GB2312" w:hAnsi="FangSong_GB2312" w:eastAsia="FangSong_GB2312" w:cs="FangSong_GB2312"/>
          <w:spacing w:val="-10"/>
          <w:sz w:val="24"/>
          <w:szCs w:val="24"/>
        </w:rPr>
        <w:t>井</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0"/>
          <w:sz w:val="24"/>
          <w:szCs w:val="24"/>
        </w:rPr>
        <w:t xml:space="preserve">6 </w:t>
      </w:r>
      <w:r>
        <w:rPr>
          <w:rFonts w:ascii="FangSong_GB2312" w:hAnsi="FangSong_GB2312" w:eastAsia="FangSong_GB2312" w:cs="FangSong_GB2312"/>
          <w:spacing w:val="-10"/>
          <w:sz w:val="24"/>
          <w:szCs w:val="24"/>
        </w:rPr>
        <w:t>座、栽植灌木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7"/>
          <w:sz w:val="24"/>
          <w:szCs w:val="24"/>
        </w:rPr>
        <w:t xml:space="preserve">12 </w:t>
      </w:r>
      <w:r>
        <w:rPr>
          <w:rFonts w:ascii="FangSong_GB2312" w:hAnsi="FangSong_GB2312" w:eastAsia="FangSong_GB2312" w:cs="FangSong_GB2312"/>
          <w:spacing w:val="-7"/>
          <w:sz w:val="24"/>
          <w:szCs w:val="24"/>
        </w:rPr>
        <w:t>株、撒播草籽</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7"/>
          <w:sz w:val="24"/>
          <w:szCs w:val="24"/>
        </w:rPr>
        <w:t>0.01hm</w:t>
      </w:r>
      <w:r>
        <w:rPr>
          <w:rFonts w:ascii="Times New Roman" w:hAnsi="Times New Roman" w:eastAsia="Times New Roman" w:cs="Times New Roman"/>
          <w:spacing w:val="-7"/>
          <w:position w:val="7"/>
          <w:sz w:val="15"/>
          <w:szCs w:val="15"/>
        </w:rPr>
        <w:t>2</w:t>
      </w:r>
      <w:r>
        <w:rPr>
          <w:rFonts w:ascii="FangSong_GB2312" w:hAnsi="FangSong_GB2312" w:eastAsia="FangSong_GB2312" w:cs="FangSong_GB2312"/>
          <w:spacing w:val="-51"/>
          <w:sz w:val="24"/>
          <w:szCs w:val="24"/>
        </w:rPr>
        <w:t>。</w:t>
      </w:r>
      <w:r>
        <w:rPr>
          <w:rFonts w:ascii="FangSong_GB2312" w:hAnsi="FangSong_GB2312" w:eastAsia="FangSong_GB2312" w:cs="FangSong_GB2312"/>
          <w:spacing w:val="-1"/>
          <w:sz w:val="24"/>
          <w:szCs w:val="24"/>
        </w:rPr>
        <w:t>水土保持措施布设合理，基本符合水土保持要求。</w:t>
      </w:r>
    </w:p>
    <w:p w14:paraId="7916EA39">
      <w:pPr>
        <w:pStyle w:val="2"/>
        <w:spacing w:line="360" w:lineRule="auto"/>
      </w:pPr>
    </w:p>
    <w:p w14:paraId="0CEEB9A8">
      <w:pPr>
        <w:spacing w:before="97" w:line="214" w:lineRule="auto"/>
        <w:ind w:left="20"/>
        <w:outlineLvl w:val="1"/>
        <w:rPr>
          <w:rFonts w:ascii="FangSong_GB2312" w:hAnsi="FangSong_GB2312" w:eastAsia="FangSong_GB2312" w:cs="FangSong_GB2312"/>
          <w:sz w:val="30"/>
          <w:szCs w:val="30"/>
        </w:rPr>
      </w:pPr>
      <w:bookmarkStart w:id="26" w:name="bookmark17"/>
      <w:bookmarkEnd w:id="26"/>
      <w:bookmarkStart w:id="27" w:name="bookmark16"/>
      <w:bookmarkEnd w:id="27"/>
      <w:r>
        <w:rPr>
          <w:rFonts w:ascii="Times New Roman" w:hAnsi="Times New Roman" w:eastAsia="Times New Roman" w:cs="Times New Roman"/>
          <w:b/>
          <w:bCs/>
          <w:spacing w:val="-4"/>
          <w:sz w:val="30"/>
          <w:szCs w:val="30"/>
        </w:rPr>
        <w:t xml:space="preserve">1.7  </w:t>
      </w:r>
      <w:r>
        <w:rPr>
          <w:rFonts w:ascii="FangSong_GB2312" w:hAnsi="FangSong_GB2312" w:eastAsia="FangSong_GB2312" w:cs="FangSong_GB2312"/>
          <w:b/>
          <w:bCs/>
          <w:spacing w:val="-4"/>
          <w:sz w:val="30"/>
          <w:szCs w:val="30"/>
        </w:rPr>
        <w:t>水土流失调查结果</w:t>
      </w:r>
    </w:p>
    <w:p w14:paraId="7667CD57">
      <w:pPr>
        <w:pStyle w:val="2"/>
        <w:spacing w:line="355" w:lineRule="auto"/>
      </w:pPr>
    </w:p>
    <w:p w14:paraId="0869F833">
      <w:pPr>
        <w:spacing w:before="79" w:line="288" w:lineRule="auto"/>
        <w:ind w:left="9" w:right="119" w:firstLine="49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3"/>
          <w:sz w:val="24"/>
          <w:szCs w:val="24"/>
        </w:rPr>
        <w:t>、本项目从开工建设到自然恢复期结束，产生的土壤流失总量为</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1.21</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4"/>
          <w:sz w:val="24"/>
          <w:szCs w:val="24"/>
        </w:rPr>
        <w:t>，新增土</w:t>
      </w:r>
      <w:r>
        <w:rPr>
          <w:rFonts w:ascii="FangSong_GB2312" w:hAnsi="FangSong_GB2312" w:eastAsia="FangSong_GB2312" w:cs="FangSong_GB2312"/>
          <w:spacing w:val="-2"/>
          <w:sz w:val="24"/>
          <w:szCs w:val="24"/>
        </w:rPr>
        <w:t>壤流失量为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0.58t</w:t>
      </w:r>
      <w:r>
        <w:rPr>
          <w:rFonts w:ascii="FangSong_GB2312" w:hAnsi="FangSong_GB2312" w:eastAsia="FangSong_GB2312" w:cs="FangSong_GB2312"/>
          <w:spacing w:val="-2"/>
          <w:sz w:val="24"/>
          <w:szCs w:val="24"/>
        </w:rPr>
        <w:t>。</w:t>
      </w:r>
    </w:p>
    <w:p w14:paraId="22F80278">
      <w:pPr>
        <w:spacing w:before="185"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、本项目产生水土流失重点部位为建构筑物工程单元、绿化工</w:t>
      </w:r>
      <w:r>
        <w:rPr>
          <w:rFonts w:ascii="FangSong_GB2312" w:hAnsi="FangSong_GB2312" w:eastAsia="FangSong_GB2312" w:cs="FangSong_GB2312"/>
          <w:spacing w:val="-2"/>
          <w:sz w:val="24"/>
          <w:szCs w:val="24"/>
        </w:rPr>
        <w:t>程单元。</w:t>
      </w:r>
    </w:p>
    <w:p w14:paraId="770B6D47">
      <w:pPr>
        <w:spacing w:before="190" w:line="323" w:lineRule="auto"/>
        <w:ind w:left="10" w:right="66" w:firstLine="479"/>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
          <w:sz w:val="24"/>
          <w:szCs w:val="24"/>
        </w:rPr>
        <w:t>、水土流失主要危害：本项目建设生产过程中，工程占地区内的地</w:t>
      </w:r>
      <w:r>
        <w:rPr>
          <w:rFonts w:ascii="FangSong_GB2312" w:hAnsi="FangSong_GB2312" w:eastAsia="FangSong_GB2312" w:cs="FangSong_GB2312"/>
          <w:spacing w:val="-2"/>
          <w:sz w:val="24"/>
          <w:szCs w:val="24"/>
        </w:rPr>
        <w:t>表将遭受不</w:t>
      </w:r>
      <w:r>
        <w:rPr>
          <w:rFonts w:ascii="FangSong_GB2312" w:hAnsi="FangSong_GB2312" w:eastAsia="FangSong_GB2312" w:cs="FangSong_GB2312"/>
          <w:sz w:val="24"/>
          <w:szCs w:val="24"/>
        </w:rPr>
        <w:t>同程度的扰动、破坏，局部地貌将发生较大的改变，</w:t>
      </w:r>
      <w:r>
        <w:rPr>
          <w:rFonts w:ascii="FangSong_GB2312" w:hAnsi="FangSong_GB2312" w:eastAsia="FangSong_GB2312" w:cs="FangSong_GB2312"/>
          <w:spacing w:val="-1"/>
          <w:sz w:val="24"/>
          <w:szCs w:val="24"/>
        </w:rPr>
        <w:t>如果不采取有效的措施，建设和</w:t>
      </w:r>
      <w:r>
        <w:rPr>
          <w:rFonts w:ascii="FangSong_GB2312" w:hAnsi="FangSong_GB2312" w:eastAsia="FangSong_GB2312" w:cs="FangSong_GB2312"/>
          <w:sz w:val="24"/>
          <w:szCs w:val="24"/>
        </w:rPr>
        <w:t>运行过程中产生的水土流失（尤其是土石方处置不当</w:t>
      </w:r>
      <w:r>
        <w:rPr>
          <w:rFonts w:ascii="FangSong_GB2312" w:hAnsi="FangSong_GB2312" w:eastAsia="FangSong_GB2312" w:cs="FangSong_GB2312"/>
          <w:spacing w:val="-1"/>
          <w:sz w:val="24"/>
          <w:szCs w:val="24"/>
        </w:rPr>
        <w:t>）进入项目区下游沟道，易造成泥沙淤积，影响防洪安全。</w:t>
      </w:r>
    </w:p>
    <w:p w14:paraId="03FB9468">
      <w:pPr>
        <w:pStyle w:val="2"/>
        <w:spacing w:line="357" w:lineRule="auto"/>
      </w:pPr>
    </w:p>
    <w:p w14:paraId="1223F4F0">
      <w:pPr>
        <w:spacing w:before="98" w:line="214" w:lineRule="auto"/>
        <w:ind w:left="20"/>
        <w:outlineLvl w:val="1"/>
        <w:rPr>
          <w:rFonts w:ascii="FangSong_GB2312" w:hAnsi="FangSong_GB2312" w:eastAsia="FangSong_GB2312" w:cs="FangSong_GB2312"/>
          <w:sz w:val="30"/>
          <w:szCs w:val="30"/>
        </w:rPr>
      </w:pPr>
      <w:bookmarkStart w:id="28" w:name="bookmark18"/>
      <w:bookmarkEnd w:id="28"/>
      <w:bookmarkStart w:id="29" w:name="bookmark19"/>
      <w:bookmarkEnd w:id="29"/>
      <w:r>
        <w:rPr>
          <w:rFonts w:ascii="Times New Roman" w:hAnsi="Times New Roman" w:eastAsia="Times New Roman" w:cs="Times New Roman"/>
          <w:b/>
          <w:bCs/>
          <w:spacing w:val="-3"/>
          <w:sz w:val="30"/>
          <w:szCs w:val="30"/>
        </w:rPr>
        <w:t xml:space="preserve">1.8  </w:t>
      </w:r>
      <w:r>
        <w:rPr>
          <w:rFonts w:ascii="FangSong_GB2312" w:hAnsi="FangSong_GB2312" w:eastAsia="FangSong_GB2312" w:cs="FangSong_GB2312"/>
          <w:b/>
          <w:bCs/>
          <w:spacing w:val="-3"/>
          <w:sz w:val="30"/>
          <w:szCs w:val="30"/>
        </w:rPr>
        <w:t>水土保持措施布设成果</w:t>
      </w:r>
    </w:p>
    <w:p w14:paraId="1873B1C5">
      <w:pPr>
        <w:pStyle w:val="2"/>
        <w:spacing w:line="356" w:lineRule="auto"/>
      </w:pPr>
    </w:p>
    <w:p w14:paraId="7B84D30F">
      <w:pPr>
        <w:spacing w:before="79" w:line="370" w:lineRule="auto"/>
        <w:ind w:left="5384" w:right="123" w:hanging="4895"/>
        <w:rPr>
          <w:rFonts w:ascii="FangSong_GB2312" w:hAnsi="FangSong_GB2312" w:eastAsia="FangSong_GB2312" w:cs="FangSong_GB2312"/>
          <w:sz w:val="20"/>
          <w:szCs w:val="20"/>
        </w:rPr>
      </w:pPr>
      <w:r>
        <w:pict>
          <v:shape id="_x0000_s1037" o:spid="_x0000_s1037" o:spt="202" type="#_x0000_t202" style="position:absolute;left:0pt;margin-left:217.5pt;margin-top:26.8pt;height:10.15pt;width:10.05pt;z-index:251692032;mso-width-relative:page;mso-height-relative:page;" filled="f" stroked="f" coordsize="21600,21600">
            <v:path/>
            <v:fill on="f" focussize="0,0"/>
            <v:stroke on="f"/>
            <v:imagedata o:title=""/>
            <o:lock v:ext="edit" aspectratio="f"/>
            <v:textbox inset="0mm,0mm,0mm,0mm">
              <w:txbxContent>
                <w:p w14:paraId="542A5903">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xbxContent>
            </v:textbox>
          </v:shape>
        </w:pict>
      </w:r>
      <w:r>
        <w:rPr>
          <w:rFonts w:ascii="FangSong_GB2312" w:hAnsi="FangSong_GB2312" w:eastAsia="FangSong_GB2312" w:cs="FangSong_GB2312"/>
          <w:spacing w:val="-2"/>
          <w:sz w:val="24"/>
          <w:szCs w:val="24"/>
        </w:rPr>
        <w:t>本项目已于</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 xml:space="preserve">2022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2"/>
          <w:sz w:val="24"/>
          <w:szCs w:val="24"/>
        </w:rPr>
        <w:t>月开工，</w:t>
      </w:r>
      <w:r>
        <w:rPr>
          <w:rFonts w:ascii="Times New Roman" w:hAnsi="Times New Roman" w:eastAsia="Times New Roman" w:cs="Times New Roman"/>
          <w:spacing w:val="-2"/>
          <w:sz w:val="24"/>
          <w:szCs w:val="24"/>
        </w:rPr>
        <w:t xml:space="preserve">2023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2"/>
          <w:sz w:val="24"/>
          <w:szCs w:val="24"/>
        </w:rPr>
        <w:t>月</w:t>
      </w:r>
      <w:r>
        <w:rPr>
          <w:rFonts w:ascii="FangSong_GB2312" w:hAnsi="FangSong_GB2312" w:eastAsia="FangSong_GB2312" w:cs="FangSong_GB2312"/>
          <w:spacing w:val="-3"/>
          <w:sz w:val="24"/>
          <w:szCs w:val="24"/>
        </w:rPr>
        <w:t>完工。主体工程实施的水土保持措施</w:t>
      </w:r>
      <w:r>
        <w:rPr>
          <w:rFonts w:ascii="FangSong_GB2312" w:hAnsi="FangSong_GB2312" w:eastAsia="FangSong_GB2312" w:cs="FangSong_GB2312"/>
          <w:spacing w:val="8"/>
          <w:sz w:val="20"/>
          <w:szCs w:val="20"/>
        </w:rPr>
        <w:t>剑阁县绿森林业勘察设计有限公司</w:t>
      </w:r>
    </w:p>
    <w:p w14:paraId="0FD23754">
      <w:pPr>
        <w:spacing w:line="370" w:lineRule="auto"/>
        <w:rPr>
          <w:rFonts w:ascii="FangSong_GB2312" w:hAnsi="FangSong_GB2312" w:eastAsia="FangSong_GB2312" w:cs="FangSong_GB2312"/>
          <w:sz w:val="20"/>
          <w:szCs w:val="20"/>
        </w:rPr>
        <w:sectPr>
          <w:headerReference r:id="rId30" w:type="default"/>
          <w:pgSz w:w="11906" w:h="16839"/>
          <w:pgMar w:top="1164" w:right="1447" w:bottom="400" w:left="1513" w:header="831" w:footer="0" w:gutter="0"/>
          <w:cols w:space="720" w:num="1"/>
        </w:sectPr>
      </w:pPr>
    </w:p>
    <w:p w14:paraId="1DC1CFEC">
      <w:pPr>
        <w:spacing w:before="197" w:line="214" w:lineRule="auto"/>
        <w:ind w:left="1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较为完善且已完工，不再新增水土保持措施。</w:t>
      </w:r>
    </w:p>
    <w:p w14:paraId="39608CB4">
      <w:pPr>
        <w:spacing w:before="188" w:line="360" w:lineRule="auto"/>
        <w:ind w:left="42" w:right="70" w:firstLine="444"/>
        <w:rPr>
          <w:rFonts w:ascii="FangSong_GB2312" w:hAnsi="FangSong_GB2312" w:eastAsia="FangSong_GB2312" w:cs="FangSong_GB2312"/>
          <w:sz w:val="24"/>
          <w:szCs w:val="24"/>
        </w:rPr>
      </w:pPr>
      <w:r>
        <w:rPr>
          <w:rFonts w:ascii="FangSong_GB2312" w:hAnsi="FangSong_GB2312" w:eastAsia="FangSong_GB2312" w:cs="FangSong_GB2312"/>
          <w:sz w:val="24"/>
          <w:szCs w:val="24"/>
        </w:rPr>
        <w:t>根据项目组成及施工特点，水土流失防治分区分为：建构</w:t>
      </w:r>
      <w:r>
        <w:rPr>
          <w:rFonts w:ascii="FangSong_GB2312" w:hAnsi="FangSong_GB2312" w:eastAsia="FangSong_GB2312" w:cs="FangSong_GB2312"/>
          <w:spacing w:val="-1"/>
          <w:sz w:val="24"/>
          <w:szCs w:val="24"/>
        </w:rPr>
        <w:t>筑物工程区、硬化工程</w:t>
      </w:r>
      <w:r>
        <w:rPr>
          <w:rFonts w:ascii="FangSong_GB2312" w:hAnsi="FangSong_GB2312" w:eastAsia="FangSong_GB2312" w:cs="FangSong_GB2312"/>
          <w:spacing w:val="-6"/>
          <w:sz w:val="24"/>
          <w:szCs w:val="24"/>
        </w:rPr>
        <w:t>区、绿化工程区。</w:t>
      </w:r>
    </w:p>
    <w:p w14:paraId="53153520">
      <w:pPr>
        <w:spacing w:line="213" w:lineRule="auto"/>
        <w:ind w:left="448"/>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7"/>
          <w:sz w:val="24"/>
          <w:szCs w:val="24"/>
        </w:rPr>
        <w:t>、建构筑物工程区</w:t>
      </w:r>
    </w:p>
    <w:p w14:paraId="0A0D73E7">
      <w:pPr>
        <w:spacing w:before="187" w:line="213" w:lineRule="auto"/>
        <w:ind w:left="42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建设前期，对该区域所占</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0.03hm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9"/>
          <w:w w:val="102"/>
          <w:position w:val="8"/>
          <w:sz w:val="15"/>
          <w:szCs w:val="15"/>
        </w:rPr>
        <w:t xml:space="preserve"> </w:t>
      </w:r>
      <w:r>
        <w:rPr>
          <w:rFonts w:ascii="FangSong_GB2312" w:hAnsi="FangSong_GB2312" w:eastAsia="FangSong_GB2312" w:cs="FangSong_GB2312"/>
          <w:spacing w:val="-1"/>
          <w:sz w:val="24"/>
          <w:szCs w:val="24"/>
        </w:rPr>
        <w:t>林地进行表土剥离，剥离厚度为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1"/>
          <w:sz w:val="24"/>
          <w:szCs w:val="24"/>
        </w:rPr>
        <w:t>0.20m</w:t>
      </w:r>
      <w:r>
        <w:rPr>
          <w:rFonts w:ascii="FangSong_GB2312" w:hAnsi="FangSong_GB2312" w:eastAsia="FangSong_GB2312" w:cs="FangSong_GB2312"/>
          <w:spacing w:val="-1"/>
          <w:sz w:val="24"/>
          <w:szCs w:val="24"/>
        </w:rPr>
        <w:t>。</w:t>
      </w:r>
    </w:p>
    <w:p w14:paraId="66DB2C70">
      <w:pPr>
        <w:spacing w:before="190" w:line="214" w:lineRule="auto"/>
        <w:ind w:left="43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工程措施：表土剥离</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3"/>
          <w:sz w:val="24"/>
          <w:szCs w:val="24"/>
        </w:rPr>
        <w:t>。</w:t>
      </w:r>
    </w:p>
    <w:p w14:paraId="2C04FD3E">
      <w:pPr>
        <w:spacing w:before="188" w:line="216" w:lineRule="auto"/>
        <w:ind w:left="425"/>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5"/>
          <w:sz w:val="24"/>
          <w:szCs w:val="24"/>
        </w:rPr>
        <w:t>、硬化工程区</w:t>
      </w:r>
    </w:p>
    <w:p w14:paraId="1AFFB418">
      <w:pPr>
        <w:spacing w:before="187" w:line="214" w:lineRule="auto"/>
        <w:ind w:left="49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据现场调查，该区域未实施水土保持措施。</w:t>
      </w:r>
    </w:p>
    <w:p w14:paraId="1798C7CF">
      <w:pPr>
        <w:spacing w:before="190" w:line="216" w:lineRule="auto"/>
        <w:ind w:left="430"/>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、绿化工程区</w:t>
      </w:r>
    </w:p>
    <w:p w14:paraId="0480DE28">
      <w:pPr>
        <w:spacing w:before="186" w:line="359" w:lineRule="auto"/>
        <w:ind w:left="9" w:right="33" w:firstLine="478"/>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建设期间，在该区域设置</w:t>
      </w:r>
      <w:r>
        <w:rPr>
          <w:rFonts w:ascii="FangSong_GB2312" w:hAnsi="FangSong_GB2312" w:eastAsia="FangSong_GB2312" w:cs="FangSong_GB2312"/>
          <w:spacing w:val="-38"/>
          <w:sz w:val="24"/>
          <w:szCs w:val="24"/>
        </w:rPr>
        <w:t xml:space="preserve"> </w:t>
      </w:r>
      <w:r>
        <w:rPr>
          <w:rFonts w:ascii="Times New Roman" w:hAnsi="Times New Roman" w:eastAsia="Times New Roman" w:cs="Times New Roman"/>
          <w:spacing w:val="2"/>
          <w:sz w:val="24"/>
          <w:szCs w:val="24"/>
        </w:rPr>
        <w:t>0.40m*0.40m</w:t>
      </w:r>
      <w:r>
        <w:rPr>
          <w:rFonts w:ascii="Times New Roman" w:hAnsi="Times New Roman" w:eastAsia="Times New Roman" w:cs="Times New Roman"/>
          <w:spacing w:val="35"/>
          <w:sz w:val="24"/>
          <w:szCs w:val="24"/>
        </w:rPr>
        <w:t xml:space="preserve"> </w:t>
      </w:r>
      <w:r>
        <w:rPr>
          <w:rFonts w:ascii="FangSong_GB2312" w:hAnsi="FangSong_GB2312" w:eastAsia="FangSong_GB2312" w:cs="FangSong_GB2312"/>
          <w:spacing w:val="2"/>
          <w:sz w:val="24"/>
          <w:szCs w:val="24"/>
        </w:rPr>
        <w:t>的</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pacing w:val="2"/>
          <w:sz w:val="24"/>
          <w:szCs w:val="24"/>
        </w:rPr>
        <w:t>C25</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盖板沟、雨水井；建设后期，对</w:t>
      </w:r>
      <w:r>
        <w:rPr>
          <w:rFonts w:ascii="Times New Roman" w:hAnsi="Times New Roman" w:eastAsia="Times New Roman" w:cs="Times New Roman"/>
          <w:spacing w:val="-1"/>
          <w:sz w:val="24"/>
          <w:szCs w:val="24"/>
        </w:rPr>
        <w:t>0.01hm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21"/>
          <w:w w:val="102"/>
          <w:position w:val="7"/>
          <w:sz w:val="15"/>
          <w:szCs w:val="15"/>
        </w:rPr>
        <w:t xml:space="preserve"> </w:t>
      </w:r>
      <w:r>
        <w:rPr>
          <w:rFonts w:ascii="FangSong_GB2312" w:hAnsi="FangSong_GB2312" w:eastAsia="FangSong_GB2312" w:cs="FangSong_GB2312"/>
          <w:spacing w:val="-1"/>
          <w:sz w:val="24"/>
          <w:szCs w:val="24"/>
        </w:rPr>
        <w:t>绿化工程区进行表土回覆，覆土厚度为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1"/>
          <w:sz w:val="24"/>
          <w:szCs w:val="24"/>
        </w:rPr>
        <w:t>0.60m</w:t>
      </w:r>
      <w:r>
        <w:rPr>
          <w:rFonts w:ascii="FangSong_GB2312" w:hAnsi="FangSong_GB2312" w:eastAsia="FangSong_GB2312" w:cs="FangSong_GB2312"/>
          <w:spacing w:val="-1"/>
          <w:sz w:val="24"/>
          <w:szCs w:val="24"/>
        </w:rPr>
        <w:t>（按实际剥离及覆土量计算</w:t>
      </w:r>
      <w:r>
        <w:rPr>
          <w:rFonts w:ascii="FangSong_GB2312" w:hAnsi="FangSong_GB2312" w:eastAsia="FangSong_GB2312" w:cs="FangSong_GB2312"/>
          <w:spacing w:val="-15"/>
          <w:sz w:val="24"/>
          <w:szCs w:val="24"/>
        </w:rPr>
        <w:t>），</w:t>
      </w:r>
      <w:r>
        <w:rPr>
          <w:rFonts w:ascii="FangSong_GB2312" w:hAnsi="FangSong_GB2312" w:eastAsia="FangSong_GB2312" w:cs="FangSong_GB2312"/>
          <w:spacing w:val="-1"/>
          <w:sz w:val="24"/>
          <w:szCs w:val="24"/>
        </w:rPr>
        <w:t>然后对绿化工程区进行栽植灌木（树种选用大叶黄杨等，采用穴植的方式种植</w:t>
      </w:r>
      <w:r>
        <w:rPr>
          <w:rFonts w:ascii="FangSong_GB2312" w:hAnsi="FangSong_GB2312" w:eastAsia="FangSong_GB2312" w:cs="FangSong_GB2312"/>
          <w:spacing w:val="11"/>
          <w:sz w:val="24"/>
          <w:szCs w:val="24"/>
        </w:rPr>
        <w:t>），</w:t>
      </w:r>
      <w:r>
        <w:rPr>
          <w:rFonts w:ascii="FangSong_GB2312" w:hAnsi="FangSong_GB2312" w:eastAsia="FangSong_GB2312" w:cs="FangSong_GB2312"/>
          <w:spacing w:val="-1"/>
          <w:sz w:val="24"/>
          <w:szCs w:val="24"/>
        </w:rPr>
        <w:t>撒</w:t>
      </w:r>
      <w:r>
        <w:rPr>
          <w:rFonts w:ascii="FangSong_GB2312" w:hAnsi="FangSong_GB2312" w:eastAsia="FangSong_GB2312" w:cs="FangSong_GB2312"/>
          <w:spacing w:val="-2"/>
          <w:sz w:val="24"/>
          <w:szCs w:val="24"/>
        </w:rPr>
        <w:t>播草籽（</w:t>
      </w:r>
      <w:r>
        <w:rPr>
          <w:rFonts w:ascii="Times New Roman" w:hAnsi="Times New Roman" w:eastAsia="Times New Roman" w:cs="Times New Roman"/>
          <w:spacing w:val="-2"/>
          <w:sz w:val="24"/>
          <w:szCs w:val="24"/>
        </w:rPr>
        <w:t>100kg/hm</w:t>
      </w:r>
      <w:r>
        <w:rPr>
          <w:rFonts w:ascii="Times New Roman" w:hAnsi="Times New Roman" w:eastAsia="Times New Roman" w:cs="Times New Roman"/>
          <w:spacing w:val="-2"/>
          <w:position w:val="7"/>
          <w:sz w:val="15"/>
          <w:szCs w:val="15"/>
        </w:rPr>
        <w:t xml:space="preserve">2 </w:t>
      </w:r>
      <w:r>
        <w:rPr>
          <w:rFonts w:ascii="FangSong_GB2312" w:hAnsi="FangSong_GB2312" w:eastAsia="FangSong_GB2312" w:cs="FangSong_GB2312"/>
          <w:spacing w:val="-2"/>
          <w:sz w:val="24"/>
          <w:szCs w:val="24"/>
        </w:rPr>
        <w:t>，草种主要选择小麦冬等，草种</w:t>
      </w:r>
      <w:r>
        <w:rPr>
          <w:rFonts w:ascii="FangSong_GB2312" w:hAnsi="FangSong_GB2312" w:eastAsia="FangSong_GB2312" w:cs="FangSong_GB2312"/>
          <w:spacing w:val="-3"/>
          <w:sz w:val="24"/>
          <w:szCs w:val="24"/>
        </w:rPr>
        <w:t>采用人工撒播的方式进行种植）。</w:t>
      </w:r>
    </w:p>
    <w:p w14:paraId="630D3766">
      <w:pPr>
        <w:spacing w:line="213" w:lineRule="auto"/>
        <w:ind w:left="495"/>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工程措施（</w:t>
      </w:r>
      <w:r>
        <w:rPr>
          <w:rFonts w:ascii="FangSong_GB2312" w:hAnsi="FangSong_GB2312" w:eastAsia="FangSong_GB2312" w:cs="FangSong_GB2312"/>
          <w:spacing w:val="-69"/>
          <w:sz w:val="24"/>
          <w:szCs w:val="24"/>
        </w:rPr>
        <w:t xml:space="preserve"> </w:t>
      </w:r>
      <w:r>
        <w:rPr>
          <w:rFonts w:ascii="FangSong_GB2312" w:hAnsi="FangSong_GB2312" w:eastAsia="FangSong_GB2312" w:cs="FangSong_GB2312"/>
          <w:spacing w:val="-5"/>
          <w:sz w:val="24"/>
          <w:szCs w:val="24"/>
        </w:rPr>
        <w:t>已实施</w:t>
      </w:r>
      <w:r>
        <w:rPr>
          <w:rFonts w:ascii="FangSong_GB2312" w:hAnsi="FangSong_GB2312" w:eastAsia="FangSong_GB2312" w:cs="FangSong_GB2312"/>
          <w:spacing w:val="3"/>
          <w:sz w:val="24"/>
          <w:szCs w:val="24"/>
        </w:rPr>
        <w:t>）：</w:t>
      </w:r>
      <w:r>
        <w:rPr>
          <w:rFonts w:ascii="FangSong_GB2312" w:hAnsi="FangSong_GB2312" w:eastAsia="FangSong_GB2312" w:cs="FangSong_GB2312"/>
          <w:spacing w:val="-5"/>
          <w:sz w:val="24"/>
          <w:szCs w:val="24"/>
        </w:rPr>
        <w:t>表土回覆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5"/>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8"/>
          <w:position w:val="8"/>
          <w:sz w:val="15"/>
          <w:szCs w:val="15"/>
        </w:rPr>
        <w:t xml:space="preserve"> </w:t>
      </w:r>
      <w:r>
        <w:rPr>
          <w:rFonts w:ascii="FangSong_GB2312" w:hAnsi="FangSong_GB2312" w:eastAsia="FangSong_GB2312" w:cs="FangSong_GB2312"/>
          <w:spacing w:val="-5"/>
          <w:sz w:val="24"/>
          <w:szCs w:val="24"/>
        </w:rPr>
        <w:t>、盖板排水沟</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5"/>
          <w:sz w:val="24"/>
          <w:szCs w:val="24"/>
        </w:rPr>
        <w:t>80</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pacing w:val="-6"/>
          <w:sz w:val="24"/>
          <w:szCs w:val="24"/>
        </w:rPr>
        <w:t>、雨水井</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6"/>
          <w:sz w:val="24"/>
          <w:szCs w:val="24"/>
        </w:rPr>
        <w:t xml:space="preserve">6 </w:t>
      </w:r>
      <w:r>
        <w:rPr>
          <w:rFonts w:ascii="FangSong_GB2312" w:hAnsi="FangSong_GB2312" w:eastAsia="FangSong_GB2312" w:cs="FangSong_GB2312"/>
          <w:spacing w:val="-6"/>
          <w:sz w:val="24"/>
          <w:szCs w:val="24"/>
        </w:rPr>
        <w:t>座。</w:t>
      </w:r>
    </w:p>
    <w:p w14:paraId="729FC903">
      <w:pPr>
        <w:spacing w:before="187" w:line="216" w:lineRule="auto"/>
        <w:ind w:left="484"/>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植物措施（</w:t>
      </w:r>
      <w:r>
        <w:rPr>
          <w:rFonts w:ascii="FangSong_GB2312" w:hAnsi="FangSong_GB2312" w:eastAsia="FangSong_GB2312" w:cs="FangSong_GB2312"/>
          <w:spacing w:val="-69"/>
          <w:sz w:val="24"/>
          <w:szCs w:val="24"/>
        </w:rPr>
        <w:t xml:space="preserve"> </w:t>
      </w:r>
      <w:r>
        <w:rPr>
          <w:rFonts w:ascii="FangSong_GB2312" w:hAnsi="FangSong_GB2312" w:eastAsia="FangSong_GB2312" w:cs="FangSong_GB2312"/>
          <w:spacing w:val="-4"/>
          <w:sz w:val="24"/>
          <w:szCs w:val="24"/>
        </w:rPr>
        <w:t>已实施</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4"/>
          <w:sz w:val="24"/>
          <w:szCs w:val="24"/>
        </w:rPr>
        <w:t>栽植灌木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4"/>
          <w:sz w:val="24"/>
          <w:szCs w:val="24"/>
        </w:rPr>
        <w:t xml:space="preserve">12 </w:t>
      </w:r>
      <w:r>
        <w:rPr>
          <w:rFonts w:ascii="FangSong_GB2312" w:hAnsi="FangSong_GB2312" w:eastAsia="FangSong_GB2312" w:cs="FangSong_GB2312"/>
          <w:spacing w:val="-4"/>
          <w:sz w:val="24"/>
          <w:szCs w:val="24"/>
        </w:rPr>
        <w:t>株、撒播草籽</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0.01hm</w:t>
      </w:r>
      <w:r>
        <w:rPr>
          <w:rFonts w:ascii="Times New Roman" w:hAnsi="Times New Roman" w:eastAsia="Times New Roman" w:cs="Times New Roman"/>
          <w:spacing w:val="-4"/>
          <w:position w:val="8"/>
          <w:sz w:val="15"/>
          <w:szCs w:val="15"/>
        </w:rPr>
        <w:t>2</w:t>
      </w:r>
      <w:r>
        <w:rPr>
          <w:rFonts w:ascii="FangSong_GB2312" w:hAnsi="FangSong_GB2312" w:eastAsia="FangSong_GB2312" w:cs="FangSong_GB2312"/>
          <w:spacing w:val="-4"/>
          <w:sz w:val="24"/>
          <w:szCs w:val="24"/>
        </w:rPr>
        <w:t>。</w:t>
      </w:r>
    </w:p>
    <w:p w14:paraId="366AC1D3">
      <w:pPr>
        <w:pStyle w:val="2"/>
        <w:spacing w:line="359" w:lineRule="auto"/>
      </w:pPr>
    </w:p>
    <w:p w14:paraId="01726E57">
      <w:pPr>
        <w:spacing w:before="98" w:line="214" w:lineRule="auto"/>
        <w:ind w:left="20"/>
        <w:outlineLvl w:val="1"/>
        <w:rPr>
          <w:rFonts w:ascii="FangSong_GB2312" w:hAnsi="FangSong_GB2312" w:eastAsia="FangSong_GB2312" w:cs="FangSong_GB2312"/>
          <w:sz w:val="30"/>
          <w:szCs w:val="30"/>
        </w:rPr>
      </w:pPr>
      <w:bookmarkStart w:id="30" w:name="bookmark20"/>
      <w:bookmarkEnd w:id="30"/>
      <w:bookmarkStart w:id="31" w:name="bookmark21"/>
      <w:bookmarkEnd w:id="31"/>
      <w:r>
        <w:rPr>
          <w:rFonts w:ascii="Times New Roman" w:hAnsi="Times New Roman" w:eastAsia="Times New Roman" w:cs="Times New Roman"/>
          <w:b/>
          <w:bCs/>
          <w:spacing w:val="-3"/>
          <w:sz w:val="30"/>
          <w:szCs w:val="30"/>
        </w:rPr>
        <w:t xml:space="preserve">1.9  </w:t>
      </w:r>
      <w:r>
        <w:rPr>
          <w:rFonts w:ascii="FangSong_GB2312" w:hAnsi="FangSong_GB2312" w:eastAsia="FangSong_GB2312" w:cs="FangSong_GB2312"/>
          <w:b/>
          <w:bCs/>
          <w:spacing w:val="-3"/>
          <w:sz w:val="30"/>
          <w:szCs w:val="30"/>
        </w:rPr>
        <w:t>水土保持监测方案</w:t>
      </w:r>
    </w:p>
    <w:p w14:paraId="61F4301A">
      <w:pPr>
        <w:pStyle w:val="2"/>
        <w:spacing w:line="355" w:lineRule="auto"/>
      </w:pPr>
    </w:p>
    <w:p w14:paraId="24FAA958">
      <w:pPr>
        <w:spacing w:before="79" w:line="356" w:lineRule="auto"/>
        <w:ind w:left="6" w:right="70"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根据《水利部关于进一步深化</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放管服</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改革全面加强水土保持监</w:t>
      </w:r>
      <w:r>
        <w:rPr>
          <w:rFonts w:ascii="FangSong_GB2312" w:hAnsi="FangSong_GB2312" w:eastAsia="FangSong_GB2312" w:cs="FangSong_GB2312"/>
          <w:spacing w:val="-1"/>
          <w:sz w:val="24"/>
          <w:szCs w:val="24"/>
        </w:rPr>
        <w:t>督的意见》（水</w:t>
      </w:r>
      <w:r>
        <w:rPr>
          <w:rFonts w:ascii="FangSong_GB2312" w:hAnsi="FangSong_GB2312" w:eastAsia="FangSong_GB2312" w:cs="FangSong_GB2312"/>
          <w:spacing w:val="-3"/>
          <w:sz w:val="24"/>
          <w:szCs w:val="24"/>
        </w:rPr>
        <w:t>保</w:t>
      </w:r>
      <w:r>
        <w:rPr>
          <w:rFonts w:hint="eastAsia"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t>2019</w:t>
      </w:r>
      <w:r>
        <w:rPr>
          <w:rFonts w:hint="eastAsia"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t>160</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pacing w:val="-3"/>
          <w:sz w:val="24"/>
          <w:szCs w:val="24"/>
        </w:rPr>
        <w:t>号）、《水利部办公厅关于进一步加强生产建设项目水土保持监测工</w:t>
      </w:r>
      <w:r>
        <w:rPr>
          <w:rFonts w:ascii="FangSong_GB2312" w:hAnsi="FangSong_GB2312" w:eastAsia="FangSong_GB2312" w:cs="FangSong_GB2312"/>
          <w:spacing w:val="-4"/>
          <w:sz w:val="24"/>
          <w:szCs w:val="24"/>
        </w:rPr>
        <w:t>作的</w:t>
      </w:r>
      <w:r>
        <w:rPr>
          <w:rFonts w:ascii="FangSong_GB2312" w:hAnsi="FangSong_GB2312" w:eastAsia="FangSong_GB2312" w:cs="FangSong_GB2312"/>
          <w:spacing w:val="-3"/>
          <w:sz w:val="24"/>
          <w:szCs w:val="24"/>
        </w:rPr>
        <w:t>通知》（办水保</w:t>
      </w:r>
      <w:r>
        <w:rPr>
          <w:rFonts w:hint="eastAsia"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t>2020</w:t>
      </w:r>
      <w:r>
        <w:rPr>
          <w:rFonts w:hint="eastAsia" w:ascii="Times New Roman" w:hAnsi="Times New Roman" w:eastAsia="Times New Roman" w:cs="Times New Roman"/>
          <w:spacing w:val="-3"/>
          <w:sz w:val="24"/>
          <w:szCs w:val="24"/>
        </w:rPr>
        <w:t>〕</w:t>
      </w:r>
      <w:r>
        <w:rPr>
          <w:rFonts w:ascii="Times New Roman" w:hAnsi="Times New Roman" w:eastAsia="Times New Roman" w:cs="Times New Roman"/>
          <w:spacing w:val="-3"/>
          <w:sz w:val="24"/>
          <w:szCs w:val="24"/>
        </w:rPr>
        <w:t>161</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pacing w:val="-3"/>
          <w:sz w:val="24"/>
          <w:szCs w:val="24"/>
        </w:rPr>
        <w:t>号）等文件要求，项目编制水土保持方案为报告表，可</w:t>
      </w:r>
      <w:r>
        <w:rPr>
          <w:rFonts w:ascii="FangSong_GB2312" w:hAnsi="FangSong_GB2312" w:eastAsia="FangSong_GB2312" w:cs="FangSong_GB2312"/>
          <w:spacing w:val="-4"/>
          <w:sz w:val="24"/>
          <w:szCs w:val="24"/>
        </w:rPr>
        <w:t>不开</w:t>
      </w:r>
      <w:r>
        <w:rPr>
          <w:rFonts w:ascii="FangSong_GB2312" w:hAnsi="FangSong_GB2312" w:eastAsia="FangSong_GB2312" w:cs="FangSong_GB2312"/>
          <w:sz w:val="24"/>
          <w:szCs w:val="24"/>
        </w:rPr>
        <w:t>展水土保持专项监测，但建设单位应当依法履行水土流失</w:t>
      </w:r>
      <w:r>
        <w:rPr>
          <w:rFonts w:ascii="FangSong_GB2312" w:hAnsi="FangSong_GB2312" w:eastAsia="FangSong_GB2312" w:cs="FangSong_GB2312"/>
          <w:spacing w:val="-1"/>
          <w:sz w:val="24"/>
          <w:szCs w:val="24"/>
        </w:rPr>
        <w:t>防治责任和义务。</w:t>
      </w:r>
    </w:p>
    <w:p w14:paraId="44772F22">
      <w:pPr>
        <w:spacing w:before="284" w:line="214" w:lineRule="auto"/>
        <w:ind w:left="20"/>
        <w:outlineLvl w:val="1"/>
        <w:rPr>
          <w:rFonts w:ascii="FangSong_GB2312" w:hAnsi="FangSong_GB2312" w:eastAsia="FangSong_GB2312" w:cs="FangSong_GB2312"/>
          <w:sz w:val="30"/>
          <w:szCs w:val="30"/>
        </w:rPr>
      </w:pPr>
      <w:bookmarkStart w:id="32" w:name="bookmark23"/>
      <w:bookmarkEnd w:id="32"/>
      <w:bookmarkStart w:id="33" w:name="bookmark22"/>
      <w:bookmarkEnd w:id="33"/>
      <w:r>
        <w:rPr>
          <w:rFonts w:ascii="Times New Roman" w:hAnsi="Times New Roman" w:eastAsia="Times New Roman" w:cs="Times New Roman"/>
          <w:b/>
          <w:bCs/>
          <w:spacing w:val="-3"/>
          <w:sz w:val="30"/>
          <w:szCs w:val="30"/>
        </w:rPr>
        <w:t xml:space="preserve">1.10  </w:t>
      </w:r>
      <w:r>
        <w:rPr>
          <w:rFonts w:ascii="FangSong_GB2312" w:hAnsi="FangSong_GB2312" w:eastAsia="FangSong_GB2312" w:cs="FangSong_GB2312"/>
          <w:b/>
          <w:bCs/>
          <w:spacing w:val="-3"/>
          <w:sz w:val="30"/>
          <w:szCs w:val="30"/>
        </w:rPr>
        <w:t>水土保持投资及效益分析成果</w:t>
      </w:r>
    </w:p>
    <w:p w14:paraId="5B7651AB">
      <w:pPr>
        <w:pStyle w:val="2"/>
        <w:spacing w:line="355" w:lineRule="auto"/>
      </w:pPr>
    </w:p>
    <w:p w14:paraId="6861A9C3">
      <w:pPr>
        <w:spacing w:before="79" w:line="359" w:lineRule="auto"/>
        <w:ind w:left="8" w:firstLine="480"/>
        <w:rPr>
          <w:rFonts w:ascii="FangSong_GB2312" w:hAnsi="FangSong_GB2312" w:eastAsia="FangSong_GB2312" w:cs="FangSong_GB2312"/>
          <w:sz w:val="20"/>
          <w:szCs w:val="20"/>
        </w:rPr>
      </w:pPr>
      <w:r>
        <w:rPr>
          <w:rFonts w:ascii="FangSong_GB2312" w:hAnsi="FangSong_GB2312" w:eastAsia="FangSong_GB2312" w:cs="FangSong_GB2312"/>
          <w:spacing w:val="-2"/>
          <w:sz w:val="24"/>
          <w:szCs w:val="24"/>
        </w:rPr>
        <w:t>本项目水土保持概算总投资为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6.29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万元，其中工程措施费为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3.54</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万元，植物措</w:t>
      </w:r>
      <w:r>
        <w:rPr>
          <w:rFonts w:ascii="FangSong_GB2312" w:hAnsi="FangSong_GB2312" w:eastAsia="FangSong_GB2312" w:cs="FangSong_GB2312"/>
          <w:spacing w:val="-3"/>
          <w:sz w:val="24"/>
          <w:szCs w:val="24"/>
        </w:rPr>
        <w:t>施费为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0.05</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万元，监测措施费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万元，施工临时工程费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0.07</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万元，独立费用</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4"/>
          <w:sz w:val="24"/>
          <w:szCs w:val="24"/>
        </w:rPr>
        <w:t>2.57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2"/>
          <w:sz w:val="24"/>
          <w:szCs w:val="24"/>
        </w:rPr>
        <w:t>元，预备费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万元，水土保持补偿费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0.06</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w:t>
      </w:r>
      <w:r>
        <w:rPr>
          <w:rFonts w:ascii="Times New Roman" w:hAnsi="Times New Roman" w:eastAsia="Times New Roman" w:cs="Times New Roman"/>
          <w:spacing w:val="-2"/>
          <w:sz w:val="24"/>
          <w:szCs w:val="24"/>
        </w:rPr>
        <w:t>641.199</w:t>
      </w:r>
      <w:r>
        <w:rPr>
          <w:rFonts w:ascii="Times New Roman" w:hAnsi="Times New Roman" w:eastAsia="Times New Roman" w:cs="Times New Roman"/>
          <w:spacing w:val="17"/>
          <w:w w:val="101"/>
          <w:sz w:val="24"/>
          <w:szCs w:val="24"/>
        </w:rPr>
        <w:t xml:space="preserve"> </w:t>
      </w:r>
      <w:r>
        <w:rPr>
          <w:rFonts w:ascii="FangSong_GB2312" w:hAnsi="FangSong_GB2312" w:eastAsia="FangSong_GB2312" w:cs="FangSong_GB2312"/>
          <w:spacing w:val="-2"/>
          <w:sz w:val="24"/>
          <w:szCs w:val="24"/>
        </w:rPr>
        <w:t>元）。独立费</w:t>
      </w:r>
      <w:r>
        <w:rPr>
          <w:rFonts w:ascii="FangSong_GB2312" w:hAnsi="FangSong_GB2312" w:eastAsia="FangSong_GB2312" w:cs="FangSong_GB2312"/>
          <w:spacing w:val="-3"/>
          <w:sz w:val="24"/>
          <w:szCs w:val="24"/>
        </w:rPr>
        <w:t>用中建设管理</w:t>
      </w:r>
      <w:r>
        <w:rPr>
          <w:rFonts w:ascii="FangSong_GB2312" w:hAnsi="FangSong_GB2312" w:eastAsia="FangSong_GB2312" w:cs="FangSong_GB2312"/>
          <w:spacing w:val="-11"/>
          <w:sz w:val="24"/>
          <w:szCs w:val="24"/>
        </w:rPr>
        <w:t>费</w:t>
      </w:r>
      <w:r>
        <w:rPr>
          <w:rFonts w:ascii="FangSong_GB2312" w:hAnsi="FangSong_GB2312" w:eastAsia="FangSong_GB2312" w:cs="FangSong_GB2312"/>
          <w:spacing w:val="-53"/>
          <w:sz w:val="24"/>
          <w:szCs w:val="24"/>
        </w:rPr>
        <w:t xml:space="preserve"> </w:t>
      </w:r>
      <w:r>
        <w:rPr>
          <w:rFonts w:ascii="Times New Roman" w:hAnsi="Times New Roman" w:eastAsia="Times New Roman" w:cs="Times New Roman"/>
          <w:spacing w:val="-11"/>
          <w:sz w:val="24"/>
          <w:szCs w:val="24"/>
        </w:rPr>
        <w:t>0.07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11"/>
          <w:sz w:val="24"/>
          <w:szCs w:val="24"/>
        </w:rPr>
        <w:t>万元（其中项目经常费</w:t>
      </w:r>
      <w:r>
        <w:rPr>
          <w:rFonts w:ascii="Times New Roman" w:hAnsi="Times New Roman" w:eastAsia="Times New Roman" w:cs="Times New Roman"/>
          <w:spacing w:val="-11"/>
          <w:sz w:val="24"/>
          <w:szCs w:val="24"/>
        </w:rPr>
        <w:t>/</w:t>
      </w:r>
      <w:r>
        <w:rPr>
          <w:rFonts w:ascii="FangSong_GB2312" w:hAnsi="FangSong_GB2312" w:eastAsia="FangSong_GB2312" w:cs="FangSong_GB2312"/>
          <w:spacing w:val="-11"/>
          <w:sz w:val="24"/>
          <w:szCs w:val="24"/>
        </w:rPr>
        <w:t>水土保持设施验收费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12"/>
          <w:sz w:val="24"/>
          <w:szCs w:val="24"/>
        </w:rPr>
        <w:t>0.05</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12"/>
          <w:sz w:val="24"/>
          <w:szCs w:val="24"/>
        </w:rPr>
        <w:t>万元、技术咨询费</w:t>
      </w:r>
      <w:r>
        <w:rPr>
          <w:rFonts w:ascii="FangSong_GB2312" w:hAnsi="FangSong_GB2312" w:eastAsia="FangSong_GB2312" w:cs="FangSong_GB2312"/>
          <w:spacing w:val="-54"/>
          <w:sz w:val="24"/>
          <w:szCs w:val="24"/>
        </w:rPr>
        <w:t xml:space="preserve"> </w:t>
      </w:r>
      <w:r>
        <w:rPr>
          <w:rFonts w:ascii="Times New Roman" w:hAnsi="Times New Roman" w:eastAsia="Times New Roman" w:cs="Times New Roman"/>
          <w:spacing w:val="-12"/>
          <w:sz w:val="24"/>
          <w:szCs w:val="24"/>
        </w:rPr>
        <w:t>0.02</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12"/>
          <w:sz w:val="24"/>
          <w:szCs w:val="24"/>
        </w:rPr>
        <w:t>万元）、</w:t>
      </w:r>
      <w:r>
        <w:rPr>
          <w:rFonts w:ascii="FangSong_GB2312" w:hAnsi="FangSong_GB2312" w:eastAsia="FangSong_GB2312" w:cs="FangSong_GB2312"/>
          <w:spacing w:val="-2"/>
          <w:sz w:val="24"/>
          <w:szCs w:val="24"/>
        </w:rPr>
        <w:t>科研勘测设计费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2.50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万元（含水土保持方案编制费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0.80</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万元）、水土保持监理费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z w:val="24"/>
          <w:szCs w:val="24"/>
        </w:rPr>
        <w:t xml:space="preserve"> </w:t>
      </w:r>
      <w:r>
        <w:rPr>
          <w:rFonts w:ascii="FangSong_GB2312" w:hAnsi="FangSong_GB2312" w:eastAsia="FangSong_GB2312" w:cs="FangSong_GB2312"/>
          <w:spacing w:val="-3"/>
          <w:sz w:val="24"/>
          <w:szCs w:val="24"/>
        </w:rPr>
        <w:t>万元</w:t>
      </w:r>
      <w:r>
        <w:rPr>
          <w:rFonts w:ascii="FangSong_GB2312" w:hAnsi="FangSong_GB2312" w:eastAsia="FangSong_GB2312" w:cs="FangSong_GB2312"/>
          <w:spacing w:val="-3"/>
          <w:sz w:val="20"/>
          <w:szCs w:val="20"/>
        </w:rPr>
        <w:t>。</w:t>
      </w:r>
    </w:p>
    <w:p w14:paraId="11CDBD07">
      <w:pPr>
        <w:spacing w:before="3" w:line="370" w:lineRule="auto"/>
        <w:ind w:left="5384" w:right="70" w:hanging="4889"/>
        <w:rPr>
          <w:rFonts w:ascii="FangSong_GB2312" w:hAnsi="FangSong_GB2312" w:eastAsia="FangSong_GB2312" w:cs="FangSong_GB2312"/>
          <w:sz w:val="20"/>
          <w:szCs w:val="20"/>
        </w:rPr>
      </w:pPr>
      <w:r>
        <w:pict>
          <v:shape id="_x0000_s1038" o:spid="_x0000_s1038" o:spt="202" type="#_x0000_t202" style="position:absolute;left:0pt;margin-left:217.5pt;margin-top:23.15pt;height:10.15pt;width:10.05pt;z-index:251694080;mso-width-relative:page;mso-height-relative:page;" filled="f" stroked="f" coordsize="21600,21600">
            <v:path/>
            <v:fill on="f" focussize="0,0"/>
            <v:stroke on="f"/>
            <v:imagedata o:title=""/>
            <o:lock v:ext="edit" aspectratio="f"/>
            <v:textbox inset="0mm,0mm,0mm,0mm">
              <w:txbxContent>
                <w:p w14:paraId="59C2985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xbxContent>
            </v:textbox>
          </v:shape>
        </w:pict>
      </w:r>
      <w:r>
        <w:rPr>
          <w:rFonts w:ascii="FangSong_GB2312" w:hAnsi="FangSong_GB2312" w:eastAsia="FangSong_GB2312" w:cs="FangSong_GB2312"/>
          <w:spacing w:val="1"/>
          <w:sz w:val="24"/>
          <w:szCs w:val="24"/>
        </w:rPr>
        <w:t>通过实施本方案各项水土保持措施后，治理水土流失面积</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
          <w:sz w:val="24"/>
          <w:szCs w:val="24"/>
        </w:rPr>
        <w:t>0.05</w:t>
      </w:r>
      <w:r>
        <w:rPr>
          <w:rFonts w:ascii="Times New Roman" w:hAnsi="Times New Roman" w:eastAsia="Times New Roman" w:cs="Times New Roman"/>
          <w:sz w:val="24"/>
          <w:szCs w:val="24"/>
        </w:rPr>
        <w:t>hm</w:t>
      </w:r>
      <w:r>
        <w:rPr>
          <w:rFonts w:ascii="Times New Roman" w:hAnsi="Times New Roman" w:eastAsia="Times New Roman" w:cs="Times New Roman"/>
          <w:spacing w:val="1"/>
          <w:position w:val="8"/>
          <w:sz w:val="15"/>
          <w:szCs w:val="15"/>
        </w:rPr>
        <w:t xml:space="preserve">2 </w:t>
      </w:r>
      <w:r>
        <w:rPr>
          <w:rFonts w:ascii="FangSong_GB2312" w:hAnsi="FangSong_GB2312" w:eastAsia="FangSong_GB2312" w:cs="FangSong_GB2312"/>
          <w:sz w:val="24"/>
          <w:szCs w:val="24"/>
        </w:rPr>
        <w:t>，实现林草植</w:t>
      </w:r>
      <w:r>
        <w:rPr>
          <w:rFonts w:ascii="FangSong_GB2312" w:hAnsi="FangSong_GB2312" w:eastAsia="FangSong_GB2312" w:cs="FangSong_GB2312"/>
          <w:spacing w:val="8"/>
          <w:sz w:val="20"/>
          <w:szCs w:val="20"/>
        </w:rPr>
        <w:t>剑阁县绿森林业勘察设计有限公司</w:t>
      </w:r>
    </w:p>
    <w:p w14:paraId="62F4AD63">
      <w:pPr>
        <w:spacing w:line="370" w:lineRule="auto"/>
        <w:rPr>
          <w:rFonts w:ascii="FangSong_GB2312" w:hAnsi="FangSong_GB2312" w:eastAsia="FangSong_GB2312" w:cs="FangSong_GB2312"/>
          <w:sz w:val="20"/>
          <w:szCs w:val="20"/>
        </w:rPr>
        <w:sectPr>
          <w:headerReference r:id="rId31" w:type="default"/>
          <w:pgSz w:w="11906" w:h="16839"/>
          <w:pgMar w:top="1164" w:right="1443" w:bottom="400" w:left="1513" w:header="831" w:footer="0" w:gutter="0"/>
          <w:cols w:space="720" w:num="1"/>
        </w:sectPr>
      </w:pPr>
    </w:p>
    <w:p w14:paraId="3EA00B95">
      <w:pPr>
        <w:spacing w:before="196" w:line="359" w:lineRule="auto"/>
        <w:ind w:left="15" w:right="60" w:hanging="10"/>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被建设面积</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0.01hm</w:t>
      </w:r>
      <w:r>
        <w:rPr>
          <w:rFonts w:ascii="Times New Roman" w:hAnsi="Times New Roman" w:eastAsia="Times New Roman" w:cs="Times New Roman"/>
          <w:spacing w:val="-1"/>
          <w:position w:val="7"/>
          <w:sz w:val="15"/>
          <w:szCs w:val="15"/>
        </w:rPr>
        <w:t xml:space="preserve">2 </w:t>
      </w:r>
      <w:r>
        <w:rPr>
          <w:rFonts w:ascii="FangSong_GB2312" w:hAnsi="FangSong_GB2312" w:eastAsia="FangSong_GB2312" w:cs="FangSong_GB2312"/>
          <w:spacing w:val="-1"/>
          <w:sz w:val="24"/>
          <w:szCs w:val="24"/>
        </w:rPr>
        <w:t>，减少土壤流失量</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0.46t</w:t>
      </w:r>
      <w:r>
        <w:rPr>
          <w:rFonts w:ascii="FangSong_GB2312" w:hAnsi="FangSong_GB2312" w:eastAsia="FangSong_GB2312" w:cs="FangSong_GB2312"/>
          <w:spacing w:val="-1"/>
          <w:sz w:val="24"/>
          <w:szCs w:val="24"/>
        </w:rPr>
        <w:t>。</w:t>
      </w:r>
      <w:r>
        <w:rPr>
          <w:rFonts w:ascii="FangSong_GB2312" w:hAnsi="FangSong_GB2312" w:eastAsia="FangSong_GB2312" w:cs="FangSong_GB2312"/>
          <w:spacing w:val="-2"/>
          <w:sz w:val="24"/>
          <w:szCs w:val="24"/>
        </w:rPr>
        <w:t>至设计水平年，水土流失总治理度达到</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3"/>
          <w:sz w:val="24"/>
          <w:szCs w:val="24"/>
        </w:rPr>
        <w:t>、土壤流失控制比为</w:t>
      </w:r>
      <w:r>
        <w:rPr>
          <w:rFonts w:ascii="FangSong_GB2312" w:hAnsi="FangSong_GB2312" w:eastAsia="FangSong_GB2312" w:cs="FangSong_GB2312"/>
          <w:spacing w:val="-27"/>
          <w:sz w:val="24"/>
          <w:szCs w:val="24"/>
        </w:rPr>
        <w:t xml:space="preserve"> </w:t>
      </w:r>
      <w:r>
        <w:rPr>
          <w:rFonts w:ascii="Times New Roman" w:hAnsi="Times New Roman" w:eastAsia="Times New Roman" w:cs="Times New Roman"/>
          <w:spacing w:val="-3"/>
          <w:sz w:val="24"/>
          <w:szCs w:val="24"/>
        </w:rPr>
        <w:t>1.25</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3"/>
          <w:sz w:val="24"/>
          <w:szCs w:val="24"/>
        </w:rPr>
        <w:t>、渣土防护率达到</w:t>
      </w:r>
      <w:r>
        <w:rPr>
          <w:rFonts w:ascii="FangSong_GB2312" w:hAnsi="FangSong_GB2312" w:eastAsia="FangSong_GB2312" w:cs="FangSong_GB2312"/>
          <w:spacing w:val="-27"/>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、表土保护率达到</w:t>
      </w:r>
      <w:r>
        <w:rPr>
          <w:rFonts w:ascii="FangSong_GB2312" w:hAnsi="FangSong_GB2312" w:eastAsia="FangSong_GB2312" w:cs="FangSong_GB2312"/>
          <w:spacing w:val="-27"/>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、林</w:t>
      </w:r>
      <w:r>
        <w:rPr>
          <w:rFonts w:ascii="FangSong_GB2312" w:hAnsi="FangSong_GB2312" w:eastAsia="FangSong_GB2312" w:cs="FangSong_GB2312"/>
          <w:spacing w:val="-1"/>
          <w:sz w:val="24"/>
          <w:szCs w:val="24"/>
        </w:rPr>
        <w:t>草植被恢复率达到</w:t>
      </w:r>
      <w:r>
        <w:rPr>
          <w:rFonts w:ascii="FangSong_GB2312" w:hAnsi="FangSong_GB2312" w:eastAsia="FangSong_GB2312" w:cs="FangSong_GB2312"/>
          <w:spacing w:val="-28"/>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
          <w:sz w:val="24"/>
          <w:szCs w:val="24"/>
        </w:rPr>
        <w:t>、林草覆盖率为</w:t>
      </w:r>
      <w:r>
        <w:rPr>
          <w:rFonts w:ascii="FangSong_GB2312" w:hAnsi="FangSong_GB2312" w:eastAsia="FangSong_GB2312" w:cs="FangSong_GB2312"/>
          <w:spacing w:val="-53"/>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1"/>
          <w:sz w:val="24"/>
          <w:szCs w:val="24"/>
        </w:rPr>
        <w:t>。以上水土流失治理度、土壤流失控制比、渣土防护率、表土保护率、林草植被恢复率均能够达到西南紫色土区水土流失防治指标一级标准。另外项目占地尽可能用于建构筑物建设，属于林草植被建设有限制</w:t>
      </w:r>
      <w:r>
        <w:rPr>
          <w:rFonts w:ascii="FangSong_GB2312" w:hAnsi="FangSong_GB2312" w:eastAsia="FangSong_GB2312" w:cs="FangSong_GB2312"/>
          <w:spacing w:val="-2"/>
          <w:sz w:val="24"/>
          <w:szCs w:val="24"/>
        </w:rPr>
        <w:t>的项目，林草覆盖率指标取</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，项目建设</w:t>
      </w:r>
      <w:r>
        <w:rPr>
          <w:rFonts w:ascii="FangSong_GB2312" w:hAnsi="FangSong_GB2312" w:eastAsia="FangSong_GB2312" w:cs="FangSong_GB2312"/>
          <w:spacing w:val="-3"/>
          <w:sz w:val="24"/>
          <w:szCs w:val="24"/>
        </w:rPr>
        <w:t>合理可行。</w:t>
      </w:r>
    </w:p>
    <w:p w14:paraId="37BFA9E7">
      <w:pPr>
        <w:spacing w:before="271" w:line="214" w:lineRule="auto"/>
        <w:ind w:left="20"/>
        <w:outlineLvl w:val="1"/>
        <w:rPr>
          <w:rFonts w:ascii="FangSong_GB2312" w:hAnsi="FangSong_GB2312" w:eastAsia="FangSong_GB2312" w:cs="FangSong_GB2312"/>
          <w:sz w:val="30"/>
          <w:szCs w:val="30"/>
        </w:rPr>
      </w:pPr>
      <w:bookmarkStart w:id="34" w:name="bookmark25"/>
      <w:bookmarkEnd w:id="34"/>
      <w:bookmarkStart w:id="35" w:name="bookmark24"/>
      <w:bookmarkEnd w:id="35"/>
      <w:r>
        <w:rPr>
          <w:rFonts w:ascii="Times New Roman" w:hAnsi="Times New Roman" w:eastAsia="Times New Roman" w:cs="Times New Roman"/>
          <w:b/>
          <w:bCs/>
          <w:spacing w:val="-10"/>
          <w:sz w:val="30"/>
          <w:szCs w:val="30"/>
        </w:rPr>
        <w:t>1.11</w:t>
      </w:r>
      <w:r>
        <w:rPr>
          <w:rFonts w:ascii="Times New Roman" w:hAnsi="Times New Roman" w:eastAsia="Times New Roman" w:cs="Times New Roman"/>
          <w:b/>
          <w:bCs/>
          <w:spacing w:val="8"/>
          <w:sz w:val="30"/>
          <w:szCs w:val="30"/>
        </w:rPr>
        <w:t xml:space="preserve">  </w:t>
      </w:r>
      <w:r>
        <w:rPr>
          <w:rFonts w:ascii="FangSong_GB2312" w:hAnsi="FangSong_GB2312" w:eastAsia="FangSong_GB2312" w:cs="FangSong_GB2312"/>
          <w:b/>
          <w:bCs/>
          <w:spacing w:val="-10"/>
          <w:sz w:val="30"/>
          <w:szCs w:val="30"/>
        </w:rPr>
        <w:t>结论</w:t>
      </w:r>
    </w:p>
    <w:p w14:paraId="07C6B479">
      <w:pPr>
        <w:pStyle w:val="2"/>
        <w:spacing w:line="357" w:lineRule="auto"/>
      </w:pPr>
    </w:p>
    <w:p w14:paraId="6C7507C8">
      <w:pPr>
        <w:spacing w:before="78"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5"/>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5"/>
          <w:sz w:val="24"/>
          <w:szCs w:val="24"/>
        </w:rPr>
        <w:t>、结论</w:t>
      </w:r>
    </w:p>
    <w:p w14:paraId="60F4F366">
      <w:pPr>
        <w:spacing w:before="186" w:line="311" w:lineRule="auto"/>
        <w:ind w:left="9" w:firstLine="475"/>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）本项目在建设过程中不可避免地扰动原地貌、损坏土地和植被，产生水土</w:t>
      </w:r>
      <w:r>
        <w:rPr>
          <w:rFonts w:ascii="FangSong_GB2312" w:hAnsi="FangSong_GB2312" w:eastAsia="FangSong_GB2312" w:cs="FangSong_GB2312"/>
          <w:spacing w:val="-5"/>
          <w:sz w:val="24"/>
          <w:szCs w:val="24"/>
        </w:rPr>
        <w:t>流失。水土流失主要发生在施工期，在建设过程中全面落实提出的各项水土保持</w:t>
      </w:r>
      <w:r>
        <w:rPr>
          <w:rFonts w:ascii="FangSong_GB2312" w:hAnsi="FangSong_GB2312" w:eastAsia="FangSong_GB2312" w:cs="FangSong_GB2312"/>
          <w:spacing w:val="-6"/>
          <w:sz w:val="24"/>
          <w:szCs w:val="24"/>
        </w:rPr>
        <w:t>措施，</w:t>
      </w:r>
      <w:r>
        <w:rPr>
          <w:rFonts w:ascii="FangSong_GB2312" w:hAnsi="FangSong_GB2312" w:eastAsia="FangSong_GB2312" w:cs="FangSong_GB2312"/>
          <w:spacing w:val="-1"/>
          <w:sz w:val="24"/>
          <w:szCs w:val="24"/>
        </w:rPr>
        <w:t>加强施工管理，建设过程中的水土流失已降到容许范围。</w:t>
      </w:r>
    </w:p>
    <w:p w14:paraId="6C3FD30C">
      <w:pPr>
        <w:spacing w:before="193" w:line="322" w:lineRule="auto"/>
        <w:ind w:left="12" w:right="60" w:firstLine="47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w:t>
      </w:r>
      <w:r>
        <w:rPr>
          <w:rFonts w:ascii="FangSong_GB2312" w:hAnsi="FangSong_GB2312" w:eastAsia="FangSong_GB2312" w:cs="FangSong_GB2312"/>
          <w:spacing w:val="3"/>
          <w:sz w:val="24"/>
          <w:szCs w:val="24"/>
        </w:rPr>
        <w:t>）本项目建设符合国家产业政策的要求；项目选址、建设方案、水土流失防</w:t>
      </w:r>
      <w:r>
        <w:rPr>
          <w:rFonts w:ascii="FangSong_GB2312" w:hAnsi="FangSong_GB2312" w:eastAsia="FangSong_GB2312" w:cs="FangSong_GB2312"/>
          <w:sz w:val="24"/>
          <w:szCs w:val="24"/>
        </w:rPr>
        <w:t>治等方面符合水土保持法律法规、技术标准的规</w:t>
      </w:r>
      <w:r>
        <w:rPr>
          <w:rFonts w:ascii="FangSong_GB2312" w:hAnsi="FangSong_GB2312" w:eastAsia="FangSong_GB2312" w:cs="FangSong_GB2312"/>
          <w:spacing w:val="-1"/>
          <w:sz w:val="24"/>
          <w:szCs w:val="24"/>
        </w:rPr>
        <w:t>定，实施水土保持措施后，能够达到</w:t>
      </w:r>
      <w:r>
        <w:rPr>
          <w:rFonts w:ascii="FangSong_GB2312" w:hAnsi="FangSong_GB2312" w:eastAsia="FangSong_GB2312" w:cs="FangSong_GB2312"/>
          <w:sz w:val="24"/>
          <w:szCs w:val="24"/>
        </w:rPr>
        <w:t>控制水土流失、保护生态环境的目的，实现生态</w:t>
      </w:r>
      <w:r>
        <w:rPr>
          <w:rFonts w:ascii="FangSong_GB2312" w:hAnsi="FangSong_GB2312" w:eastAsia="FangSong_GB2312" w:cs="FangSong_GB2312"/>
          <w:spacing w:val="-1"/>
          <w:sz w:val="24"/>
          <w:szCs w:val="24"/>
        </w:rPr>
        <w:t>效益、经济效益和社会效益的统一，</w:t>
      </w:r>
      <w:r>
        <w:rPr>
          <w:rFonts w:ascii="FangSong_GB2312" w:hAnsi="FangSong_GB2312" w:eastAsia="FangSong_GB2312" w:cs="FangSong_GB2312"/>
          <w:spacing w:val="-2"/>
          <w:sz w:val="24"/>
          <w:szCs w:val="24"/>
        </w:rPr>
        <w:t>项目建设可行。</w:t>
      </w:r>
    </w:p>
    <w:p w14:paraId="39342A66">
      <w:pPr>
        <w:spacing w:before="190" w:line="216"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9"/>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9"/>
          <w:sz w:val="24"/>
          <w:szCs w:val="24"/>
        </w:rPr>
        <w:t>、要求</w:t>
      </w:r>
    </w:p>
    <w:p w14:paraId="033C8B25">
      <w:pPr>
        <w:spacing w:before="184" w:line="287" w:lineRule="auto"/>
        <w:ind w:left="18" w:right="60" w:firstLine="46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）建设单位应充分重视水土保持工作，方案批复后，建设单位应按照要求尽</w:t>
      </w:r>
      <w:r>
        <w:rPr>
          <w:rFonts w:ascii="FangSong_GB2312" w:hAnsi="FangSong_GB2312" w:eastAsia="FangSong_GB2312" w:cs="FangSong_GB2312"/>
          <w:spacing w:val="-2"/>
          <w:sz w:val="24"/>
          <w:szCs w:val="24"/>
        </w:rPr>
        <w:t>快上报资料并归档。</w:t>
      </w:r>
    </w:p>
    <w:p w14:paraId="660E159E">
      <w:pPr>
        <w:spacing w:before="190" w:line="286" w:lineRule="auto"/>
        <w:ind w:left="15" w:right="63" w:firstLine="46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w:t>
      </w:r>
      <w:r>
        <w:rPr>
          <w:rFonts w:ascii="FangSong_GB2312" w:hAnsi="FangSong_GB2312" w:eastAsia="FangSong_GB2312" w:cs="FangSong_GB2312"/>
          <w:spacing w:val="3"/>
          <w:sz w:val="24"/>
          <w:szCs w:val="24"/>
        </w:rPr>
        <w:t>）项目未开展水土保持专项监测，但建设单位应依法履行水土流失防治责任</w:t>
      </w:r>
      <w:r>
        <w:rPr>
          <w:rFonts w:ascii="FangSong_GB2312" w:hAnsi="FangSong_GB2312" w:eastAsia="FangSong_GB2312" w:cs="FangSong_GB2312"/>
          <w:spacing w:val="-4"/>
          <w:sz w:val="24"/>
          <w:szCs w:val="24"/>
        </w:rPr>
        <w:t>和义务。</w:t>
      </w:r>
    </w:p>
    <w:p w14:paraId="411B2201">
      <w:pPr>
        <w:spacing w:before="193" w:line="330" w:lineRule="auto"/>
        <w:ind w:left="6" w:right="60" w:firstLine="47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）建设单位建设前期未依法编报水土保持方案，虽水土保持相关设施与主体</w:t>
      </w:r>
      <w:r>
        <w:rPr>
          <w:rFonts w:ascii="FangSong_GB2312" w:hAnsi="FangSong_GB2312" w:eastAsia="FangSong_GB2312" w:cs="FangSong_GB2312"/>
          <w:sz w:val="24"/>
          <w:szCs w:val="24"/>
        </w:rPr>
        <w:t>工程在实施环节同步推进，却未完全遵循《中华人民共和国水</w:t>
      </w:r>
      <w:r>
        <w:rPr>
          <w:rFonts w:ascii="FangSong_GB2312" w:hAnsi="FangSong_GB2312" w:eastAsia="FangSong_GB2312" w:cs="FangSong_GB2312"/>
          <w:spacing w:val="-1"/>
          <w:sz w:val="24"/>
          <w:szCs w:val="24"/>
        </w:rPr>
        <w:t>土保持法》第二十七条</w:t>
      </w:r>
      <w:r>
        <w:rPr>
          <w:rFonts w:ascii="FangSong_GB2312" w:hAnsi="FangSong_GB2312" w:eastAsia="FangSong_GB2312" w:cs="FangSong_GB2312"/>
          <w:sz w:val="24"/>
          <w:szCs w:val="24"/>
        </w:rPr>
        <w:t xml:space="preserve">及《四川省〈中华人民共和国水土保持法〉实施办法》规定的 </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水土保持设施与主体工程同时设计、同时施工、同时投产使用</w:t>
      </w:r>
      <w:r>
        <w:rPr>
          <w:rFonts w:ascii="Times New Roman" w:hAnsi="Times New Roman" w:eastAsia="Times New Roman" w:cs="Times New Roman"/>
          <w:sz w:val="24"/>
          <w:szCs w:val="24"/>
        </w:rPr>
        <w:t>”</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z w:val="24"/>
          <w:szCs w:val="24"/>
        </w:rPr>
        <w:t xml:space="preserve">的 </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三同时</w:t>
      </w:r>
      <w:r>
        <w:rPr>
          <w:rFonts w:ascii="Times New Roman" w:hAnsi="Times New Roman" w:eastAsia="Times New Roman" w:cs="Times New Roman"/>
          <w:sz w:val="24"/>
          <w:szCs w:val="24"/>
        </w:rPr>
        <w:t xml:space="preserve">”  </w:t>
      </w:r>
      <w:r>
        <w:rPr>
          <w:rFonts w:ascii="FangSong_GB2312" w:hAnsi="FangSong_GB2312" w:eastAsia="FangSong_GB2312" w:cs="FangSong_GB2312"/>
          <w:sz w:val="24"/>
          <w:szCs w:val="24"/>
        </w:rPr>
        <w:t>要求，后续需按要</w:t>
      </w:r>
      <w:r>
        <w:rPr>
          <w:rFonts w:ascii="FangSong_GB2312" w:hAnsi="FangSong_GB2312" w:eastAsia="FangSong_GB2312" w:cs="FangSong_GB2312"/>
          <w:spacing w:val="-1"/>
          <w:sz w:val="24"/>
          <w:szCs w:val="24"/>
        </w:rPr>
        <w:t>求补充完</w:t>
      </w:r>
      <w:r>
        <w:rPr>
          <w:rFonts w:ascii="FangSong_GB2312" w:hAnsi="FangSong_GB2312" w:eastAsia="FangSong_GB2312" w:cs="FangSong_GB2312"/>
          <w:spacing w:val="-2"/>
          <w:sz w:val="24"/>
          <w:szCs w:val="24"/>
        </w:rPr>
        <w:t>善相关手续。</w:t>
      </w:r>
    </w:p>
    <w:p w14:paraId="3E8D115D">
      <w:pPr>
        <w:spacing w:before="185" w:line="323" w:lineRule="auto"/>
        <w:ind w:left="7" w:right="60" w:firstLine="47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5</w:t>
      </w:r>
      <w:r>
        <w:rPr>
          <w:rFonts w:ascii="FangSong_GB2312" w:hAnsi="FangSong_GB2312" w:eastAsia="FangSong_GB2312" w:cs="FangSong_GB2312"/>
          <w:spacing w:val="3"/>
          <w:sz w:val="24"/>
          <w:szCs w:val="24"/>
        </w:rPr>
        <w:t>）生产建设单位应当根据水土保持方案及其审批决定等，开展对水土保持设</w:t>
      </w:r>
      <w:r>
        <w:rPr>
          <w:rFonts w:ascii="FangSong_GB2312" w:hAnsi="FangSong_GB2312" w:eastAsia="FangSong_GB2312" w:cs="FangSong_GB2312"/>
          <w:sz w:val="24"/>
          <w:szCs w:val="24"/>
        </w:rPr>
        <w:t>施验收工作，形成水土保持设施验收鉴定书，明确水土保持</w:t>
      </w:r>
      <w:r>
        <w:rPr>
          <w:rFonts w:ascii="FangSong_GB2312" w:hAnsi="FangSong_GB2312" w:eastAsia="FangSong_GB2312" w:cs="FangSong_GB2312"/>
          <w:spacing w:val="-1"/>
          <w:sz w:val="24"/>
          <w:szCs w:val="24"/>
        </w:rPr>
        <w:t>设施验收合格结论。生产</w:t>
      </w:r>
      <w:r>
        <w:rPr>
          <w:rFonts w:ascii="FangSong_GB2312" w:hAnsi="FangSong_GB2312" w:eastAsia="FangSong_GB2312" w:cs="FangSong_GB2312"/>
          <w:spacing w:val="4"/>
          <w:sz w:val="24"/>
          <w:szCs w:val="24"/>
        </w:rPr>
        <w:t>建设单位应当在向社会公开水土保持设施验收材料至少</w:t>
      </w:r>
      <w:r>
        <w:rPr>
          <w:rFonts w:ascii="Times New Roman" w:hAnsi="Times New Roman" w:eastAsia="Times New Roman" w:cs="Times New Roman"/>
          <w:spacing w:val="4"/>
          <w:sz w:val="24"/>
          <w:szCs w:val="24"/>
        </w:rPr>
        <w:t xml:space="preserve">20 </w:t>
      </w:r>
      <w:r>
        <w:rPr>
          <w:rFonts w:ascii="FangSong_GB2312" w:hAnsi="FangSong_GB2312" w:eastAsia="FangSong_GB2312" w:cs="FangSong_GB2312"/>
          <w:spacing w:val="4"/>
          <w:sz w:val="24"/>
          <w:szCs w:val="24"/>
        </w:rPr>
        <w:t>个工作日，然后按照规定</w:t>
      </w:r>
      <w:r>
        <w:rPr>
          <w:rFonts w:ascii="FangSong_GB2312" w:hAnsi="FangSong_GB2312" w:eastAsia="FangSong_GB2312" w:cs="FangSong_GB2312"/>
          <w:spacing w:val="-1"/>
          <w:sz w:val="24"/>
          <w:szCs w:val="24"/>
        </w:rPr>
        <w:t>向水土保持设施验收报备机关报备水土保持设施验收材料。</w:t>
      </w:r>
    </w:p>
    <w:p w14:paraId="5F163565">
      <w:pPr>
        <w:spacing w:before="305" w:line="229" w:lineRule="auto"/>
        <w:ind w:left="5384"/>
        <w:rPr>
          <w:rFonts w:ascii="FangSong_GB2312" w:hAnsi="FangSong_GB2312" w:eastAsia="FangSong_GB2312" w:cs="FangSong_GB2312"/>
          <w:sz w:val="20"/>
          <w:szCs w:val="20"/>
        </w:rPr>
      </w:pPr>
      <w:r>
        <w:pict>
          <v:shape id="_x0000_s1039" o:spid="_x0000_s1039" o:spt="202" type="#_x0000_t202" style="position:absolute;left:0pt;margin-left:217.5pt;margin-top:14.95pt;height:10.15pt;width:10.05pt;z-index:251696128;mso-width-relative:page;mso-height-relative:page;" filled="f" stroked="f" coordsize="21600,21600">
            <v:path/>
            <v:fill on="f" focussize="0,0"/>
            <v:stroke on="f"/>
            <v:imagedata o:title=""/>
            <o:lock v:ext="edit" aspectratio="f"/>
            <v:textbox inset="0mm,0mm,0mm,0mm">
              <w:txbxContent>
                <w:p w14:paraId="4D4D097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xbxContent>
            </v:textbox>
          </v:shape>
        </w:pict>
      </w:r>
      <w:r>
        <w:rPr>
          <w:rFonts w:ascii="FangSong_GB2312" w:hAnsi="FangSong_GB2312" w:eastAsia="FangSong_GB2312" w:cs="FangSong_GB2312"/>
          <w:spacing w:val="8"/>
          <w:sz w:val="20"/>
          <w:szCs w:val="20"/>
        </w:rPr>
        <w:t>剑阁县绿森林业勘察设计有限公司</w:t>
      </w:r>
    </w:p>
    <w:p w14:paraId="342C54A3">
      <w:pPr>
        <w:spacing w:line="229" w:lineRule="auto"/>
        <w:rPr>
          <w:rFonts w:ascii="FangSong_GB2312" w:hAnsi="FangSong_GB2312" w:eastAsia="FangSong_GB2312" w:cs="FangSong_GB2312"/>
          <w:sz w:val="20"/>
          <w:szCs w:val="20"/>
        </w:rPr>
        <w:sectPr>
          <w:headerReference r:id="rId32" w:type="default"/>
          <w:pgSz w:w="11906" w:h="16839"/>
          <w:pgMar w:top="1164" w:right="1453" w:bottom="400" w:left="1513" w:header="831" w:footer="0" w:gutter="0"/>
          <w:cols w:space="720" w:num="1"/>
        </w:sectPr>
      </w:pPr>
    </w:p>
    <w:p w14:paraId="583513FB">
      <w:pPr>
        <w:pStyle w:val="2"/>
        <w:spacing w:line="349" w:lineRule="auto"/>
      </w:pPr>
    </w:p>
    <w:p w14:paraId="0EC37252">
      <w:pPr>
        <w:spacing w:before="101" w:line="221" w:lineRule="auto"/>
        <w:ind w:left="3644"/>
        <w:outlineLvl w:val="0"/>
        <w:rPr>
          <w:rFonts w:ascii="FangSong_GB2312" w:hAnsi="FangSong_GB2312" w:eastAsia="FangSong_GB2312" w:cs="FangSong_GB2312"/>
          <w:sz w:val="31"/>
          <w:szCs w:val="31"/>
        </w:rPr>
      </w:pPr>
      <w:bookmarkStart w:id="36" w:name="bookmark27"/>
      <w:bookmarkEnd w:id="36"/>
      <w:bookmarkStart w:id="37" w:name="bookmark26"/>
      <w:bookmarkEnd w:id="37"/>
      <w:r>
        <w:rPr>
          <w:rFonts w:ascii="Times New Roman" w:hAnsi="Times New Roman" w:eastAsia="Times New Roman" w:cs="Times New Roman"/>
          <w:b/>
          <w:bCs/>
          <w:spacing w:val="2"/>
          <w:sz w:val="31"/>
          <w:szCs w:val="31"/>
        </w:rPr>
        <w:t>2</w:t>
      </w:r>
      <w:r>
        <w:rPr>
          <w:rFonts w:ascii="Times New Roman" w:hAnsi="Times New Roman" w:eastAsia="Times New Roman" w:cs="Times New Roman"/>
          <w:b/>
          <w:bCs/>
          <w:spacing w:val="10"/>
          <w:sz w:val="31"/>
          <w:szCs w:val="31"/>
        </w:rPr>
        <w:t xml:space="preserve">  </w:t>
      </w:r>
      <w:r>
        <w:rPr>
          <w:rFonts w:ascii="FangSong_GB2312" w:hAnsi="FangSong_GB2312" w:eastAsia="FangSong_GB2312" w:cs="FangSong_GB2312"/>
          <w:b/>
          <w:bCs/>
          <w:spacing w:val="2"/>
          <w:sz w:val="31"/>
          <w:szCs w:val="31"/>
        </w:rPr>
        <w:t>项目概况</w:t>
      </w:r>
    </w:p>
    <w:p w14:paraId="55880841">
      <w:pPr>
        <w:pStyle w:val="2"/>
        <w:spacing w:line="396" w:lineRule="auto"/>
      </w:pPr>
    </w:p>
    <w:p w14:paraId="49EFAC3B">
      <w:pPr>
        <w:spacing w:before="78" w:line="345" w:lineRule="auto"/>
        <w:ind w:left="28" w:right="237" w:firstLine="461"/>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本项目位于四川省广元市剑阁县义兴镇人民政府西北</w:t>
      </w:r>
      <w:r>
        <w:rPr>
          <w:rFonts w:ascii="FangSong_GB2312" w:hAnsi="FangSong_GB2312" w:eastAsia="FangSong_GB2312" w:cs="FangSong_GB2312"/>
          <w:spacing w:val="-1"/>
          <w:sz w:val="24"/>
          <w:szCs w:val="24"/>
        </w:rPr>
        <w:t>侧，地理位置坐标：东经</w:t>
      </w:r>
      <w:r>
        <w:rPr>
          <w:rFonts w:ascii="Times New Roman" w:hAnsi="Times New Roman" w:eastAsia="Times New Roman" w:cs="Times New Roman"/>
          <w:spacing w:val="-3"/>
          <w:sz w:val="24"/>
          <w:szCs w:val="24"/>
        </w:rPr>
        <w:t>105°24'</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3"/>
          <w:sz w:val="24"/>
          <w:szCs w:val="24"/>
        </w:rPr>
        <w:t>19.5388"</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3"/>
          <w:sz w:val="24"/>
          <w:szCs w:val="24"/>
        </w:rPr>
        <w:t>、北纬</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31°53'39.8717"</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pacing w:val="-3"/>
          <w:sz w:val="24"/>
          <w:szCs w:val="24"/>
        </w:rPr>
        <w:t>。项目区地理位置图见图</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2-1</w:t>
      </w:r>
      <w:r>
        <w:rPr>
          <w:rFonts w:ascii="FangSong_GB2312" w:hAnsi="FangSong_GB2312" w:eastAsia="FangSong_GB2312" w:cs="FangSong_GB2312"/>
          <w:spacing w:val="-3"/>
          <w:sz w:val="24"/>
          <w:szCs w:val="24"/>
        </w:rPr>
        <w:t>。</w:t>
      </w:r>
    </w:p>
    <w:p w14:paraId="40F97C38">
      <w:pPr>
        <w:spacing w:line="6091" w:lineRule="exact"/>
      </w:pPr>
      <w:r>
        <w:rPr>
          <w:position w:val="-121"/>
        </w:rPr>
        <w:drawing>
          <wp:inline distT="0" distB="0" distL="0" distR="0">
            <wp:extent cx="5635625" cy="38677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3"/>
                    <a:stretch>
                      <a:fillRect/>
                    </a:stretch>
                  </pic:blipFill>
                  <pic:spPr>
                    <a:xfrm>
                      <a:off x="0" y="0"/>
                      <a:ext cx="5635751" cy="3867911"/>
                    </a:xfrm>
                    <a:prstGeom prst="rect">
                      <a:avLst/>
                    </a:prstGeom>
                  </pic:spPr>
                </pic:pic>
              </a:graphicData>
            </a:graphic>
          </wp:inline>
        </w:drawing>
      </w:r>
    </w:p>
    <w:p w14:paraId="1029E419">
      <w:pPr>
        <w:spacing w:before="37" w:line="227" w:lineRule="auto"/>
        <w:ind w:left="3183"/>
        <w:outlineLvl w:val="1"/>
        <w:rPr>
          <w:rFonts w:ascii="FangSong_GB2312" w:hAnsi="FangSong_GB2312" w:eastAsia="FangSong_GB2312" w:cs="FangSong_GB2312"/>
          <w:sz w:val="20"/>
          <w:szCs w:val="20"/>
        </w:rPr>
      </w:pPr>
      <w:bookmarkStart w:id="38" w:name="bookmark101"/>
      <w:bookmarkEnd w:id="38"/>
      <w:r>
        <w:rPr>
          <w:rFonts w:ascii="FangSong_GB2312" w:hAnsi="FangSong_GB2312" w:eastAsia="FangSong_GB2312" w:cs="FangSong_GB2312"/>
          <w:b/>
          <w:bCs/>
          <w:spacing w:val="3"/>
          <w:sz w:val="20"/>
          <w:szCs w:val="20"/>
        </w:rPr>
        <w:t>图</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3"/>
          <w:sz w:val="20"/>
          <w:szCs w:val="20"/>
        </w:rPr>
        <w:t xml:space="preserve">2-1    </w:t>
      </w:r>
      <w:r>
        <w:rPr>
          <w:rFonts w:ascii="FangSong_GB2312" w:hAnsi="FangSong_GB2312" w:eastAsia="FangSong_GB2312" w:cs="FangSong_GB2312"/>
          <w:b/>
          <w:bCs/>
          <w:spacing w:val="3"/>
          <w:sz w:val="20"/>
          <w:szCs w:val="20"/>
        </w:rPr>
        <w:t>项目区地理位置图</w:t>
      </w:r>
    </w:p>
    <w:p w14:paraId="0A841EF2">
      <w:pPr>
        <w:spacing w:before="166" w:line="214" w:lineRule="auto"/>
        <w:ind w:left="49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项目名称：剑阁县义兴镇干部职工周转房建设项目</w:t>
      </w:r>
    </w:p>
    <w:p w14:paraId="757B141D">
      <w:pPr>
        <w:spacing w:before="187" w:line="214" w:lineRule="auto"/>
        <w:ind w:left="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建设单位：剑阁县义兴镇人民政府</w:t>
      </w:r>
    </w:p>
    <w:p w14:paraId="410FC8F1">
      <w:pPr>
        <w:spacing w:before="190" w:line="214" w:lineRule="auto"/>
        <w:ind w:left="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地理位置：四川省广元市剑阁县义兴镇人民政府西北侧</w:t>
      </w:r>
    </w:p>
    <w:p w14:paraId="353A07A4">
      <w:pPr>
        <w:spacing w:before="188" w:line="213" w:lineRule="auto"/>
        <w:ind w:left="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建设性质：新建、建设类</w:t>
      </w:r>
    </w:p>
    <w:p w14:paraId="3C3AA656">
      <w:pPr>
        <w:spacing w:before="190" w:line="359" w:lineRule="auto"/>
        <w:ind w:left="15" w:firstLine="472"/>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建设内容及规模：总用地面积</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6"/>
          <w:sz w:val="24"/>
          <w:szCs w:val="24"/>
        </w:rPr>
        <w:t>），</w:t>
      </w:r>
      <w:r>
        <w:rPr>
          <w:rFonts w:ascii="FangSong_GB2312" w:hAnsi="FangSong_GB2312" w:eastAsia="FangSong_GB2312" w:cs="FangSong_GB2312"/>
          <w:spacing w:val="-2"/>
          <w:sz w:val="24"/>
          <w:szCs w:val="24"/>
        </w:rPr>
        <w:t>建筑面积</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2"/>
          <w:sz w:val="24"/>
          <w:szCs w:val="24"/>
        </w:rPr>
        <w:t>1330m</w:t>
      </w:r>
      <w:r>
        <w:rPr>
          <w:rFonts w:ascii="Times New Roman" w:hAnsi="Times New Roman" w:eastAsia="Times New Roman" w:cs="Times New Roman"/>
          <w:spacing w:val="-2"/>
          <w:position w:val="7"/>
          <w:sz w:val="15"/>
          <w:szCs w:val="15"/>
        </w:rPr>
        <w:t xml:space="preserve">2 </w:t>
      </w:r>
      <w:r>
        <w:rPr>
          <w:rFonts w:ascii="FangSong_GB2312" w:hAnsi="FangSong_GB2312" w:eastAsia="FangSong_GB2312" w:cs="FangSong_GB2312"/>
          <w:spacing w:val="-2"/>
          <w:sz w:val="24"/>
          <w:szCs w:val="24"/>
        </w:rPr>
        <w:t>，均为地</w:t>
      </w:r>
      <w:r>
        <w:rPr>
          <w:rFonts w:ascii="FangSong_GB2312" w:hAnsi="FangSong_GB2312" w:eastAsia="FangSong_GB2312" w:cs="FangSong_GB2312"/>
          <w:spacing w:val="-3"/>
          <w:sz w:val="24"/>
          <w:szCs w:val="24"/>
        </w:rPr>
        <w:t>上建筑面积，容积率</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2.70</w:t>
      </w:r>
      <w:r>
        <w:rPr>
          <w:rFonts w:ascii="FangSong_GB2312" w:hAnsi="FangSong_GB2312" w:eastAsia="FangSong_GB2312" w:cs="FangSong_GB2312"/>
          <w:spacing w:val="-3"/>
          <w:sz w:val="24"/>
          <w:szCs w:val="24"/>
        </w:rPr>
        <w:t>，建筑密度</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53.40%</w:t>
      </w:r>
      <w:r>
        <w:rPr>
          <w:rFonts w:ascii="FangSong_GB2312" w:hAnsi="FangSong_GB2312" w:eastAsia="FangSong_GB2312" w:cs="FangSong_GB2312"/>
          <w:spacing w:val="-3"/>
          <w:sz w:val="24"/>
          <w:szCs w:val="24"/>
        </w:rPr>
        <w:t>，绿地率</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20%</w:t>
      </w:r>
      <w:r>
        <w:rPr>
          <w:rFonts w:ascii="FangSong_GB2312" w:hAnsi="FangSong_GB2312" w:eastAsia="FangSong_GB2312" w:cs="FangSong_GB2312"/>
          <w:spacing w:val="-3"/>
          <w:sz w:val="24"/>
          <w:szCs w:val="24"/>
        </w:rPr>
        <w:t>。</w:t>
      </w:r>
      <w:r>
        <w:rPr>
          <w:rFonts w:ascii="FangSong_GB2312" w:hAnsi="FangSong_GB2312" w:eastAsia="FangSong_GB2312" w:cs="FangSong_GB2312"/>
          <w:spacing w:val="-4"/>
          <w:sz w:val="24"/>
          <w:szCs w:val="24"/>
        </w:rPr>
        <w:t>建设内容包括新建干部周</w:t>
      </w:r>
      <w:r>
        <w:rPr>
          <w:rFonts w:ascii="FangSong_GB2312" w:hAnsi="FangSong_GB2312" w:eastAsia="FangSong_GB2312" w:cs="FangSong_GB2312"/>
          <w:spacing w:val="-2"/>
          <w:sz w:val="24"/>
          <w:szCs w:val="24"/>
        </w:rPr>
        <w:t xml:space="preserve">转房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栋（</w:t>
      </w:r>
      <w:r>
        <w:rPr>
          <w:rFonts w:ascii="Times New Roman" w:hAnsi="Times New Roman" w:eastAsia="Times New Roman" w:cs="Times New Roman"/>
          <w:spacing w:val="-2"/>
          <w:sz w:val="24"/>
          <w:szCs w:val="24"/>
        </w:rPr>
        <w:t>38</w:t>
      </w:r>
      <w:r>
        <w:rPr>
          <w:rFonts w:ascii="Times New Roman" w:hAnsi="Times New Roman" w:eastAsia="Times New Roman" w:cs="Times New Roman"/>
          <w:spacing w:val="13"/>
          <w:sz w:val="24"/>
          <w:szCs w:val="24"/>
        </w:rPr>
        <w:t xml:space="preserve"> </w:t>
      </w:r>
      <w:r>
        <w:rPr>
          <w:rFonts w:ascii="FangSong_GB2312" w:hAnsi="FangSong_GB2312" w:eastAsia="FangSong_GB2312" w:cs="FangSong_GB2312"/>
          <w:spacing w:val="-2"/>
          <w:sz w:val="24"/>
          <w:szCs w:val="24"/>
        </w:rPr>
        <w:t>套</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2"/>
          <w:sz w:val="24"/>
          <w:szCs w:val="24"/>
        </w:rPr>
        <w:t>配套附属设施建设及居住设备购置。</w:t>
      </w:r>
    </w:p>
    <w:p w14:paraId="7451440C">
      <w:pPr>
        <w:spacing w:before="1" w:line="359" w:lineRule="auto"/>
        <w:ind w:left="18" w:firstLine="468"/>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根据中华人民共和国国有建设用地划拨决定书、剑阁县发</w:t>
      </w:r>
      <w:r>
        <w:rPr>
          <w:rFonts w:ascii="FangSong_GB2312" w:hAnsi="FangSong_GB2312" w:eastAsia="FangSong_GB2312" w:cs="FangSong_GB2312"/>
          <w:spacing w:val="-1"/>
          <w:sz w:val="24"/>
          <w:szCs w:val="24"/>
        </w:rPr>
        <w:t>展和改革局关于调整剑阁县义兴镇干部职工周转房建设项目规划用地的批复、施工图及现场踏勘，本项目总</w:t>
      </w:r>
      <w:r>
        <w:rPr>
          <w:rFonts w:ascii="FangSong_GB2312" w:hAnsi="FangSong_GB2312" w:eastAsia="FangSong_GB2312" w:cs="FangSong_GB2312"/>
          <w:spacing w:val="-2"/>
          <w:sz w:val="24"/>
          <w:szCs w:val="24"/>
        </w:rPr>
        <w:t>占地面积为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6"/>
          <w:sz w:val="24"/>
          <w:szCs w:val="24"/>
        </w:rPr>
        <w:t>），</w:t>
      </w:r>
      <w:r>
        <w:rPr>
          <w:rFonts w:ascii="FangSong_GB2312" w:hAnsi="FangSong_GB2312" w:eastAsia="FangSong_GB2312" w:cs="FangSong_GB2312"/>
          <w:spacing w:val="-2"/>
          <w:sz w:val="24"/>
          <w:szCs w:val="24"/>
        </w:rPr>
        <w:t>均为永久占地。其中建构筑物工程区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0.03hm</w:t>
      </w:r>
      <w:r>
        <w:rPr>
          <w:rFonts w:ascii="Times New Roman" w:hAnsi="Times New Roman" w:eastAsia="Times New Roman" w:cs="Times New Roman"/>
          <w:spacing w:val="-2"/>
          <w:position w:val="7"/>
          <w:sz w:val="15"/>
          <w:szCs w:val="15"/>
        </w:rPr>
        <w:t xml:space="preserve">2 </w:t>
      </w:r>
      <w:r>
        <w:rPr>
          <w:rFonts w:ascii="FangSong_GB2312" w:hAnsi="FangSong_GB2312" w:eastAsia="FangSong_GB2312" w:cs="FangSong_GB2312"/>
          <w:spacing w:val="-2"/>
          <w:sz w:val="24"/>
          <w:szCs w:val="24"/>
        </w:rPr>
        <w:t>，硬</w:t>
      </w:r>
      <w:r>
        <w:rPr>
          <w:rFonts w:ascii="FangSong_GB2312" w:hAnsi="FangSong_GB2312" w:eastAsia="FangSong_GB2312" w:cs="FangSong_GB2312"/>
          <w:spacing w:val="-3"/>
          <w:sz w:val="24"/>
          <w:szCs w:val="24"/>
        </w:rPr>
        <w:t>化工程区</w:t>
      </w:r>
      <w:r>
        <w:rPr>
          <w:rFonts w:ascii="FangSong_GB2312" w:hAnsi="FangSong_GB2312" w:eastAsia="FangSong_GB2312" w:cs="FangSong_GB2312"/>
          <w:spacing w:val="-38"/>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，绿化工程区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，占地类型为林地、其他土地。</w:t>
      </w:r>
    </w:p>
    <w:p w14:paraId="0EB1331F">
      <w:pPr>
        <w:spacing w:before="3" w:line="452" w:lineRule="auto"/>
        <w:ind w:left="5383" w:right="33" w:hanging="4897"/>
        <w:rPr>
          <w:rFonts w:ascii="FangSong_GB2312" w:hAnsi="FangSong_GB2312" w:eastAsia="FangSong_GB2312" w:cs="FangSong_GB2312"/>
          <w:sz w:val="20"/>
          <w:szCs w:val="20"/>
        </w:rPr>
      </w:pPr>
      <w:r>
        <w:pict>
          <v:shape id="_x0000_s1040" o:spid="_x0000_s1040" o:spt="202" type="#_x0000_t202" style="position:absolute;left:0pt;margin-left:217.5pt;margin-top:28.2pt;height:10.15pt;width:10.05pt;z-index:251697152;mso-width-relative:page;mso-height-relative:page;" filled="f" stroked="f" coordsize="21600,21600">
            <v:path/>
            <v:fill on="f" focussize="0,0"/>
            <v:stroke on="f"/>
            <v:imagedata o:title=""/>
            <o:lock v:ext="edit" aspectratio="f"/>
            <v:textbox inset="0mm,0mm,0mm,0mm">
              <w:txbxContent>
                <w:p w14:paraId="5773F873">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txbxContent>
            </v:textbox>
          </v:shape>
        </w:pict>
      </w:r>
      <w:r>
        <w:rPr>
          <w:rFonts w:ascii="FangSong_GB2312" w:hAnsi="FangSong_GB2312" w:eastAsia="FangSong_GB2312" w:cs="FangSong_GB2312"/>
          <w:spacing w:val="-2"/>
          <w:sz w:val="24"/>
          <w:szCs w:val="24"/>
        </w:rPr>
        <w:t>根据现场调查及业主介绍，本项目挖方总量为</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0.09</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FangSong_GB2312" w:hAnsi="FangSong_GB2312" w:eastAsia="FangSong_GB2312" w:cs="FangSong_GB2312"/>
          <w:spacing w:val="-2"/>
          <w:sz w:val="24"/>
          <w:szCs w:val="24"/>
        </w:rPr>
        <w:t>（其中表土剥离</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8"/>
          <w:sz w:val="20"/>
          <w:szCs w:val="20"/>
        </w:rPr>
        <w:t>剑阁县绿森林业勘察设计有限公司</w:t>
      </w:r>
    </w:p>
    <w:p w14:paraId="62068DC3">
      <w:pPr>
        <w:spacing w:line="452" w:lineRule="auto"/>
        <w:rPr>
          <w:rFonts w:ascii="FangSong_GB2312" w:hAnsi="FangSong_GB2312" w:eastAsia="FangSong_GB2312" w:cs="FangSong_GB2312"/>
          <w:sz w:val="20"/>
          <w:szCs w:val="20"/>
        </w:rPr>
        <w:sectPr>
          <w:headerReference r:id="rId33" w:type="default"/>
          <w:pgSz w:w="11906" w:h="16839"/>
          <w:pgMar w:top="1164" w:right="1514" w:bottom="400" w:left="1513" w:header="831" w:footer="0" w:gutter="0"/>
          <w:cols w:space="720" w:num="1"/>
        </w:sectPr>
      </w:pPr>
    </w:p>
    <w:p w14:paraId="2FD64233">
      <w:pPr>
        <w:spacing w:before="197" w:line="214" w:lineRule="auto"/>
        <w:ind w:left="124"/>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6"/>
          <w:sz w:val="24"/>
          <w:szCs w:val="24"/>
        </w:rPr>
        <w:t>），</w:t>
      </w:r>
      <w:r>
        <w:rPr>
          <w:rFonts w:ascii="FangSong_GB2312" w:hAnsi="FangSong_GB2312" w:eastAsia="FangSong_GB2312" w:cs="FangSong_GB2312"/>
          <w:spacing w:val="-2"/>
          <w:sz w:val="24"/>
          <w:szCs w:val="24"/>
        </w:rPr>
        <w:t>填方总量为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2"/>
          <w:sz w:val="24"/>
          <w:szCs w:val="24"/>
        </w:rPr>
        <w:t>（其中表土</w:t>
      </w:r>
      <w:r>
        <w:rPr>
          <w:rFonts w:ascii="FangSong_GB2312" w:hAnsi="FangSong_GB2312" w:eastAsia="FangSong_GB2312" w:cs="FangSong_GB2312"/>
          <w:spacing w:val="-3"/>
          <w:sz w:val="24"/>
          <w:szCs w:val="24"/>
        </w:rPr>
        <w:t>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6"/>
          <w:sz w:val="24"/>
          <w:szCs w:val="24"/>
        </w:rPr>
        <w:t>），</w:t>
      </w:r>
      <w:r>
        <w:rPr>
          <w:rFonts w:ascii="FangSong_GB2312" w:hAnsi="FangSong_GB2312" w:eastAsia="FangSong_GB2312" w:cs="FangSong_GB2312"/>
          <w:spacing w:val="-3"/>
          <w:sz w:val="24"/>
          <w:szCs w:val="24"/>
        </w:rPr>
        <w:t>无借方，无余方。</w:t>
      </w:r>
    </w:p>
    <w:p w14:paraId="5B39CCC2">
      <w:pPr>
        <w:spacing w:before="187" w:line="360" w:lineRule="auto"/>
        <w:ind w:left="130" w:right="5" w:firstLine="479"/>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根据现场踏勘及查阅相关资料，本项目不涉及拆迁（移民）安置及专项设</w:t>
      </w:r>
      <w:r>
        <w:rPr>
          <w:rFonts w:ascii="FangSong_GB2312" w:hAnsi="FangSong_GB2312" w:eastAsia="FangSong_GB2312" w:cs="FangSong_GB2312"/>
          <w:spacing w:val="-11"/>
          <w:sz w:val="24"/>
          <w:szCs w:val="24"/>
        </w:rPr>
        <w:t>施改（迁）</w:t>
      </w:r>
      <w:r>
        <w:rPr>
          <w:rFonts w:ascii="FangSong_GB2312" w:hAnsi="FangSong_GB2312" w:eastAsia="FangSong_GB2312" w:cs="FangSong_GB2312"/>
          <w:spacing w:val="-4"/>
          <w:sz w:val="24"/>
          <w:szCs w:val="24"/>
        </w:rPr>
        <w:t>建。</w:t>
      </w:r>
    </w:p>
    <w:p w14:paraId="19AA27C1">
      <w:pPr>
        <w:spacing w:line="358" w:lineRule="auto"/>
        <w:ind w:left="161" w:right="238" w:firstLine="456"/>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工程总投资：本项目总投资</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480.70</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万元，土建投资为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382.18</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万元，资金来源为</w:t>
      </w:r>
      <w:r>
        <w:rPr>
          <w:rFonts w:ascii="FangSong_GB2312" w:hAnsi="FangSong_GB2312" w:eastAsia="FangSong_GB2312" w:cs="FangSong_GB2312"/>
          <w:spacing w:val="-4"/>
          <w:sz w:val="24"/>
          <w:szCs w:val="24"/>
        </w:rPr>
        <w:t>向上争取及县财政配套。</w:t>
      </w:r>
    </w:p>
    <w:p w14:paraId="26ED7CB0">
      <w:pPr>
        <w:spacing w:before="3" w:line="358" w:lineRule="auto"/>
        <w:ind w:left="131" w:right="178" w:firstLine="478"/>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建设工期：本项目已于</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 xml:space="preserve">2022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2"/>
          <w:sz w:val="24"/>
          <w:szCs w:val="24"/>
        </w:rPr>
        <w:t>月开工建设，</w:t>
      </w:r>
      <w:r>
        <w:rPr>
          <w:rFonts w:ascii="Times New Roman" w:hAnsi="Times New Roman" w:eastAsia="Times New Roman" w:cs="Times New Roman"/>
          <w:spacing w:val="-2"/>
          <w:sz w:val="24"/>
          <w:szCs w:val="24"/>
        </w:rPr>
        <w:t>202</w:t>
      </w:r>
      <w:r>
        <w:rPr>
          <w:rFonts w:ascii="Times New Roman" w:hAnsi="Times New Roman" w:eastAsia="Times New Roman" w:cs="Times New Roman"/>
          <w:spacing w:val="-3"/>
          <w:sz w:val="24"/>
          <w:szCs w:val="24"/>
        </w:rPr>
        <w:t xml:space="preserve">3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月竣工，建设总工期为</w:t>
      </w:r>
      <w:r>
        <w:rPr>
          <w:rFonts w:ascii="Times New Roman" w:hAnsi="Times New Roman" w:eastAsia="Times New Roman" w:cs="Times New Roman"/>
          <w:spacing w:val="-1"/>
          <w:sz w:val="24"/>
          <w:szCs w:val="24"/>
        </w:rPr>
        <w:t xml:space="preserve">7 </w:t>
      </w:r>
      <w:r>
        <w:rPr>
          <w:rFonts w:ascii="FangSong_GB2312" w:hAnsi="FangSong_GB2312" w:eastAsia="FangSong_GB2312" w:cs="FangSong_GB2312"/>
          <w:spacing w:val="-1"/>
          <w:sz w:val="24"/>
          <w:szCs w:val="24"/>
        </w:rPr>
        <w:t>个月，本方案为补报方案。</w:t>
      </w:r>
    </w:p>
    <w:p w14:paraId="7F1EE925">
      <w:pPr>
        <w:spacing w:before="272" w:line="216" w:lineRule="auto"/>
        <w:ind w:left="129"/>
        <w:outlineLvl w:val="1"/>
        <w:rPr>
          <w:rFonts w:ascii="FangSong_GB2312" w:hAnsi="FangSong_GB2312" w:eastAsia="FangSong_GB2312" w:cs="FangSong_GB2312"/>
          <w:sz w:val="30"/>
          <w:szCs w:val="30"/>
        </w:rPr>
      </w:pPr>
      <w:bookmarkStart w:id="39" w:name="bookmark28"/>
      <w:bookmarkEnd w:id="39"/>
      <w:bookmarkStart w:id="40" w:name="bookmark29"/>
      <w:bookmarkEnd w:id="40"/>
      <w:r>
        <w:rPr>
          <w:rFonts w:ascii="Times New Roman" w:hAnsi="Times New Roman" w:eastAsia="Times New Roman" w:cs="Times New Roman"/>
          <w:b/>
          <w:bCs/>
          <w:spacing w:val="-3"/>
          <w:sz w:val="30"/>
          <w:szCs w:val="30"/>
        </w:rPr>
        <w:t xml:space="preserve">2.1 </w:t>
      </w:r>
      <w:r>
        <w:rPr>
          <w:rFonts w:ascii="FangSong_GB2312" w:hAnsi="FangSong_GB2312" w:eastAsia="FangSong_GB2312" w:cs="FangSong_GB2312"/>
          <w:b/>
          <w:bCs/>
          <w:spacing w:val="-3"/>
          <w:sz w:val="30"/>
          <w:szCs w:val="30"/>
        </w:rPr>
        <w:t>项目组成及工程布置</w:t>
      </w:r>
    </w:p>
    <w:p w14:paraId="33CFEDA5">
      <w:pPr>
        <w:pStyle w:val="2"/>
        <w:spacing w:line="353" w:lineRule="auto"/>
      </w:pPr>
    </w:p>
    <w:p w14:paraId="69E6297E">
      <w:pPr>
        <w:spacing w:before="78" w:line="357" w:lineRule="auto"/>
        <w:ind w:left="137" w:right="120" w:firstLine="471"/>
        <w:rPr>
          <w:rFonts w:ascii="FangSong_GB2312" w:hAnsi="FangSong_GB2312" w:eastAsia="FangSong_GB2312" w:cs="FangSong_GB2312"/>
          <w:sz w:val="24"/>
          <w:szCs w:val="24"/>
        </w:rPr>
      </w:pPr>
      <w:r>
        <w:rPr>
          <w:rFonts w:ascii="FangSong_GB2312" w:hAnsi="FangSong_GB2312" w:eastAsia="FangSong_GB2312" w:cs="FangSong_GB2312"/>
          <w:sz w:val="24"/>
          <w:szCs w:val="24"/>
        </w:rPr>
        <w:t>根据该工程建设内容及总体布局，本项目主要由建构筑物</w:t>
      </w:r>
      <w:r>
        <w:rPr>
          <w:rFonts w:ascii="FangSong_GB2312" w:hAnsi="FangSong_GB2312" w:eastAsia="FangSong_GB2312" w:cs="FangSong_GB2312"/>
          <w:spacing w:val="-1"/>
          <w:sz w:val="24"/>
          <w:szCs w:val="24"/>
        </w:rPr>
        <w:t>工程、硬化工程、绿化工程及附属设施等组成。本项目项目组成见下表</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1"/>
          <w:sz w:val="24"/>
          <w:szCs w:val="24"/>
        </w:rPr>
        <w:t>2.1-1</w:t>
      </w:r>
      <w:r>
        <w:rPr>
          <w:rFonts w:ascii="FangSong_GB2312" w:hAnsi="FangSong_GB2312" w:eastAsia="FangSong_GB2312" w:cs="FangSong_GB2312"/>
          <w:spacing w:val="-1"/>
          <w:sz w:val="24"/>
          <w:szCs w:val="24"/>
        </w:rPr>
        <w:t>。</w:t>
      </w:r>
    </w:p>
    <w:p w14:paraId="59A44EE6">
      <w:pPr>
        <w:spacing w:before="1" w:line="224" w:lineRule="auto"/>
        <w:ind w:left="3794"/>
        <w:rPr>
          <w:rFonts w:ascii="FangSong_GB2312" w:hAnsi="FangSong_GB2312" w:eastAsia="FangSong_GB2312" w:cs="FangSong_GB2312"/>
          <w:sz w:val="20"/>
          <w:szCs w:val="20"/>
        </w:rPr>
      </w:pPr>
      <w:r>
        <w:rPr>
          <w:rFonts w:ascii="FangSong_GB2312" w:hAnsi="FangSong_GB2312" w:eastAsia="FangSong_GB2312" w:cs="FangSong_GB2312"/>
          <w:b/>
          <w:bCs/>
          <w:spacing w:val="4"/>
          <w:sz w:val="20"/>
          <w:szCs w:val="20"/>
        </w:rPr>
        <w:t>表</w:t>
      </w:r>
      <w:r>
        <w:rPr>
          <w:rFonts w:ascii="FangSong_GB2312" w:hAnsi="FangSong_GB2312" w:eastAsia="FangSong_GB2312" w:cs="FangSong_GB2312"/>
          <w:spacing w:val="-36"/>
          <w:sz w:val="20"/>
          <w:szCs w:val="20"/>
        </w:rPr>
        <w:t xml:space="preserve"> </w:t>
      </w:r>
      <w:r>
        <w:rPr>
          <w:rFonts w:ascii="Times New Roman" w:hAnsi="Times New Roman" w:eastAsia="Times New Roman" w:cs="Times New Roman"/>
          <w:b/>
          <w:bCs/>
          <w:spacing w:val="4"/>
          <w:sz w:val="20"/>
          <w:szCs w:val="20"/>
        </w:rPr>
        <w:t xml:space="preserve">2.1-1    </w:t>
      </w:r>
      <w:r>
        <w:rPr>
          <w:rFonts w:ascii="FangSong_GB2312" w:hAnsi="FangSong_GB2312" w:eastAsia="FangSong_GB2312" w:cs="FangSong_GB2312"/>
          <w:b/>
          <w:bCs/>
          <w:spacing w:val="4"/>
          <w:sz w:val="20"/>
          <w:szCs w:val="20"/>
        </w:rPr>
        <w:t>项目组成表</w:t>
      </w:r>
    </w:p>
    <w:p w14:paraId="3F519CEE">
      <w:pPr>
        <w:spacing w:line="134" w:lineRule="exact"/>
      </w:pPr>
    </w:p>
    <w:tbl>
      <w:tblPr>
        <w:tblStyle w:val="6"/>
        <w:tblW w:w="90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2"/>
        <w:gridCol w:w="1301"/>
        <w:gridCol w:w="6252"/>
      </w:tblGrid>
      <w:tr w14:paraId="5D3EC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843" w:type="dxa"/>
            <w:gridSpan w:val="2"/>
            <w:tcBorders>
              <w:top w:val="single" w:color="000000" w:sz="10" w:space="0"/>
              <w:left w:val="single" w:color="000000" w:sz="10" w:space="0"/>
            </w:tcBorders>
            <w:vAlign w:val="top"/>
          </w:tcPr>
          <w:p w14:paraId="117CAEC7">
            <w:pPr>
              <w:spacing w:before="32" w:line="216" w:lineRule="auto"/>
              <w:ind w:left="105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项目名称</w:t>
            </w:r>
          </w:p>
        </w:tc>
        <w:tc>
          <w:tcPr>
            <w:tcW w:w="6252" w:type="dxa"/>
            <w:tcBorders>
              <w:top w:val="single" w:color="000000" w:sz="10" w:space="0"/>
              <w:right w:val="single" w:color="000000" w:sz="10" w:space="0"/>
            </w:tcBorders>
            <w:vAlign w:val="top"/>
          </w:tcPr>
          <w:p w14:paraId="738E24B2">
            <w:pPr>
              <w:spacing w:before="32" w:line="217" w:lineRule="auto"/>
              <w:ind w:left="276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项目组成</w:t>
            </w:r>
          </w:p>
        </w:tc>
      </w:tr>
      <w:tr w14:paraId="73D37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42" w:type="dxa"/>
            <w:vMerge w:val="restart"/>
            <w:tcBorders>
              <w:left w:val="single" w:color="000000" w:sz="10" w:space="0"/>
              <w:bottom w:val="nil"/>
            </w:tcBorders>
            <w:vAlign w:val="top"/>
          </w:tcPr>
          <w:p w14:paraId="4797C51F">
            <w:pPr>
              <w:spacing w:before="222" w:line="214" w:lineRule="auto"/>
              <w:ind w:left="13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剑阁县义兴镇干</w:t>
            </w:r>
          </w:p>
          <w:p w14:paraId="0A6608D7">
            <w:pPr>
              <w:spacing w:before="139" w:line="214" w:lineRule="auto"/>
              <w:ind w:left="13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部职工周转房建</w:t>
            </w:r>
          </w:p>
          <w:p w14:paraId="3EC3D7FB">
            <w:pPr>
              <w:spacing w:before="142" w:line="217" w:lineRule="auto"/>
              <w:ind w:left="4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设项目</w:t>
            </w:r>
          </w:p>
        </w:tc>
        <w:tc>
          <w:tcPr>
            <w:tcW w:w="1301" w:type="dxa"/>
            <w:vAlign w:val="top"/>
          </w:tcPr>
          <w:p w14:paraId="58BBF1A4">
            <w:pPr>
              <w:spacing w:before="33" w:line="214" w:lineRule="auto"/>
              <w:ind w:left="1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6252" w:type="dxa"/>
            <w:tcBorders>
              <w:right w:val="single" w:color="000000" w:sz="10" w:space="0"/>
            </w:tcBorders>
            <w:vAlign w:val="top"/>
          </w:tcPr>
          <w:p w14:paraId="1FC6A788">
            <w:pPr>
              <w:spacing w:before="33" w:line="216" w:lineRule="auto"/>
              <w:ind w:left="2077"/>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干部周转房</w:t>
            </w:r>
            <w:r>
              <w:rPr>
                <w:rFonts w:ascii="FangSong_GB2312" w:hAnsi="FangSong_GB2312" w:eastAsia="FangSong_GB2312" w:cs="FangSong_GB2312"/>
                <w:spacing w:val="33"/>
                <w:sz w:val="18"/>
                <w:szCs w:val="18"/>
              </w:rPr>
              <w:t xml:space="preserve"> </w:t>
            </w:r>
            <w:r>
              <w:rPr>
                <w:rFonts w:ascii="Times New Roman" w:hAnsi="Times New Roman" w:eastAsia="Times New Roman" w:cs="Times New Roman"/>
                <w:spacing w:val="-4"/>
                <w:sz w:val="18"/>
                <w:szCs w:val="18"/>
              </w:rPr>
              <w:t xml:space="preserve">1  </w:t>
            </w:r>
            <w:r>
              <w:rPr>
                <w:rFonts w:ascii="FangSong_GB2312" w:hAnsi="FangSong_GB2312" w:eastAsia="FangSong_GB2312" w:cs="FangSong_GB2312"/>
                <w:spacing w:val="-4"/>
                <w:sz w:val="18"/>
                <w:szCs w:val="18"/>
              </w:rPr>
              <w:t>栋（</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9"/>
                <w:sz w:val="18"/>
                <w:szCs w:val="18"/>
              </w:rPr>
              <w:t xml:space="preserve"> </w:t>
            </w:r>
            <w:r>
              <w:rPr>
                <w:rFonts w:ascii="FangSong_GB2312" w:hAnsi="FangSong_GB2312" w:eastAsia="FangSong_GB2312" w:cs="FangSong_GB2312"/>
                <w:spacing w:val="-4"/>
                <w:sz w:val="18"/>
                <w:szCs w:val="18"/>
              </w:rPr>
              <w:t>套）</w:t>
            </w:r>
          </w:p>
        </w:tc>
      </w:tr>
      <w:tr w14:paraId="257C8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42" w:type="dxa"/>
            <w:vMerge w:val="continue"/>
            <w:tcBorders>
              <w:top w:val="nil"/>
              <w:left w:val="single" w:color="000000" w:sz="10" w:space="0"/>
              <w:bottom w:val="nil"/>
            </w:tcBorders>
            <w:vAlign w:val="top"/>
          </w:tcPr>
          <w:p w14:paraId="07EDB7C4">
            <w:pPr>
              <w:rPr>
                <w:rFonts w:ascii="Arial"/>
                <w:sz w:val="21"/>
              </w:rPr>
            </w:pPr>
          </w:p>
        </w:tc>
        <w:tc>
          <w:tcPr>
            <w:tcW w:w="1301" w:type="dxa"/>
            <w:vAlign w:val="top"/>
          </w:tcPr>
          <w:p w14:paraId="0DA026F0">
            <w:pPr>
              <w:spacing w:before="38" w:line="216" w:lineRule="auto"/>
              <w:ind w:left="28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c>
        <w:tc>
          <w:tcPr>
            <w:tcW w:w="6252" w:type="dxa"/>
            <w:tcBorders>
              <w:right w:val="single" w:color="000000" w:sz="10" w:space="0"/>
            </w:tcBorders>
            <w:vAlign w:val="top"/>
          </w:tcPr>
          <w:p w14:paraId="6B5D8861">
            <w:pPr>
              <w:spacing w:before="38" w:line="216" w:lineRule="auto"/>
              <w:ind w:left="276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硬化场地</w:t>
            </w:r>
          </w:p>
        </w:tc>
      </w:tr>
      <w:tr w14:paraId="07CCB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542" w:type="dxa"/>
            <w:vMerge w:val="continue"/>
            <w:tcBorders>
              <w:top w:val="nil"/>
              <w:left w:val="single" w:color="000000" w:sz="10" w:space="0"/>
              <w:bottom w:val="nil"/>
            </w:tcBorders>
            <w:vAlign w:val="top"/>
          </w:tcPr>
          <w:p w14:paraId="08D97C0D">
            <w:pPr>
              <w:rPr>
                <w:rFonts w:ascii="Arial"/>
                <w:sz w:val="21"/>
              </w:rPr>
            </w:pPr>
          </w:p>
        </w:tc>
        <w:tc>
          <w:tcPr>
            <w:tcW w:w="1301" w:type="dxa"/>
            <w:vAlign w:val="top"/>
          </w:tcPr>
          <w:p w14:paraId="610556F2">
            <w:pPr>
              <w:spacing w:before="43" w:line="216" w:lineRule="auto"/>
              <w:ind w:left="29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6252" w:type="dxa"/>
            <w:tcBorders>
              <w:right w:val="single" w:color="000000" w:sz="10" w:space="0"/>
            </w:tcBorders>
            <w:vAlign w:val="top"/>
          </w:tcPr>
          <w:p w14:paraId="39AE155B">
            <w:pPr>
              <w:spacing w:before="43" w:line="214" w:lineRule="auto"/>
              <w:ind w:left="160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主体建筑周围及硬化场地周围绿化区域</w:t>
            </w:r>
          </w:p>
        </w:tc>
      </w:tr>
      <w:tr w14:paraId="78825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542" w:type="dxa"/>
            <w:vMerge w:val="continue"/>
            <w:tcBorders>
              <w:top w:val="nil"/>
              <w:left w:val="single" w:color="000000" w:sz="10" w:space="0"/>
              <w:bottom w:val="single" w:color="000000" w:sz="10" w:space="0"/>
            </w:tcBorders>
            <w:vAlign w:val="top"/>
          </w:tcPr>
          <w:p w14:paraId="487603B7">
            <w:pPr>
              <w:rPr>
                <w:rFonts w:ascii="Arial"/>
                <w:sz w:val="21"/>
              </w:rPr>
            </w:pPr>
          </w:p>
        </w:tc>
        <w:tc>
          <w:tcPr>
            <w:tcW w:w="1301" w:type="dxa"/>
            <w:tcBorders>
              <w:bottom w:val="single" w:color="000000" w:sz="10" w:space="0"/>
            </w:tcBorders>
            <w:vAlign w:val="top"/>
          </w:tcPr>
          <w:p w14:paraId="5F1D133B">
            <w:pPr>
              <w:spacing w:before="48" w:line="216" w:lineRule="auto"/>
              <w:ind w:left="30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附属设施</w:t>
            </w:r>
          </w:p>
        </w:tc>
        <w:tc>
          <w:tcPr>
            <w:tcW w:w="6252" w:type="dxa"/>
            <w:tcBorders>
              <w:bottom w:val="single" w:color="000000" w:sz="10" w:space="0"/>
              <w:right w:val="single" w:color="000000" w:sz="10" w:space="0"/>
            </w:tcBorders>
            <w:vAlign w:val="top"/>
          </w:tcPr>
          <w:p w14:paraId="7B457D86">
            <w:pPr>
              <w:spacing w:before="48" w:line="216" w:lineRule="auto"/>
              <w:ind w:left="191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水电气相关基础设施及设备购置</w:t>
            </w:r>
          </w:p>
        </w:tc>
      </w:tr>
    </w:tbl>
    <w:p w14:paraId="7A25EBB8">
      <w:pPr>
        <w:spacing w:before="37" w:line="214" w:lineRule="auto"/>
        <w:ind w:left="630"/>
        <w:rPr>
          <w:rFonts w:ascii="FangSong_GB2312" w:hAnsi="FangSong_GB2312" w:eastAsia="FangSong_GB2312" w:cs="FangSong_GB2312"/>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8"/>
          <w:sz w:val="24"/>
          <w:szCs w:val="24"/>
        </w:rPr>
        <w:t>、建构筑物工程</w:t>
      </w:r>
    </w:p>
    <w:p w14:paraId="00963B48">
      <w:pPr>
        <w:spacing w:before="188" w:line="359" w:lineRule="auto"/>
        <w:ind w:left="131" w:right="120" w:firstLine="480"/>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本项目建构筑物工程主要包括新建干部周转房</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栋（</w:t>
      </w:r>
      <w:r>
        <w:rPr>
          <w:rFonts w:ascii="Times New Roman" w:hAnsi="Times New Roman" w:eastAsia="Times New Roman" w:cs="Times New Roman"/>
          <w:spacing w:val="-2"/>
          <w:sz w:val="24"/>
          <w:szCs w:val="24"/>
        </w:rPr>
        <w:t xml:space="preserve">38 </w:t>
      </w:r>
      <w:r>
        <w:rPr>
          <w:rFonts w:ascii="FangSong_GB2312" w:hAnsi="FangSong_GB2312" w:eastAsia="FangSong_GB2312" w:cs="FangSong_GB2312"/>
          <w:spacing w:val="-2"/>
          <w:sz w:val="24"/>
          <w:szCs w:val="24"/>
        </w:rPr>
        <w:t>套</w:t>
      </w:r>
      <w:r>
        <w:rPr>
          <w:rFonts w:ascii="FangSong_GB2312" w:hAnsi="FangSong_GB2312" w:eastAsia="FangSong_GB2312" w:cs="FangSong_GB2312"/>
          <w:spacing w:val="-15"/>
          <w:sz w:val="24"/>
          <w:szCs w:val="24"/>
        </w:rPr>
        <w:t>），</w:t>
      </w:r>
      <w:r>
        <w:rPr>
          <w:rFonts w:ascii="FangSong_GB2312" w:hAnsi="FangSong_GB2312" w:eastAsia="FangSong_GB2312" w:cs="FangSong_GB2312"/>
          <w:spacing w:val="-2"/>
          <w:sz w:val="24"/>
          <w:szCs w:val="24"/>
        </w:rPr>
        <w:t>钢筋混凝土框架结</w:t>
      </w:r>
      <w:r>
        <w:rPr>
          <w:rFonts w:ascii="FangSong_GB2312" w:hAnsi="FangSong_GB2312" w:eastAsia="FangSong_GB2312" w:cs="FangSong_GB2312"/>
          <w:spacing w:val="-5"/>
          <w:sz w:val="24"/>
          <w:szCs w:val="24"/>
        </w:rPr>
        <w:t>构。建筑面积</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5"/>
          <w:sz w:val="24"/>
          <w:szCs w:val="24"/>
        </w:rPr>
        <w:t>1330m</w:t>
      </w:r>
      <w:r>
        <w:rPr>
          <w:rFonts w:ascii="Times New Roman" w:hAnsi="Times New Roman" w:eastAsia="Times New Roman" w:cs="Times New Roman"/>
          <w:spacing w:val="-5"/>
          <w:position w:val="8"/>
          <w:sz w:val="15"/>
          <w:szCs w:val="15"/>
        </w:rPr>
        <w:t xml:space="preserve">2 </w:t>
      </w:r>
      <w:r>
        <w:rPr>
          <w:rFonts w:ascii="FangSong_GB2312" w:hAnsi="FangSong_GB2312" w:eastAsia="FangSong_GB2312" w:cs="FangSong_GB2312"/>
          <w:spacing w:val="-5"/>
          <w:sz w:val="24"/>
          <w:szCs w:val="24"/>
        </w:rPr>
        <w:t>，为地上六层建筑（</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5"/>
          <w:sz w:val="24"/>
          <w:szCs w:val="24"/>
        </w:rPr>
        <w:t>至</w:t>
      </w:r>
      <w:r>
        <w:rPr>
          <w:rFonts w:ascii="Times New Roman" w:hAnsi="Times New Roman" w:eastAsia="Times New Roman" w:cs="Times New Roman"/>
          <w:spacing w:val="-5"/>
          <w:sz w:val="24"/>
          <w:szCs w:val="24"/>
        </w:rPr>
        <w:t>5</w:t>
      </w:r>
      <w:r>
        <w:rPr>
          <w:rFonts w:ascii="FangSong_GB2312" w:hAnsi="FangSong_GB2312" w:eastAsia="FangSong_GB2312" w:cs="FangSong_GB2312"/>
          <w:spacing w:val="-5"/>
          <w:sz w:val="24"/>
          <w:szCs w:val="24"/>
        </w:rPr>
        <w:t>层每层</w:t>
      </w:r>
      <w:r>
        <w:rPr>
          <w:rFonts w:ascii="Times New Roman" w:hAnsi="Times New Roman" w:eastAsia="Times New Roman" w:cs="Times New Roman"/>
          <w:spacing w:val="-5"/>
          <w:sz w:val="24"/>
          <w:szCs w:val="24"/>
        </w:rPr>
        <w:t>7</w:t>
      </w:r>
      <w:r>
        <w:rPr>
          <w:rFonts w:ascii="FangSong_GB2312" w:hAnsi="FangSong_GB2312" w:eastAsia="FangSong_GB2312" w:cs="FangSong_GB2312"/>
          <w:spacing w:val="-5"/>
          <w:sz w:val="24"/>
          <w:szCs w:val="24"/>
        </w:rPr>
        <w:t>套、</w:t>
      </w:r>
      <w:r>
        <w:rPr>
          <w:rFonts w:ascii="Times New Roman" w:hAnsi="Times New Roman" w:eastAsia="Times New Roman" w:cs="Times New Roman"/>
          <w:spacing w:val="-5"/>
          <w:sz w:val="24"/>
          <w:szCs w:val="24"/>
        </w:rPr>
        <w:t>6</w:t>
      </w:r>
      <w:r>
        <w:rPr>
          <w:rFonts w:ascii="FangSong_GB2312" w:hAnsi="FangSong_GB2312" w:eastAsia="FangSong_GB2312" w:cs="FangSong_GB2312"/>
          <w:spacing w:val="-5"/>
          <w:sz w:val="24"/>
          <w:szCs w:val="24"/>
        </w:rPr>
        <w:t>层</w:t>
      </w:r>
      <w:r>
        <w:rPr>
          <w:rFonts w:ascii="Times New Roman" w:hAnsi="Times New Roman" w:eastAsia="Times New Roman" w:cs="Times New Roman"/>
          <w:spacing w:val="-5"/>
          <w:sz w:val="24"/>
          <w:szCs w:val="24"/>
        </w:rPr>
        <w:t>3</w:t>
      </w:r>
      <w:r>
        <w:rPr>
          <w:rFonts w:ascii="FangSong_GB2312" w:hAnsi="FangSong_GB2312" w:eastAsia="FangSong_GB2312" w:cs="FangSong_GB2312"/>
          <w:spacing w:val="-5"/>
          <w:sz w:val="24"/>
          <w:szCs w:val="24"/>
        </w:rPr>
        <w:t>套</w:t>
      </w:r>
      <w:r>
        <w:rPr>
          <w:rFonts w:ascii="FangSong_GB2312" w:hAnsi="FangSong_GB2312" w:eastAsia="FangSong_GB2312" w:cs="FangSong_GB2312"/>
          <w:spacing w:val="23"/>
          <w:sz w:val="24"/>
          <w:szCs w:val="24"/>
        </w:rPr>
        <w:t>），</w:t>
      </w:r>
      <w:r>
        <w:rPr>
          <w:rFonts w:ascii="FangSong_GB2312" w:hAnsi="FangSong_GB2312" w:eastAsia="FangSong_GB2312" w:cs="FangSong_GB2312"/>
          <w:spacing w:val="-5"/>
          <w:sz w:val="24"/>
          <w:szCs w:val="24"/>
        </w:rPr>
        <w:t>占地面积总计</w:t>
      </w:r>
      <w:r>
        <w:rPr>
          <w:rFonts w:ascii="Times New Roman" w:hAnsi="Times New Roman" w:eastAsia="Times New Roman" w:cs="Times New Roman"/>
          <w:spacing w:val="-4"/>
          <w:sz w:val="24"/>
          <w:szCs w:val="24"/>
        </w:rPr>
        <w:t>0.03hm</w:t>
      </w:r>
      <w:r>
        <w:rPr>
          <w:rFonts w:ascii="Times New Roman" w:hAnsi="Times New Roman" w:eastAsia="Times New Roman" w:cs="Times New Roman"/>
          <w:spacing w:val="-4"/>
          <w:position w:val="7"/>
          <w:sz w:val="15"/>
          <w:szCs w:val="15"/>
        </w:rPr>
        <w:t xml:space="preserve">2 </w:t>
      </w:r>
      <w:r>
        <w:rPr>
          <w:rFonts w:ascii="FangSong_GB2312" w:hAnsi="FangSong_GB2312" w:eastAsia="FangSong_GB2312" w:cs="FangSong_GB2312"/>
          <w:spacing w:val="-4"/>
          <w:sz w:val="24"/>
          <w:szCs w:val="24"/>
        </w:rPr>
        <w:t>，容积率</w:t>
      </w:r>
      <w:r>
        <w:rPr>
          <w:rFonts w:ascii="FangSong_GB2312" w:hAnsi="FangSong_GB2312" w:eastAsia="FangSong_GB2312" w:cs="FangSong_GB2312"/>
          <w:spacing w:val="-38"/>
          <w:sz w:val="24"/>
          <w:szCs w:val="24"/>
        </w:rPr>
        <w:t xml:space="preserve"> </w:t>
      </w:r>
      <w:r>
        <w:rPr>
          <w:rFonts w:ascii="Times New Roman" w:hAnsi="Times New Roman" w:eastAsia="Times New Roman" w:cs="Times New Roman"/>
          <w:spacing w:val="-4"/>
          <w:sz w:val="24"/>
          <w:szCs w:val="24"/>
        </w:rPr>
        <w:t>2.70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4"/>
          <w:sz w:val="24"/>
          <w:szCs w:val="24"/>
        </w:rPr>
        <w:t>，建筑密度</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4"/>
          <w:sz w:val="24"/>
          <w:szCs w:val="24"/>
        </w:rPr>
        <w:t>53.40%</w:t>
      </w:r>
      <w:r>
        <w:rPr>
          <w:rFonts w:ascii="FangSong_GB2312" w:hAnsi="FangSong_GB2312" w:eastAsia="FangSong_GB2312" w:cs="FangSong_GB2312"/>
          <w:spacing w:val="-4"/>
          <w:sz w:val="24"/>
          <w:szCs w:val="24"/>
        </w:rPr>
        <w:t>。</w:t>
      </w:r>
    </w:p>
    <w:p w14:paraId="084FE22D">
      <w:pPr>
        <w:spacing w:before="1" w:line="216" w:lineRule="auto"/>
        <w:ind w:left="607"/>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、硬化工程</w:t>
      </w:r>
    </w:p>
    <w:p w14:paraId="722F7F4D">
      <w:pPr>
        <w:spacing w:before="186" w:line="214" w:lineRule="auto"/>
        <w:ind w:left="612"/>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本项目硬化工程主要包括硬化场地，面积总计</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z w:val="24"/>
          <w:szCs w:val="24"/>
        </w:rPr>
        <w:t>0.01hm</w:t>
      </w:r>
      <w:r>
        <w:rPr>
          <w:rFonts w:ascii="Times New Roman" w:hAnsi="Times New Roman" w:eastAsia="Times New Roman" w:cs="Times New Roman"/>
          <w:position w:val="8"/>
          <w:sz w:val="15"/>
          <w:szCs w:val="15"/>
        </w:rPr>
        <w:t xml:space="preserve">2 </w:t>
      </w:r>
      <w:r>
        <w:rPr>
          <w:rFonts w:ascii="FangSong_GB2312" w:hAnsi="FangSong_GB2312" w:eastAsia="FangSong_GB2312" w:cs="FangSong_GB2312"/>
          <w:sz w:val="24"/>
          <w:szCs w:val="24"/>
        </w:rPr>
        <w:t>，均采用</w:t>
      </w:r>
      <w:r>
        <w:rPr>
          <w:rFonts w:ascii="Times New Roman" w:hAnsi="Times New Roman" w:eastAsia="Times New Roman" w:cs="Times New Roman"/>
          <w:sz w:val="24"/>
          <w:szCs w:val="24"/>
        </w:rPr>
        <w:t xml:space="preserve">C25 </w:t>
      </w:r>
      <w:r>
        <w:rPr>
          <w:rFonts w:ascii="FangSong_GB2312" w:hAnsi="FangSong_GB2312" w:eastAsia="FangSong_GB2312" w:cs="FangSong_GB2312"/>
          <w:sz w:val="24"/>
          <w:szCs w:val="24"/>
        </w:rPr>
        <w:t>砼面层。</w:t>
      </w:r>
    </w:p>
    <w:p w14:paraId="0B9FDEF0">
      <w:pPr>
        <w:spacing w:before="189" w:line="216" w:lineRule="auto"/>
        <w:ind w:left="612"/>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7"/>
          <w:sz w:val="24"/>
          <w:szCs w:val="24"/>
        </w:rPr>
        <w:t>、绿化工程</w:t>
      </w:r>
    </w:p>
    <w:p w14:paraId="1DD7C7FF">
      <w:pPr>
        <w:spacing w:before="187" w:line="359" w:lineRule="auto"/>
        <w:ind w:left="131" w:right="49" w:firstLine="480"/>
        <w:rPr>
          <w:rFonts w:ascii="FangSong_GB2312" w:hAnsi="FangSong_GB2312" w:eastAsia="FangSong_GB2312" w:cs="FangSong_GB2312"/>
          <w:sz w:val="24"/>
          <w:szCs w:val="24"/>
        </w:rPr>
      </w:pPr>
      <w:r>
        <w:rPr>
          <w:rFonts w:ascii="FangSong_GB2312" w:hAnsi="FangSong_GB2312" w:eastAsia="FangSong_GB2312" w:cs="FangSong_GB2312"/>
          <w:spacing w:val="18"/>
          <w:sz w:val="24"/>
          <w:szCs w:val="24"/>
        </w:rPr>
        <w:t>本项</w:t>
      </w:r>
      <w:r>
        <w:rPr>
          <w:rFonts w:ascii="FangSong_GB2312" w:hAnsi="FangSong_GB2312" w:eastAsia="FangSong_GB2312" w:cs="FangSong_GB2312"/>
          <w:spacing w:val="-44"/>
          <w:sz w:val="24"/>
          <w:szCs w:val="24"/>
        </w:rPr>
        <w:t xml:space="preserve"> </w:t>
      </w:r>
      <w:r>
        <w:rPr>
          <w:rFonts w:ascii="FangSong_GB2312" w:hAnsi="FangSong_GB2312" w:eastAsia="FangSong_GB2312" w:cs="FangSong_GB2312"/>
          <w:spacing w:val="18"/>
          <w:sz w:val="24"/>
          <w:szCs w:val="24"/>
        </w:rPr>
        <w:t>目绿化工程主要布置在主体建筑周围及硬化场地周围</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18"/>
          <w:sz w:val="24"/>
          <w:szCs w:val="24"/>
        </w:rPr>
        <w:t>，绿化面积总计</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，对项目区进行灌草绿化，树种选用大叶黄杨等（</w:t>
      </w:r>
      <w:r>
        <w:rPr>
          <w:rFonts w:ascii="Times New Roman" w:hAnsi="Times New Roman" w:eastAsia="Times New Roman" w:cs="Times New Roman"/>
          <w:spacing w:val="-3"/>
          <w:sz w:val="24"/>
          <w:szCs w:val="24"/>
        </w:rPr>
        <w:t xml:space="preserve">12 </w:t>
      </w:r>
      <w:r>
        <w:rPr>
          <w:rFonts w:ascii="FangSong_GB2312" w:hAnsi="FangSong_GB2312" w:eastAsia="FangSong_GB2312" w:cs="FangSong_GB2312"/>
          <w:spacing w:val="-3"/>
          <w:sz w:val="24"/>
          <w:szCs w:val="24"/>
        </w:rPr>
        <w:t>株</w:t>
      </w:r>
      <w:r>
        <w:rPr>
          <w:rFonts w:ascii="FangSong_GB2312" w:hAnsi="FangSong_GB2312" w:eastAsia="FangSong_GB2312" w:cs="FangSong_GB2312"/>
          <w:spacing w:val="2"/>
          <w:sz w:val="24"/>
          <w:szCs w:val="24"/>
        </w:rPr>
        <w:t>），</w:t>
      </w:r>
      <w:r>
        <w:rPr>
          <w:rFonts w:ascii="FangSong_GB2312" w:hAnsi="FangSong_GB2312" w:eastAsia="FangSong_GB2312" w:cs="FangSong_GB2312"/>
          <w:spacing w:val="-3"/>
          <w:sz w:val="24"/>
          <w:szCs w:val="24"/>
        </w:rPr>
        <w:t>草种采用黑麦草、</w:t>
      </w:r>
      <w:r>
        <w:rPr>
          <w:rFonts w:ascii="FangSong_GB2312" w:hAnsi="FangSong_GB2312" w:eastAsia="FangSong_GB2312" w:cs="FangSong_GB2312"/>
          <w:spacing w:val="-1"/>
          <w:sz w:val="24"/>
          <w:szCs w:val="24"/>
        </w:rPr>
        <w:t>高羊茅（</w:t>
      </w:r>
      <w:r>
        <w:rPr>
          <w:rFonts w:ascii="Times New Roman" w:hAnsi="Times New Roman" w:eastAsia="Times New Roman" w:cs="Times New Roman"/>
          <w:spacing w:val="-1"/>
          <w:sz w:val="24"/>
          <w:szCs w:val="24"/>
        </w:rPr>
        <w:t>100kg/hm</w:t>
      </w:r>
      <w:r>
        <w:rPr>
          <w:rFonts w:ascii="Times New Roman" w:hAnsi="Times New Roman" w:eastAsia="Times New Roman" w:cs="Times New Roman"/>
          <w:spacing w:val="-1"/>
          <w:position w:val="7"/>
          <w:sz w:val="15"/>
          <w:szCs w:val="15"/>
        </w:rPr>
        <w:t>2</w:t>
      </w:r>
      <w:r>
        <w:rPr>
          <w:rFonts w:ascii="FangSong_GB2312" w:hAnsi="FangSong_GB2312" w:eastAsia="FangSong_GB2312" w:cs="FangSong_GB2312"/>
          <w:spacing w:val="-1"/>
          <w:sz w:val="24"/>
          <w:szCs w:val="24"/>
        </w:rPr>
        <w:t>）等。</w:t>
      </w:r>
    </w:p>
    <w:p w14:paraId="01200D95">
      <w:pPr>
        <w:spacing w:line="216" w:lineRule="auto"/>
        <w:ind w:left="606"/>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、附属设施</w:t>
      </w:r>
    </w:p>
    <w:p w14:paraId="21A61E38">
      <w:pPr>
        <w:spacing w:before="186" w:line="214" w:lineRule="auto"/>
        <w:ind w:left="61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本项目附属设施主要包括供电系统、给排水系统及设备购置。</w:t>
      </w:r>
    </w:p>
    <w:p w14:paraId="5DF9949B">
      <w:pPr>
        <w:spacing w:before="188" w:line="214" w:lineRule="auto"/>
        <w:ind w:left="60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供电系统：直接接入附近电网供电。</w:t>
      </w:r>
    </w:p>
    <w:p w14:paraId="4495BD89">
      <w:pPr>
        <w:spacing w:before="187" w:line="214" w:lineRule="auto"/>
        <w:ind w:left="62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给排水系统：生活用水由市政管网供给；生产用水采用附近水流，不足部分采用</w:t>
      </w:r>
    </w:p>
    <w:p w14:paraId="47C23AB2">
      <w:pPr>
        <w:pStyle w:val="2"/>
        <w:spacing w:line="314" w:lineRule="auto"/>
      </w:pPr>
    </w:p>
    <w:p w14:paraId="75A30B3B">
      <w:pPr>
        <w:spacing w:before="65" w:line="229" w:lineRule="auto"/>
        <w:ind w:left="5507"/>
        <w:rPr>
          <w:rFonts w:ascii="FangSong_GB2312" w:hAnsi="FangSong_GB2312" w:eastAsia="FangSong_GB2312" w:cs="FangSong_GB2312"/>
          <w:sz w:val="20"/>
          <w:szCs w:val="20"/>
        </w:rPr>
      </w:pPr>
      <w:r>
        <w:pict>
          <v:shape id="_x0000_s1041" o:spid="_x0000_s1041" o:spt="202" type="#_x0000_t202" style="position:absolute;left:0pt;margin-left:223.6pt;margin-top:3pt;height:10.15pt;width:10.05pt;z-index:251699200;mso-width-relative:page;mso-height-relative:page;" filled="f" stroked="f" coordsize="21600,21600">
            <v:path/>
            <v:fill on="f" focussize="0,0"/>
            <v:stroke on="f"/>
            <v:imagedata o:title=""/>
            <o:lock v:ext="edit" aspectratio="f"/>
            <v:textbox inset="0mm,0mm,0mm,0mm">
              <w:txbxContent>
                <w:p w14:paraId="35539B92">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txbxContent>
            </v:textbox>
          </v:shape>
        </w:pict>
      </w:r>
      <w:r>
        <w:rPr>
          <w:rFonts w:ascii="FangSong_GB2312" w:hAnsi="FangSong_GB2312" w:eastAsia="FangSong_GB2312" w:cs="FangSong_GB2312"/>
          <w:spacing w:val="8"/>
          <w:sz w:val="20"/>
          <w:szCs w:val="20"/>
        </w:rPr>
        <w:t>剑阁县绿森林业勘察设计有限公司</w:t>
      </w:r>
    </w:p>
    <w:p w14:paraId="24779DA1">
      <w:pPr>
        <w:spacing w:line="229" w:lineRule="auto"/>
        <w:rPr>
          <w:rFonts w:ascii="FangSong_GB2312" w:hAnsi="FangSong_GB2312" w:eastAsia="FangSong_GB2312" w:cs="FangSong_GB2312"/>
          <w:sz w:val="20"/>
          <w:szCs w:val="20"/>
        </w:rPr>
        <w:sectPr>
          <w:headerReference r:id="rId34" w:type="default"/>
          <w:pgSz w:w="11906" w:h="16839"/>
          <w:pgMar w:top="1164" w:right="1393" w:bottom="400" w:left="1391" w:header="831" w:footer="0" w:gutter="0"/>
          <w:cols w:space="720" w:num="1"/>
        </w:sectPr>
      </w:pPr>
    </w:p>
    <w:p w14:paraId="34A0D2F7">
      <w:pPr>
        <w:spacing w:before="197" w:line="358" w:lineRule="auto"/>
        <w:ind w:left="8" w:right="60" w:firstLine="1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生活用水水源。排水系统采用雨污分流，排水通过施工建设的排水系统可排出项目区</w:t>
      </w:r>
      <w:r>
        <w:rPr>
          <w:rFonts w:ascii="FangSong_GB2312" w:hAnsi="FangSong_GB2312" w:eastAsia="FangSong_GB2312" w:cs="FangSong_GB2312"/>
          <w:sz w:val="24"/>
          <w:szCs w:val="24"/>
        </w:rPr>
        <w:t>水流。据统计，场地内设置盖板排水沟</w:t>
      </w:r>
      <w:r>
        <w:rPr>
          <w:rFonts w:ascii="FangSong_GB2312" w:hAnsi="FangSong_GB2312" w:eastAsia="FangSong_GB2312" w:cs="FangSong_GB2312"/>
          <w:spacing w:val="-39"/>
          <w:sz w:val="24"/>
          <w:szCs w:val="24"/>
        </w:rPr>
        <w:t xml:space="preserve"> </w:t>
      </w:r>
      <w:r>
        <w:rPr>
          <w:rFonts w:ascii="Times New Roman" w:hAnsi="Times New Roman" w:eastAsia="Times New Roman" w:cs="Times New Roman"/>
          <w:sz w:val="24"/>
          <w:szCs w:val="24"/>
        </w:rPr>
        <w:t>80m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z w:val="24"/>
          <w:szCs w:val="24"/>
        </w:rPr>
        <w:t>、雨水井</w:t>
      </w:r>
      <w:r>
        <w:rPr>
          <w:rFonts w:ascii="Times New Roman" w:hAnsi="Times New Roman" w:eastAsia="Times New Roman" w:cs="Times New Roman"/>
          <w:sz w:val="24"/>
          <w:szCs w:val="24"/>
        </w:rPr>
        <w:t xml:space="preserve">6 </w:t>
      </w:r>
      <w:r>
        <w:rPr>
          <w:rFonts w:ascii="FangSong_GB2312" w:hAnsi="FangSong_GB2312" w:eastAsia="FangSong_GB2312" w:cs="FangSong_GB2312"/>
          <w:sz w:val="24"/>
          <w:szCs w:val="24"/>
        </w:rPr>
        <w:t>座。</w:t>
      </w:r>
    </w:p>
    <w:p w14:paraId="0D3DF5CF">
      <w:pPr>
        <w:spacing w:before="2" w:line="214"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设备购置主要包括床、衣柜、桌椅等生活用具。</w:t>
      </w:r>
    </w:p>
    <w:p w14:paraId="720429B9">
      <w:pPr>
        <w:pStyle w:val="2"/>
        <w:spacing w:line="358" w:lineRule="auto"/>
      </w:pPr>
    </w:p>
    <w:p w14:paraId="48576308">
      <w:pPr>
        <w:spacing w:before="98" w:line="222" w:lineRule="auto"/>
        <w:ind w:left="7"/>
        <w:outlineLvl w:val="1"/>
        <w:rPr>
          <w:rFonts w:ascii="FangSong_GB2312" w:hAnsi="FangSong_GB2312" w:eastAsia="FangSong_GB2312" w:cs="FangSong_GB2312"/>
          <w:sz w:val="30"/>
          <w:szCs w:val="30"/>
        </w:rPr>
      </w:pPr>
      <w:bookmarkStart w:id="41" w:name="bookmark31"/>
      <w:bookmarkEnd w:id="41"/>
      <w:bookmarkStart w:id="42" w:name="bookmark30"/>
      <w:bookmarkEnd w:id="42"/>
      <w:r>
        <w:rPr>
          <w:rFonts w:ascii="Times New Roman" w:hAnsi="Times New Roman" w:eastAsia="Times New Roman" w:cs="Times New Roman"/>
          <w:b/>
          <w:bCs/>
          <w:spacing w:val="-3"/>
          <w:sz w:val="30"/>
          <w:szCs w:val="30"/>
        </w:rPr>
        <w:t xml:space="preserve">2.2 </w:t>
      </w:r>
      <w:r>
        <w:rPr>
          <w:rFonts w:ascii="FangSong_GB2312" w:hAnsi="FangSong_GB2312" w:eastAsia="FangSong_GB2312" w:cs="FangSong_GB2312"/>
          <w:b/>
          <w:bCs/>
          <w:spacing w:val="-3"/>
          <w:sz w:val="30"/>
          <w:szCs w:val="30"/>
        </w:rPr>
        <w:t>施工组织</w:t>
      </w:r>
    </w:p>
    <w:p w14:paraId="7335D1B8">
      <w:pPr>
        <w:pStyle w:val="2"/>
        <w:spacing w:line="337" w:lineRule="auto"/>
      </w:pPr>
    </w:p>
    <w:p w14:paraId="41FA4A09">
      <w:pPr>
        <w:spacing w:before="91" w:line="214"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2.2.1 </w:t>
      </w:r>
      <w:r>
        <w:rPr>
          <w:rFonts w:ascii="FangSong_GB2312" w:hAnsi="FangSong_GB2312" w:eastAsia="FangSong_GB2312" w:cs="FangSong_GB2312"/>
          <w:b/>
          <w:bCs/>
          <w:spacing w:val="-2"/>
          <w:sz w:val="28"/>
          <w:szCs w:val="28"/>
        </w:rPr>
        <w:t>施工条件</w:t>
      </w:r>
    </w:p>
    <w:p w14:paraId="57BCBEAA">
      <w:pPr>
        <w:spacing w:before="214" w:line="216"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3"/>
          <w:sz w:val="24"/>
          <w:szCs w:val="24"/>
        </w:rPr>
        <w:t>、供电：项目区施工用电接周边电网供电。</w:t>
      </w:r>
    </w:p>
    <w:p w14:paraId="3BE8512D">
      <w:pPr>
        <w:spacing w:before="184" w:line="289" w:lineRule="auto"/>
        <w:ind w:left="9" w:right="60" w:firstLine="47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1"/>
          <w:sz w:val="24"/>
          <w:szCs w:val="24"/>
        </w:rPr>
        <w:t>、供水：项</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1"/>
          <w:sz w:val="24"/>
          <w:szCs w:val="24"/>
        </w:rPr>
        <w:t>目区生活用水由市政管网供给，生产用水采</w:t>
      </w:r>
      <w:r>
        <w:rPr>
          <w:rFonts w:ascii="FangSong_GB2312" w:hAnsi="FangSong_GB2312" w:eastAsia="FangSong_GB2312" w:cs="FangSong_GB2312"/>
          <w:sz w:val="24"/>
          <w:szCs w:val="24"/>
        </w:rPr>
        <w:t>用附近水流，不足部分</w:t>
      </w:r>
      <w:r>
        <w:rPr>
          <w:rFonts w:ascii="FangSong_GB2312" w:hAnsi="FangSong_GB2312" w:eastAsia="FangSong_GB2312" w:cs="FangSong_GB2312"/>
          <w:spacing w:val="-2"/>
          <w:sz w:val="24"/>
          <w:szCs w:val="24"/>
        </w:rPr>
        <w:t>采用生活用水水源。</w:t>
      </w:r>
    </w:p>
    <w:p w14:paraId="35089700">
      <w:pPr>
        <w:spacing w:before="185" w:line="215"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5"/>
          <w:sz w:val="24"/>
          <w:szCs w:val="24"/>
        </w:rPr>
        <w:t>、施工道路：</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5"/>
          <w:sz w:val="24"/>
          <w:szCs w:val="24"/>
        </w:rPr>
        <w:t>已有硬化道路连接至项目区。</w:t>
      </w:r>
    </w:p>
    <w:p w14:paraId="09CDB7AC">
      <w:pPr>
        <w:spacing w:before="185" w:line="311" w:lineRule="auto"/>
        <w:ind w:left="11" w:right="60" w:firstLine="472"/>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、施工材料：本项目所需的砖、水泥、砂及其他建筑材料等均从附近材料市场</w:t>
      </w:r>
      <w:r>
        <w:rPr>
          <w:rFonts w:ascii="FangSong_GB2312" w:hAnsi="FangSong_GB2312" w:eastAsia="FangSong_GB2312" w:cs="FangSong_GB2312"/>
          <w:sz w:val="24"/>
          <w:szCs w:val="24"/>
        </w:rPr>
        <w:t>就近购买，混凝土全部购买商品混凝土，由此产生</w:t>
      </w:r>
      <w:r>
        <w:rPr>
          <w:rFonts w:ascii="FangSong_GB2312" w:hAnsi="FangSong_GB2312" w:eastAsia="FangSong_GB2312" w:cs="FangSong_GB2312"/>
          <w:spacing w:val="-1"/>
          <w:sz w:val="24"/>
          <w:szCs w:val="24"/>
        </w:rPr>
        <w:t>的水土流失由供货商负责，并在购</w:t>
      </w:r>
      <w:r>
        <w:rPr>
          <w:rFonts w:ascii="FangSong_GB2312" w:hAnsi="FangSong_GB2312" w:eastAsia="FangSong_GB2312" w:cs="FangSong_GB2312"/>
          <w:spacing w:val="-2"/>
          <w:sz w:val="24"/>
          <w:szCs w:val="24"/>
        </w:rPr>
        <w:t>买合同中明确。</w:t>
      </w:r>
    </w:p>
    <w:p w14:paraId="030BDB96">
      <w:pPr>
        <w:spacing w:before="197" w:line="216"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2.2.2 </w:t>
      </w:r>
      <w:r>
        <w:rPr>
          <w:rFonts w:ascii="FangSong_GB2312" w:hAnsi="FangSong_GB2312" w:eastAsia="FangSong_GB2312" w:cs="FangSong_GB2312"/>
          <w:b/>
          <w:bCs/>
          <w:spacing w:val="-2"/>
          <w:sz w:val="28"/>
          <w:szCs w:val="28"/>
        </w:rPr>
        <w:t>施工布置</w:t>
      </w:r>
    </w:p>
    <w:p w14:paraId="210E57C4">
      <w:pPr>
        <w:spacing w:before="210" w:line="216" w:lineRule="auto"/>
        <w:ind w:left="501"/>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7"/>
          <w:sz w:val="24"/>
          <w:szCs w:val="24"/>
        </w:rPr>
        <w:t>、施工生产生活区</w:t>
      </w:r>
    </w:p>
    <w:p w14:paraId="6D91599A">
      <w:pPr>
        <w:spacing w:before="187" w:line="359" w:lineRule="auto"/>
        <w:ind w:left="13" w:firstLine="464"/>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本项目施工作业较为简单，施工生产利用红线范围内现有场地灵活安排施工作业，</w:t>
      </w:r>
      <w:r>
        <w:rPr>
          <w:rFonts w:ascii="FangSong_GB2312" w:hAnsi="FangSong_GB2312" w:eastAsia="FangSong_GB2312" w:cs="FangSong_GB2312"/>
          <w:sz w:val="24"/>
          <w:szCs w:val="24"/>
        </w:rPr>
        <w:t>不再单独布设施工生产区；另外本项目附近居</w:t>
      </w:r>
      <w:r>
        <w:rPr>
          <w:rFonts w:ascii="FangSong_GB2312" w:hAnsi="FangSong_GB2312" w:eastAsia="FangSong_GB2312" w:cs="FangSong_GB2312"/>
          <w:spacing w:val="-1"/>
          <w:sz w:val="24"/>
          <w:szCs w:val="24"/>
        </w:rPr>
        <w:t>民分布比较密集，因此施工办公室及住宿采用就近租房，不再单独布设施工生活区。</w:t>
      </w:r>
    </w:p>
    <w:p w14:paraId="458014BF">
      <w:pPr>
        <w:spacing w:before="1" w:line="214" w:lineRule="auto"/>
        <w:ind w:left="478"/>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5"/>
          <w:sz w:val="24"/>
          <w:szCs w:val="24"/>
        </w:rPr>
        <w:t>、临时堆土场</w:t>
      </w:r>
    </w:p>
    <w:p w14:paraId="1EF48CA4">
      <w:pPr>
        <w:spacing w:before="185" w:line="359" w:lineRule="auto"/>
        <w:ind w:left="20" w:right="60" w:firstLine="466"/>
        <w:rPr>
          <w:rFonts w:ascii="FangSong_GB2312" w:hAnsi="FangSong_GB2312" w:eastAsia="FangSong_GB2312" w:cs="FangSong_GB2312"/>
          <w:sz w:val="24"/>
          <w:szCs w:val="24"/>
        </w:rPr>
      </w:pPr>
      <w:r>
        <w:rPr>
          <w:rFonts w:ascii="FangSong_GB2312" w:hAnsi="FangSong_GB2312" w:eastAsia="FangSong_GB2312" w:cs="FangSong_GB2312"/>
          <w:sz w:val="24"/>
          <w:szCs w:val="24"/>
        </w:rPr>
        <w:t>根据现场踏勘，项目剥离表土较少，表土剥离后已及时回</w:t>
      </w:r>
      <w:r>
        <w:rPr>
          <w:rFonts w:ascii="FangSong_GB2312" w:hAnsi="FangSong_GB2312" w:eastAsia="FangSong_GB2312" w:cs="FangSong_GB2312"/>
          <w:spacing w:val="-1"/>
          <w:sz w:val="24"/>
          <w:szCs w:val="24"/>
        </w:rPr>
        <w:t>覆在绿化工程内并进行绿化，临时堆土占地为本项目红线内占地，不新增临时用地。开挖土石方及时回填，</w:t>
      </w:r>
      <w:r>
        <w:rPr>
          <w:rFonts w:ascii="FangSong_GB2312" w:hAnsi="FangSong_GB2312" w:eastAsia="FangSong_GB2312" w:cs="FangSong_GB2312"/>
          <w:spacing w:val="-2"/>
          <w:sz w:val="24"/>
          <w:szCs w:val="24"/>
        </w:rPr>
        <w:t>区内基本场平后，及时对绿化区进行绿化。</w:t>
      </w:r>
    </w:p>
    <w:p w14:paraId="40D21326">
      <w:pPr>
        <w:spacing w:before="8" w:line="221"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2.2.3 </w:t>
      </w:r>
      <w:r>
        <w:rPr>
          <w:rFonts w:ascii="FangSong_GB2312" w:hAnsi="FangSong_GB2312" w:eastAsia="FangSong_GB2312" w:cs="FangSong_GB2312"/>
          <w:b/>
          <w:bCs/>
          <w:spacing w:val="-2"/>
          <w:sz w:val="28"/>
          <w:szCs w:val="28"/>
        </w:rPr>
        <w:t>施工工艺</w:t>
      </w:r>
    </w:p>
    <w:p w14:paraId="301DADA7">
      <w:pPr>
        <w:pStyle w:val="2"/>
        <w:spacing w:line="245" w:lineRule="auto"/>
      </w:pPr>
    </w:p>
    <w:p w14:paraId="36236D52">
      <w:pPr>
        <w:spacing w:before="78" w:line="359" w:lineRule="auto"/>
        <w:ind w:left="27" w:right="60" w:firstLine="46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本项目施工时序为：场地场平</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建构筑物施工</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场地硬化施工</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2"/>
          <w:sz w:val="24"/>
          <w:szCs w:val="24"/>
        </w:rPr>
        <w:t>绿化工程</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9"/>
          <w:sz w:val="24"/>
          <w:szCs w:val="24"/>
        </w:rPr>
        <w:t xml:space="preserve"> </w:t>
      </w:r>
      <w:r>
        <w:rPr>
          <w:rFonts w:ascii="FangSong_GB2312" w:hAnsi="FangSong_GB2312" w:eastAsia="FangSong_GB2312" w:cs="FangSong_GB2312"/>
          <w:spacing w:val="-2"/>
          <w:sz w:val="24"/>
          <w:szCs w:val="24"/>
        </w:rPr>
        <w:t>清理收尾。与水土保持相关的施工工艺主要包括：</w:t>
      </w:r>
    </w:p>
    <w:p w14:paraId="721CB0FA">
      <w:pPr>
        <w:spacing w:before="1" w:line="216"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0"/>
          <w:sz w:val="24"/>
          <w:szCs w:val="24"/>
        </w:rPr>
        <w:t>、表土施工</w:t>
      </w:r>
    </w:p>
    <w:p w14:paraId="223DE3D1">
      <w:pPr>
        <w:spacing w:before="183" w:line="359" w:lineRule="auto"/>
        <w:ind w:left="7" w:right="60" w:firstLine="468"/>
        <w:rPr>
          <w:rFonts w:ascii="FangSong_GB2312" w:hAnsi="FangSong_GB2312" w:eastAsia="FangSong_GB2312" w:cs="FangSong_GB2312"/>
          <w:sz w:val="24"/>
          <w:szCs w:val="24"/>
        </w:rPr>
      </w:pPr>
      <w:r>
        <w:rPr>
          <w:rFonts w:ascii="FangSong_GB2312" w:hAnsi="FangSong_GB2312" w:eastAsia="FangSong_GB2312" w:cs="FangSong_GB2312"/>
          <w:sz w:val="24"/>
          <w:szCs w:val="24"/>
        </w:rPr>
        <w:t>表土剥离采用机械与人工相结合的剥离方式，首先对地表植被进行清除，然后采</w:t>
      </w:r>
      <w:r>
        <w:rPr>
          <w:rFonts w:ascii="FangSong_GB2312" w:hAnsi="FangSong_GB2312" w:eastAsia="FangSong_GB2312" w:cs="FangSong_GB2312"/>
          <w:spacing w:val="-2"/>
          <w:sz w:val="24"/>
          <w:szCs w:val="24"/>
        </w:rPr>
        <w:t>用推土机结合挖掘机或采用人工铲除的方式，借鉴</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条带表</w:t>
      </w:r>
      <w:r>
        <w:rPr>
          <w:rFonts w:ascii="FangSong_GB2312" w:hAnsi="FangSong_GB2312" w:eastAsia="FangSong_GB2312" w:cs="FangSong_GB2312"/>
          <w:spacing w:val="-3"/>
          <w:sz w:val="24"/>
          <w:szCs w:val="24"/>
        </w:rPr>
        <w:t>土外移剥离法</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梯田模式表土剥离法</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等表土剥离工艺进行表土剥离后紧接下道工序，减少地表裸露时</w:t>
      </w:r>
      <w:r>
        <w:rPr>
          <w:rFonts w:ascii="FangSong_GB2312" w:hAnsi="FangSong_GB2312" w:eastAsia="FangSong_GB2312" w:cs="FangSong_GB2312"/>
          <w:spacing w:val="-4"/>
          <w:sz w:val="24"/>
          <w:szCs w:val="24"/>
        </w:rPr>
        <w:t>间，剥离</w:t>
      </w:r>
    </w:p>
    <w:p w14:paraId="2A6DB08D">
      <w:pPr>
        <w:spacing w:before="232" w:line="229" w:lineRule="auto"/>
        <w:ind w:left="5384"/>
        <w:rPr>
          <w:rFonts w:ascii="FangSong_GB2312" w:hAnsi="FangSong_GB2312" w:eastAsia="FangSong_GB2312" w:cs="FangSong_GB2312"/>
          <w:sz w:val="20"/>
          <w:szCs w:val="20"/>
        </w:rPr>
      </w:pPr>
      <w:r>
        <w:pict>
          <v:shape id="_x0000_s1042" o:spid="_x0000_s1042" o:spt="202" type="#_x0000_t202" style="position:absolute;left:0pt;margin-left:217.5pt;margin-top:11.3pt;height:10.15pt;width:10.05pt;z-index:251701248;mso-width-relative:page;mso-height-relative:page;" filled="f" stroked="f" coordsize="21600,21600">
            <v:path/>
            <v:fill on="f" focussize="0,0"/>
            <v:stroke on="f"/>
            <v:imagedata o:title=""/>
            <o:lock v:ext="edit" aspectratio="f"/>
            <v:textbox inset="0mm,0mm,0mm,0mm">
              <w:txbxContent>
                <w:p w14:paraId="0B29F50D">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txbxContent>
            </v:textbox>
          </v:shape>
        </w:pict>
      </w:r>
      <w:r>
        <w:rPr>
          <w:rFonts w:ascii="FangSong_GB2312" w:hAnsi="FangSong_GB2312" w:eastAsia="FangSong_GB2312" w:cs="FangSong_GB2312"/>
          <w:spacing w:val="8"/>
          <w:sz w:val="20"/>
          <w:szCs w:val="20"/>
        </w:rPr>
        <w:t>剑阁县绿森林业勘察设计有限公司</w:t>
      </w:r>
    </w:p>
    <w:p w14:paraId="6986ED11">
      <w:pPr>
        <w:spacing w:line="229" w:lineRule="auto"/>
        <w:rPr>
          <w:rFonts w:ascii="FangSong_GB2312" w:hAnsi="FangSong_GB2312" w:eastAsia="FangSong_GB2312" w:cs="FangSong_GB2312"/>
          <w:sz w:val="20"/>
          <w:szCs w:val="20"/>
        </w:rPr>
        <w:sectPr>
          <w:headerReference r:id="rId35" w:type="default"/>
          <w:pgSz w:w="11906" w:h="16839"/>
          <w:pgMar w:top="1164" w:right="1453" w:bottom="400" w:left="1513" w:header="831" w:footer="0" w:gutter="0"/>
          <w:cols w:space="720" w:num="1"/>
        </w:sectPr>
      </w:pPr>
    </w:p>
    <w:p w14:paraId="01F14D8F">
      <w:pPr>
        <w:spacing w:before="197" w:line="359" w:lineRule="auto"/>
        <w:ind w:left="38" w:right="28" w:hanging="1"/>
        <w:jc w:val="both"/>
        <w:rPr>
          <w:rFonts w:ascii="FangSong_GB2312" w:hAnsi="FangSong_GB2312" w:eastAsia="FangSong_GB2312" w:cs="FangSong_GB2312"/>
          <w:sz w:val="24"/>
          <w:szCs w:val="24"/>
        </w:rPr>
      </w:pPr>
      <w:bookmarkStart w:id="43" w:name="bookmark102"/>
      <w:bookmarkEnd w:id="43"/>
      <w:r>
        <w:rPr>
          <w:rFonts w:ascii="FangSong_GB2312" w:hAnsi="FangSong_GB2312" w:eastAsia="FangSong_GB2312" w:cs="FangSong_GB2312"/>
          <w:sz w:val="24"/>
          <w:szCs w:val="24"/>
        </w:rPr>
        <w:t>表土及时运往临时堆土场，同时对剥离表土进行临时苫盖以</w:t>
      </w:r>
      <w:r>
        <w:rPr>
          <w:rFonts w:ascii="FangSong_GB2312" w:hAnsi="FangSong_GB2312" w:eastAsia="FangSong_GB2312" w:cs="FangSong_GB2312"/>
          <w:spacing w:val="-1"/>
          <w:sz w:val="24"/>
          <w:szCs w:val="24"/>
        </w:rPr>
        <w:t>减少降雨冲刷造成的水土</w:t>
      </w:r>
      <w:r>
        <w:rPr>
          <w:rFonts w:ascii="FangSong_GB2312" w:hAnsi="FangSong_GB2312" w:eastAsia="FangSong_GB2312" w:cs="FangSong_GB2312"/>
          <w:sz w:val="24"/>
          <w:szCs w:val="24"/>
        </w:rPr>
        <w:t>流失。后期绿化时，对绿化区域进行表土回覆，表土回</w:t>
      </w:r>
      <w:r>
        <w:rPr>
          <w:rFonts w:ascii="FangSong_GB2312" w:hAnsi="FangSong_GB2312" w:eastAsia="FangSong_GB2312" w:cs="FangSong_GB2312"/>
          <w:spacing w:val="-1"/>
          <w:sz w:val="24"/>
          <w:szCs w:val="24"/>
        </w:rPr>
        <w:t>覆均匀平铺，并及时进行绿化措施的实施以减少水土流失。</w:t>
      </w:r>
    </w:p>
    <w:p w14:paraId="4235FDBD">
      <w:pPr>
        <w:spacing w:before="1" w:line="216" w:lineRule="auto"/>
        <w:ind w:left="502"/>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5"/>
          <w:sz w:val="24"/>
          <w:szCs w:val="24"/>
        </w:rPr>
        <w:t>、土石方开挖</w:t>
      </w:r>
    </w:p>
    <w:p w14:paraId="013BC991">
      <w:pPr>
        <w:spacing w:before="185" w:line="359" w:lineRule="auto"/>
        <w:ind w:left="39" w:right="28" w:firstLine="470"/>
        <w:rPr>
          <w:rFonts w:ascii="FangSong_GB2312" w:hAnsi="FangSong_GB2312" w:eastAsia="FangSong_GB2312" w:cs="FangSong_GB2312"/>
          <w:sz w:val="24"/>
          <w:szCs w:val="24"/>
        </w:rPr>
      </w:pPr>
      <w:r>
        <w:rPr>
          <w:rFonts w:ascii="FangSong_GB2312" w:hAnsi="FangSong_GB2312" w:eastAsia="FangSong_GB2312" w:cs="FangSong_GB2312"/>
          <w:sz w:val="24"/>
          <w:szCs w:val="24"/>
        </w:rPr>
        <w:t>土方开挖：采用</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z w:val="24"/>
          <w:szCs w:val="24"/>
        </w:rPr>
        <w:t>0.6</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1.0m3</w:t>
      </w:r>
      <w:r>
        <w:rPr>
          <w:rFonts w:ascii="FangSong_GB2312" w:hAnsi="FangSong_GB2312" w:eastAsia="FangSong_GB2312" w:cs="FangSong_GB2312"/>
          <w:sz w:val="24"/>
          <w:szCs w:val="24"/>
        </w:rPr>
        <w:t>挖掘机</w:t>
      </w:r>
      <w:r>
        <w:rPr>
          <w:rFonts w:ascii="FangSong_GB2312" w:hAnsi="FangSong_GB2312" w:eastAsia="FangSong_GB2312" w:cs="FangSong_GB2312"/>
          <w:spacing w:val="-1"/>
          <w:sz w:val="24"/>
          <w:szCs w:val="24"/>
        </w:rPr>
        <w:t>辅以人工开挖，就近堆放在工作面附近作为回</w:t>
      </w:r>
      <w:r>
        <w:rPr>
          <w:rFonts w:ascii="FangSong_GB2312" w:hAnsi="FangSong_GB2312" w:eastAsia="FangSong_GB2312" w:cs="FangSong_GB2312"/>
          <w:sz w:val="24"/>
          <w:szCs w:val="24"/>
        </w:rPr>
        <w:t>填施工土料。对开挖区域开挖至设计高程即可，再</w:t>
      </w:r>
      <w:r>
        <w:rPr>
          <w:rFonts w:ascii="FangSong_GB2312" w:hAnsi="FangSong_GB2312" w:eastAsia="FangSong_GB2312" w:cs="FangSong_GB2312"/>
          <w:spacing w:val="-1"/>
          <w:sz w:val="24"/>
          <w:szCs w:val="24"/>
        </w:rPr>
        <w:t>采用人工进行局部修整。</w:t>
      </w:r>
    </w:p>
    <w:p w14:paraId="22A00603">
      <w:pPr>
        <w:spacing w:before="1" w:line="359" w:lineRule="auto"/>
        <w:ind w:left="42" w:right="30" w:firstLine="474"/>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石方开挖：采用液压岩石破碎机破碎岩石，采用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1m3</w:t>
      </w:r>
      <w:r>
        <w:rPr>
          <w:rFonts w:ascii="FangSong_GB2312" w:hAnsi="FangSong_GB2312" w:eastAsia="FangSong_GB2312" w:cs="FangSong_GB2312"/>
          <w:spacing w:val="-2"/>
          <w:sz w:val="24"/>
          <w:szCs w:val="24"/>
        </w:rPr>
        <w:t>单斗液压挖掘机开挖，就近</w:t>
      </w:r>
      <w:r>
        <w:rPr>
          <w:rFonts w:ascii="FangSong_GB2312" w:hAnsi="FangSong_GB2312" w:eastAsia="FangSong_GB2312" w:cs="FangSong_GB2312"/>
          <w:sz w:val="24"/>
          <w:szCs w:val="24"/>
        </w:rPr>
        <w:t>堆存。开挖过程中应注意防止杂填土或其他杂物</w:t>
      </w:r>
      <w:r>
        <w:rPr>
          <w:rFonts w:ascii="FangSong_GB2312" w:hAnsi="FangSong_GB2312" w:eastAsia="FangSong_GB2312" w:cs="FangSong_GB2312"/>
          <w:spacing w:val="-1"/>
          <w:sz w:val="24"/>
          <w:szCs w:val="24"/>
        </w:rPr>
        <w:t>混杂，待石渣填筑时将其利用。</w:t>
      </w:r>
    </w:p>
    <w:p w14:paraId="4C92D6F3">
      <w:pPr>
        <w:spacing w:line="216" w:lineRule="auto"/>
        <w:ind w:left="507"/>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、土石方回填</w:t>
      </w:r>
    </w:p>
    <w:p w14:paraId="3BA069D0">
      <w:pPr>
        <w:spacing w:before="185" w:line="214" w:lineRule="auto"/>
        <w:ind w:right="38"/>
        <w:jc w:val="right"/>
        <w:rPr>
          <w:rFonts w:ascii="FangSong_GB2312" w:hAnsi="FangSong_GB2312" w:eastAsia="FangSong_GB2312" w:cs="FangSong_GB2312"/>
          <w:sz w:val="24"/>
          <w:szCs w:val="24"/>
        </w:rPr>
      </w:pPr>
      <w:r>
        <w:rPr>
          <w:rFonts w:ascii="FangSong_GB2312" w:hAnsi="FangSong_GB2312" w:eastAsia="FangSong_GB2312" w:cs="FangSong_GB2312"/>
          <w:sz w:val="24"/>
          <w:szCs w:val="24"/>
        </w:rPr>
        <w:t>土石方回填前，应先清除范围内需清除的表层覆</w:t>
      </w:r>
      <w:r>
        <w:rPr>
          <w:rFonts w:ascii="FangSong_GB2312" w:hAnsi="FangSong_GB2312" w:eastAsia="FangSong_GB2312" w:cs="FangSong_GB2312"/>
          <w:spacing w:val="-1"/>
          <w:sz w:val="24"/>
          <w:szCs w:val="24"/>
        </w:rPr>
        <w:t>盖土，再回填土石方碾压密实。</w:t>
      </w:r>
    </w:p>
    <w:p w14:paraId="7F91364A">
      <w:pPr>
        <w:spacing w:before="188" w:line="215" w:lineRule="auto"/>
        <w:ind w:left="501"/>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、场地平整</w:t>
      </w:r>
    </w:p>
    <w:p w14:paraId="32662F5B">
      <w:pPr>
        <w:spacing w:before="188" w:line="359" w:lineRule="auto"/>
        <w:ind w:left="41" w:right="28" w:firstLine="465"/>
        <w:rPr>
          <w:rFonts w:ascii="FangSong_GB2312" w:hAnsi="FangSong_GB2312" w:eastAsia="FangSong_GB2312" w:cs="FangSong_GB2312"/>
          <w:sz w:val="24"/>
          <w:szCs w:val="24"/>
        </w:rPr>
      </w:pPr>
      <w:r>
        <w:rPr>
          <w:rFonts w:ascii="FangSong_GB2312" w:hAnsi="FangSong_GB2312" w:eastAsia="FangSong_GB2312" w:cs="FangSong_GB2312"/>
          <w:sz w:val="24"/>
          <w:szCs w:val="24"/>
        </w:rPr>
        <w:t>场地平场合理安排平整时间和工序，采取半挖半填、移挖作填形式，挖方及时运至填方区回填，回填遵循</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先挡后填</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的原则，填方区进行压实处理。平场施工采用推</w:t>
      </w:r>
      <w:r>
        <w:rPr>
          <w:rFonts w:ascii="FangSong_GB2312" w:hAnsi="FangSong_GB2312" w:eastAsia="FangSong_GB2312" w:cs="FangSong_GB2312"/>
          <w:spacing w:val="-2"/>
          <w:sz w:val="24"/>
          <w:szCs w:val="24"/>
        </w:rPr>
        <w:t>土机推土，挖掘机挖装，</w:t>
      </w:r>
      <w:r>
        <w:rPr>
          <w:rFonts w:ascii="FangSong_GB2312" w:hAnsi="FangSong_GB2312" w:eastAsia="FangSong_GB2312" w:cs="FangSong_GB2312"/>
          <w:spacing w:val="-61"/>
          <w:sz w:val="24"/>
          <w:szCs w:val="24"/>
        </w:rPr>
        <w:t xml:space="preserve"> </w:t>
      </w:r>
      <w:r>
        <w:rPr>
          <w:rFonts w:ascii="FangSong_GB2312" w:hAnsi="FangSong_GB2312" w:eastAsia="FangSong_GB2312" w:cs="FangSong_GB2312"/>
          <w:spacing w:val="-2"/>
          <w:sz w:val="24"/>
          <w:szCs w:val="24"/>
        </w:rPr>
        <w:t>自卸汽车运输；回填采用机械和人工相结合的施工方法，由挖掘机装土，</w:t>
      </w:r>
      <w:r>
        <w:rPr>
          <w:rFonts w:ascii="FangSong_GB2312" w:hAnsi="FangSong_GB2312" w:eastAsia="FangSong_GB2312" w:cs="FangSong_GB2312"/>
          <w:spacing w:val="-61"/>
          <w:sz w:val="24"/>
          <w:szCs w:val="24"/>
        </w:rPr>
        <w:t xml:space="preserve"> </w:t>
      </w:r>
      <w:r>
        <w:rPr>
          <w:rFonts w:ascii="FangSong_GB2312" w:hAnsi="FangSong_GB2312" w:eastAsia="FangSong_GB2312" w:cs="FangSong_GB2312"/>
          <w:spacing w:val="-2"/>
          <w:sz w:val="24"/>
          <w:szCs w:val="24"/>
        </w:rPr>
        <w:t>自卸汽车运土，推土机铺土、摊平，用振动碾压机碾压，边缘压实辅以人工和电动冲击夯实。</w:t>
      </w:r>
    </w:p>
    <w:p w14:paraId="5D1054C0">
      <w:pPr>
        <w:spacing w:before="2" w:line="214" w:lineRule="auto"/>
        <w:ind w:left="509"/>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7"/>
          <w:sz w:val="24"/>
          <w:szCs w:val="24"/>
        </w:rPr>
        <w:t>、管沟挖填</w:t>
      </w:r>
    </w:p>
    <w:p w14:paraId="3E72C72D">
      <w:pPr>
        <w:spacing w:before="189" w:line="359" w:lineRule="auto"/>
        <w:ind w:left="39" w:right="28" w:firstLine="468"/>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本项目管线等基础设施均埋于地下，管线工程全部采用开槽施工。槽开挖采用人</w:t>
      </w:r>
      <w:r>
        <w:rPr>
          <w:rFonts w:ascii="FangSong_GB2312" w:hAnsi="FangSong_GB2312" w:eastAsia="FangSong_GB2312" w:cs="FangSong_GB2312"/>
          <w:spacing w:val="-1"/>
          <w:sz w:val="24"/>
          <w:szCs w:val="24"/>
        </w:rPr>
        <w:t>工辅以小型机械进行施工，开挖控制设计开挖线，沟槽开挖预留</w:t>
      </w:r>
      <w:r>
        <w:rPr>
          <w:rFonts w:ascii="FangSong_GB2312" w:hAnsi="FangSong_GB2312" w:eastAsia="FangSong_GB2312" w:cs="FangSong_GB2312"/>
          <w:spacing w:val="-40"/>
          <w:sz w:val="24"/>
          <w:szCs w:val="24"/>
        </w:rPr>
        <w:t xml:space="preserve"> </w:t>
      </w:r>
      <w:r>
        <w:rPr>
          <w:rFonts w:ascii="Times New Roman" w:hAnsi="Times New Roman" w:eastAsia="Times New Roman" w:cs="Times New Roman"/>
          <w:spacing w:val="-1"/>
          <w:sz w:val="24"/>
          <w:szCs w:val="24"/>
        </w:rPr>
        <w:t xml:space="preserve">0.20m </w:t>
      </w:r>
      <w:r>
        <w:rPr>
          <w:rFonts w:ascii="FangSong_GB2312" w:hAnsi="FangSong_GB2312" w:eastAsia="FangSong_GB2312" w:cs="FangSong_GB2312"/>
          <w:spacing w:val="-1"/>
          <w:sz w:val="24"/>
          <w:szCs w:val="24"/>
        </w:rPr>
        <w:t>左右保护层，</w:t>
      </w:r>
      <w:r>
        <w:rPr>
          <w:rFonts w:ascii="FangSong_GB2312" w:hAnsi="FangSong_GB2312" w:eastAsia="FangSong_GB2312" w:cs="FangSong_GB2312"/>
          <w:sz w:val="24"/>
          <w:szCs w:val="24"/>
        </w:rPr>
        <w:t>用人工清理。管沟开挖出的土方及时苫盖，开挖沟槽夯</w:t>
      </w:r>
      <w:r>
        <w:rPr>
          <w:rFonts w:ascii="FangSong_GB2312" w:hAnsi="FangSong_GB2312" w:eastAsia="FangSong_GB2312" w:cs="FangSong_GB2312"/>
          <w:spacing w:val="-1"/>
          <w:sz w:val="24"/>
          <w:szCs w:val="24"/>
        </w:rPr>
        <w:t>实后进行浇筑或布置管道，管线埋设完毕后及时进行回填，并进行表土回覆及绿化。</w:t>
      </w:r>
    </w:p>
    <w:p w14:paraId="132DAF65">
      <w:pPr>
        <w:spacing w:before="270" w:line="219" w:lineRule="auto"/>
        <w:ind w:left="36"/>
        <w:outlineLvl w:val="1"/>
        <w:rPr>
          <w:rFonts w:ascii="FangSong_GB2312" w:hAnsi="FangSong_GB2312" w:eastAsia="FangSong_GB2312" w:cs="FangSong_GB2312"/>
          <w:sz w:val="30"/>
          <w:szCs w:val="30"/>
        </w:rPr>
      </w:pPr>
      <w:bookmarkStart w:id="44" w:name="bookmark32"/>
      <w:bookmarkEnd w:id="44"/>
      <w:bookmarkStart w:id="45" w:name="bookmark33"/>
      <w:bookmarkEnd w:id="45"/>
      <w:r>
        <w:rPr>
          <w:rFonts w:ascii="Times New Roman" w:hAnsi="Times New Roman" w:eastAsia="Times New Roman" w:cs="Times New Roman"/>
          <w:b/>
          <w:bCs/>
          <w:spacing w:val="-6"/>
          <w:sz w:val="30"/>
          <w:szCs w:val="30"/>
        </w:rPr>
        <w:t>2.3</w:t>
      </w:r>
      <w:r>
        <w:rPr>
          <w:rFonts w:ascii="Times New Roman" w:hAnsi="Times New Roman" w:eastAsia="Times New Roman" w:cs="Times New Roman"/>
          <w:b/>
          <w:bCs/>
          <w:spacing w:val="22"/>
          <w:sz w:val="30"/>
          <w:szCs w:val="30"/>
        </w:rPr>
        <w:t xml:space="preserve"> </w:t>
      </w:r>
      <w:r>
        <w:rPr>
          <w:rFonts w:ascii="FangSong_GB2312" w:hAnsi="FangSong_GB2312" w:eastAsia="FangSong_GB2312" w:cs="FangSong_GB2312"/>
          <w:b/>
          <w:bCs/>
          <w:spacing w:val="-6"/>
          <w:sz w:val="30"/>
          <w:szCs w:val="30"/>
        </w:rPr>
        <w:t>工程占地</w:t>
      </w:r>
    </w:p>
    <w:p w14:paraId="422B8524">
      <w:pPr>
        <w:pStyle w:val="2"/>
        <w:spacing w:line="343" w:lineRule="auto"/>
      </w:pPr>
    </w:p>
    <w:p w14:paraId="42CFB56B">
      <w:pPr>
        <w:spacing w:before="79" w:line="359" w:lineRule="auto"/>
        <w:ind w:left="47" w:right="28" w:firstLine="468"/>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根据中华人民共和国国有建设用地划拨决定书、剑阁县发</w:t>
      </w:r>
      <w:r>
        <w:rPr>
          <w:rFonts w:ascii="FangSong_GB2312" w:hAnsi="FangSong_GB2312" w:eastAsia="FangSong_GB2312" w:cs="FangSong_GB2312"/>
          <w:spacing w:val="-1"/>
          <w:sz w:val="24"/>
          <w:szCs w:val="24"/>
        </w:rPr>
        <w:t>展和改革局关于调整剑阁县义兴镇干部职工周转房建设项目规划用地的批复、施工图及现场踏勘，本项目总</w:t>
      </w:r>
      <w:r>
        <w:rPr>
          <w:rFonts w:ascii="FangSong_GB2312" w:hAnsi="FangSong_GB2312" w:eastAsia="FangSong_GB2312" w:cs="FangSong_GB2312"/>
          <w:spacing w:val="-2"/>
          <w:sz w:val="24"/>
          <w:szCs w:val="24"/>
        </w:rPr>
        <w:t>占地面积为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6"/>
          <w:sz w:val="24"/>
          <w:szCs w:val="24"/>
        </w:rPr>
        <w:t>），</w:t>
      </w:r>
      <w:r>
        <w:rPr>
          <w:rFonts w:ascii="FangSong_GB2312" w:hAnsi="FangSong_GB2312" w:eastAsia="FangSong_GB2312" w:cs="FangSong_GB2312"/>
          <w:spacing w:val="-2"/>
          <w:sz w:val="24"/>
          <w:szCs w:val="24"/>
        </w:rPr>
        <w:t>均为永久占地。其中建构筑物工程区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0.03hm</w:t>
      </w:r>
      <w:r>
        <w:rPr>
          <w:rFonts w:ascii="Times New Roman" w:hAnsi="Times New Roman" w:eastAsia="Times New Roman" w:cs="Times New Roman"/>
          <w:spacing w:val="-2"/>
          <w:position w:val="7"/>
          <w:sz w:val="15"/>
          <w:szCs w:val="15"/>
        </w:rPr>
        <w:t xml:space="preserve">2 </w:t>
      </w:r>
      <w:r>
        <w:rPr>
          <w:rFonts w:ascii="FangSong_GB2312" w:hAnsi="FangSong_GB2312" w:eastAsia="FangSong_GB2312" w:cs="FangSong_GB2312"/>
          <w:spacing w:val="-2"/>
          <w:sz w:val="24"/>
          <w:szCs w:val="24"/>
        </w:rPr>
        <w:t>，硬</w:t>
      </w:r>
      <w:r>
        <w:rPr>
          <w:rFonts w:ascii="FangSong_GB2312" w:hAnsi="FangSong_GB2312" w:eastAsia="FangSong_GB2312" w:cs="FangSong_GB2312"/>
          <w:spacing w:val="-3"/>
          <w:sz w:val="24"/>
          <w:szCs w:val="24"/>
        </w:rPr>
        <w:t>化工程区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，绿化工程区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w:t>
      </w:r>
      <w:r>
        <w:rPr>
          <w:rFonts w:ascii="FangSong_GB2312" w:hAnsi="FangSong_GB2312" w:eastAsia="FangSong_GB2312" w:cs="FangSong_GB2312"/>
          <w:spacing w:val="-4"/>
          <w:sz w:val="24"/>
          <w:szCs w:val="24"/>
        </w:rPr>
        <w:t>占地类型为林地、其他土地。工程占地情况</w:t>
      </w:r>
      <w:r>
        <w:rPr>
          <w:rFonts w:ascii="FangSong_GB2312" w:hAnsi="FangSong_GB2312" w:eastAsia="FangSong_GB2312" w:cs="FangSong_GB2312"/>
          <w:spacing w:val="-3"/>
          <w:sz w:val="24"/>
          <w:szCs w:val="24"/>
        </w:rPr>
        <w:t>见下表</w:t>
      </w:r>
      <w:r>
        <w:rPr>
          <w:rFonts w:ascii="FangSong_GB2312" w:hAnsi="FangSong_GB2312" w:eastAsia="FangSong_GB2312" w:cs="FangSong_GB2312"/>
          <w:spacing w:val="-53"/>
          <w:sz w:val="24"/>
          <w:szCs w:val="24"/>
        </w:rPr>
        <w:t xml:space="preserve"> </w:t>
      </w:r>
      <w:r>
        <w:rPr>
          <w:rFonts w:ascii="Times New Roman" w:hAnsi="Times New Roman" w:eastAsia="Times New Roman" w:cs="Times New Roman"/>
          <w:spacing w:val="-3"/>
          <w:sz w:val="24"/>
          <w:szCs w:val="24"/>
        </w:rPr>
        <w:t>2.3-1</w:t>
      </w:r>
      <w:r>
        <w:rPr>
          <w:rFonts w:ascii="FangSong_GB2312" w:hAnsi="FangSong_GB2312" w:eastAsia="FangSong_GB2312" w:cs="FangSong_GB2312"/>
          <w:spacing w:val="-3"/>
          <w:sz w:val="24"/>
          <w:szCs w:val="24"/>
        </w:rPr>
        <w:t>。</w:t>
      </w:r>
    </w:p>
    <w:p w14:paraId="56396AD8">
      <w:pPr>
        <w:spacing w:before="1" w:line="221" w:lineRule="auto"/>
        <w:ind w:left="3149"/>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8"/>
          <w:sz w:val="20"/>
          <w:szCs w:val="20"/>
        </w:rPr>
        <w:t xml:space="preserve"> </w:t>
      </w:r>
      <w:r>
        <w:rPr>
          <w:rFonts w:ascii="Times New Roman" w:hAnsi="Times New Roman" w:eastAsia="Times New Roman" w:cs="Times New Roman"/>
          <w:b/>
          <w:bCs/>
          <w:spacing w:val="5"/>
          <w:sz w:val="20"/>
          <w:szCs w:val="20"/>
        </w:rPr>
        <w:t>2.3-1</w:t>
      </w:r>
      <w:r>
        <w:rPr>
          <w:rFonts w:ascii="Times New Roman" w:hAnsi="Times New Roman" w:eastAsia="Times New Roman" w:cs="Times New Roman"/>
          <w:b/>
          <w:bCs/>
          <w:spacing w:val="17"/>
          <w:w w:val="101"/>
          <w:sz w:val="20"/>
          <w:szCs w:val="20"/>
        </w:rPr>
        <w:t xml:space="preserve"> </w:t>
      </w:r>
      <w:r>
        <w:rPr>
          <w:rFonts w:ascii="FangSong_GB2312" w:hAnsi="FangSong_GB2312" w:eastAsia="FangSong_GB2312" w:cs="FangSong_GB2312"/>
          <w:b/>
          <w:bCs/>
          <w:spacing w:val="5"/>
          <w:sz w:val="20"/>
          <w:szCs w:val="20"/>
        </w:rPr>
        <w:t>工程占地情况一览表</w:t>
      </w:r>
    </w:p>
    <w:p w14:paraId="3985ACF2">
      <w:pPr>
        <w:spacing w:line="137" w:lineRule="exact"/>
      </w:pPr>
    </w:p>
    <w:tbl>
      <w:tblPr>
        <w:tblStyle w:val="6"/>
        <w:tblW w:w="8910"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578"/>
        <w:gridCol w:w="5366"/>
        <w:gridCol w:w="1966"/>
      </w:tblGrid>
      <w:tr w14:paraId="79EF2B9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05" w:hRule="atLeast"/>
        </w:trPr>
        <w:tc>
          <w:tcPr>
            <w:tcW w:w="1578" w:type="dxa"/>
            <w:tcBorders>
              <w:right w:val="single" w:color="000000" w:sz="2" w:space="0"/>
            </w:tcBorders>
            <w:vAlign w:val="top"/>
          </w:tcPr>
          <w:p w14:paraId="4DDF2EFA">
            <w:pPr>
              <w:spacing w:before="32" w:line="217" w:lineRule="auto"/>
              <w:ind w:left="42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项目组成</w:t>
            </w:r>
          </w:p>
        </w:tc>
        <w:tc>
          <w:tcPr>
            <w:tcW w:w="5366" w:type="dxa"/>
            <w:tcBorders>
              <w:left w:val="single" w:color="000000" w:sz="2" w:space="0"/>
              <w:right w:val="single" w:color="000000" w:sz="2" w:space="0"/>
            </w:tcBorders>
            <w:vAlign w:val="top"/>
          </w:tcPr>
          <w:p w14:paraId="7B7D8CD7">
            <w:pPr>
              <w:spacing w:before="32" w:line="213" w:lineRule="auto"/>
              <w:ind w:left="176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占地类型及面积（</w:t>
            </w:r>
            <w:r>
              <w:rPr>
                <w:rFonts w:ascii="Times New Roman" w:hAnsi="Times New Roman" w:eastAsia="Times New Roman" w:cs="Times New Roman"/>
                <w:spacing w:val="-3"/>
                <w:sz w:val="18"/>
                <w:szCs w:val="18"/>
              </w:rPr>
              <w:t>hm</w:t>
            </w:r>
            <w:r>
              <w:rPr>
                <w:rFonts w:ascii="Times New Roman" w:hAnsi="Times New Roman" w:eastAsia="Times New Roman" w:cs="Times New Roman"/>
                <w:spacing w:val="-3"/>
                <w:position w:val="6"/>
                <w:sz w:val="11"/>
                <w:szCs w:val="11"/>
              </w:rPr>
              <w:t>2</w:t>
            </w:r>
            <w:r>
              <w:rPr>
                <w:rFonts w:ascii="FangSong_GB2312" w:hAnsi="FangSong_GB2312" w:eastAsia="FangSong_GB2312" w:cs="FangSong_GB2312"/>
                <w:spacing w:val="-3"/>
                <w:sz w:val="18"/>
                <w:szCs w:val="18"/>
              </w:rPr>
              <w:t>）</w:t>
            </w:r>
          </w:p>
        </w:tc>
        <w:tc>
          <w:tcPr>
            <w:tcW w:w="1966" w:type="dxa"/>
            <w:tcBorders>
              <w:left w:val="single" w:color="000000" w:sz="2" w:space="0"/>
            </w:tcBorders>
            <w:vAlign w:val="top"/>
          </w:tcPr>
          <w:p w14:paraId="50AC2853">
            <w:pPr>
              <w:spacing w:before="31" w:line="216" w:lineRule="auto"/>
              <w:ind w:left="81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备注</w:t>
            </w:r>
          </w:p>
        </w:tc>
      </w:tr>
    </w:tbl>
    <w:p w14:paraId="6CF4616F">
      <w:pPr>
        <w:pStyle w:val="2"/>
        <w:spacing w:line="254" w:lineRule="auto"/>
      </w:pPr>
    </w:p>
    <w:p w14:paraId="78D9C92F">
      <w:pPr>
        <w:spacing w:before="66" w:line="229" w:lineRule="auto"/>
        <w:ind w:left="5414"/>
        <w:rPr>
          <w:rFonts w:ascii="FangSong_GB2312" w:hAnsi="FangSong_GB2312" w:eastAsia="FangSong_GB2312" w:cs="FangSong_GB2312"/>
          <w:sz w:val="20"/>
          <w:szCs w:val="20"/>
        </w:rPr>
      </w:pPr>
      <w:r>
        <w:pict>
          <v:shape id="_x0000_s1043" o:spid="_x0000_s1043" o:spt="202" type="#_x0000_t202" style="position:absolute;left:0pt;margin-left:218.95pt;margin-top:3pt;height:10.15pt;width:10.05pt;z-index:251703296;mso-width-relative:page;mso-height-relative:page;" filled="f" stroked="f" coordsize="21600,21600">
            <v:path/>
            <v:fill on="f" focussize="0,0"/>
            <v:stroke on="f"/>
            <v:imagedata o:title=""/>
            <o:lock v:ext="edit" aspectratio="f"/>
            <v:textbox inset="0mm,0mm,0mm,0mm">
              <w:txbxContent>
                <w:p w14:paraId="3D5BE2D3">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txbxContent>
            </v:textbox>
          </v:shape>
        </w:pict>
      </w:r>
      <w:r>
        <w:rPr>
          <w:rFonts w:ascii="FangSong_GB2312" w:hAnsi="FangSong_GB2312" w:eastAsia="FangSong_GB2312" w:cs="FangSong_GB2312"/>
          <w:spacing w:val="8"/>
          <w:sz w:val="20"/>
          <w:szCs w:val="20"/>
        </w:rPr>
        <w:t>剑阁县绿森林业勘察设计有限公司</w:t>
      </w:r>
    </w:p>
    <w:p w14:paraId="26EB3352">
      <w:pPr>
        <w:spacing w:line="229" w:lineRule="auto"/>
        <w:rPr>
          <w:rFonts w:ascii="FangSong_GB2312" w:hAnsi="FangSong_GB2312" w:eastAsia="FangSong_GB2312" w:cs="FangSong_GB2312"/>
          <w:sz w:val="20"/>
          <w:szCs w:val="20"/>
        </w:rPr>
        <w:sectPr>
          <w:headerReference r:id="rId36" w:type="default"/>
          <w:pgSz w:w="11906" w:h="16839"/>
          <w:pgMar w:top="1164" w:right="1485" w:bottom="400" w:left="1484" w:header="831" w:footer="0" w:gutter="0"/>
          <w:cols w:space="720" w:num="1"/>
        </w:sectPr>
      </w:pPr>
    </w:p>
    <w:p w14:paraId="3245AD84">
      <w:pPr>
        <w:spacing w:line="162" w:lineRule="exact"/>
      </w:pPr>
    </w:p>
    <w:tbl>
      <w:tblPr>
        <w:tblStyle w:val="6"/>
        <w:tblW w:w="891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1814"/>
        <w:gridCol w:w="1775"/>
        <w:gridCol w:w="1777"/>
        <w:gridCol w:w="1966"/>
      </w:tblGrid>
      <w:tr w14:paraId="5E37F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578" w:type="dxa"/>
            <w:tcBorders>
              <w:top w:val="single" w:color="000000" w:sz="10" w:space="0"/>
              <w:left w:val="single" w:color="000000" w:sz="10" w:space="0"/>
            </w:tcBorders>
            <w:vAlign w:val="top"/>
          </w:tcPr>
          <w:p w14:paraId="45225010">
            <w:pPr>
              <w:rPr>
                <w:rFonts w:ascii="Arial"/>
                <w:sz w:val="21"/>
              </w:rPr>
            </w:pPr>
          </w:p>
        </w:tc>
        <w:tc>
          <w:tcPr>
            <w:tcW w:w="1814" w:type="dxa"/>
            <w:tcBorders>
              <w:top w:val="single" w:color="000000" w:sz="10" w:space="0"/>
            </w:tcBorders>
            <w:vAlign w:val="top"/>
          </w:tcPr>
          <w:p w14:paraId="43AA02F7">
            <w:pPr>
              <w:spacing w:before="33" w:line="217" w:lineRule="auto"/>
              <w:ind w:left="72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林地</w:t>
            </w:r>
          </w:p>
        </w:tc>
        <w:tc>
          <w:tcPr>
            <w:tcW w:w="1775" w:type="dxa"/>
            <w:tcBorders>
              <w:top w:val="single" w:color="000000" w:sz="10" w:space="0"/>
            </w:tcBorders>
            <w:vAlign w:val="top"/>
          </w:tcPr>
          <w:p w14:paraId="6150B60E">
            <w:pPr>
              <w:spacing w:before="33" w:line="216" w:lineRule="auto"/>
              <w:ind w:left="53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其他土地</w:t>
            </w:r>
          </w:p>
        </w:tc>
        <w:tc>
          <w:tcPr>
            <w:tcW w:w="1777" w:type="dxa"/>
            <w:tcBorders>
              <w:top w:val="single" w:color="000000" w:sz="10" w:space="0"/>
            </w:tcBorders>
            <w:vAlign w:val="top"/>
          </w:tcPr>
          <w:p w14:paraId="76C3DAEC">
            <w:pPr>
              <w:spacing w:before="33" w:line="216" w:lineRule="auto"/>
              <w:ind w:left="719"/>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小计</w:t>
            </w:r>
          </w:p>
        </w:tc>
        <w:tc>
          <w:tcPr>
            <w:tcW w:w="1966" w:type="dxa"/>
            <w:tcBorders>
              <w:top w:val="single" w:color="000000" w:sz="10" w:space="0"/>
              <w:right w:val="single" w:color="000000" w:sz="10" w:space="0"/>
            </w:tcBorders>
            <w:vAlign w:val="top"/>
          </w:tcPr>
          <w:p w14:paraId="353C46D6">
            <w:pPr>
              <w:rPr>
                <w:rFonts w:ascii="Arial"/>
                <w:sz w:val="21"/>
              </w:rPr>
            </w:pPr>
          </w:p>
        </w:tc>
      </w:tr>
      <w:tr w14:paraId="2220F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78" w:type="dxa"/>
            <w:tcBorders>
              <w:left w:val="single" w:color="000000" w:sz="10" w:space="0"/>
            </w:tcBorders>
            <w:vAlign w:val="top"/>
          </w:tcPr>
          <w:p w14:paraId="3A8C614C">
            <w:pPr>
              <w:spacing w:before="33" w:line="214" w:lineRule="auto"/>
              <w:ind w:left="23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1814" w:type="dxa"/>
            <w:vAlign w:val="top"/>
          </w:tcPr>
          <w:p w14:paraId="64FDDFA1">
            <w:pPr>
              <w:spacing w:before="52" w:line="188" w:lineRule="auto"/>
              <w:ind w:left="7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775" w:type="dxa"/>
            <w:vAlign w:val="top"/>
          </w:tcPr>
          <w:p w14:paraId="18F94A94">
            <w:pPr>
              <w:rPr>
                <w:rFonts w:ascii="Arial"/>
                <w:sz w:val="21"/>
              </w:rPr>
            </w:pPr>
          </w:p>
        </w:tc>
        <w:tc>
          <w:tcPr>
            <w:tcW w:w="1777" w:type="dxa"/>
            <w:vAlign w:val="top"/>
          </w:tcPr>
          <w:p w14:paraId="21FAC54C">
            <w:pPr>
              <w:spacing w:before="52" w:line="188" w:lineRule="auto"/>
              <w:ind w:left="7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966" w:type="dxa"/>
            <w:tcBorders>
              <w:right w:val="single" w:color="000000" w:sz="10" w:space="0"/>
            </w:tcBorders>
            <w:vAlign w:val="top"/>
          </w:tcPr>
          <w:p w14:paraId="0E1562DF">
            <w:pPr>
              <w:spacing w:before="34" w:line="216" w:lineRule="auto"/>
              <w:ind w:left="63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永久占地</w:t>
            </w:r>
          </w:p>
        </w:tc>
      </w:tr>
      <w:tr w14:paraId="50B4B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78" w:type="dxa"/>
            <w:tcBorders>
              <w:left w:val="single" w:color="000000" w:sz="10" w:space="0"/>
            </w:tcBorders>
            <w:vAlign w:val="top"/>
          </w:tcPr>
          <w:p w14:paraId="72965E17">
            <w:pPr>
              <w:spacing w:before="38" w:line="216" w:lineRule="auto"/>
              <w:ind w:left="41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c>
        <w:tc>
          <w:tcPr>
            <w:tcW w:w="1814" w:type="dxa"/>
            <w:vAlign w:val="top"/>
          </w:tcPr>
          <w:p w14:paraId="333F3D79">
            <w:pPr>
              <w:rPr>
                <w:rFonts w:ascii="Arial"/>
                <w:sz w:val="21"/>
              </w:rPr>
            </w:pPr>
          </w:p>
        </w:tc>
        <w:tc>
          <w:tcPr>
            <w:tcW w:w="1775" w:type="dxa"/>
            <w:vAlign w:val="top"/>
          </w:tcPr>
          <w:p w14:paraId="44FD7556">
            <w:pPr>
              <w:spacing w:before="57" w:line="188"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777" w:type="dxa"/>
            <w:vAlign w:val="top"/>
          </w:tcPr>
          <w:p w14:paraId="1E10DB52">
            <w:pPr>
              <w:spacing w:before="57" w:line="188" w:lineRule="auto"/>
              <w:ind w:left="7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966" w:type="dxa"/>
            <w:tcBorders>
              <w:right w:val="single" w:color="000000" w:sz="10" w:space="0"/>
            </w:tcBorders>
            <w:vAlign w:val="top"/>
          </w:tcPr>
          <w:p w14:paraId="1A8E523C">
            <w:pPr>
              <w:spacing w:before="39" w:line="216" w:lineRule="auto"/>
              <w:ind w:left="63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永久占地</w:t>
            </w:r>
          </w:p>
        </w:tc>
      </w:tr>
      <w:tr w14:paraId="2A878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78" w:type="dxa"/>
            <w:tcBorders>
              <w:left w:val="single" w:color="000000" w:sz="10" w:space="0"/>
            </w:tcBorders>
            <w:vAlign w:val="top"/>
          </w:tcPr>
          <w:p w14:paraId="0288E5F0">
            <w:pPr>
              <w:spacing w:before="43" w:line="216" w:lineRule="auto"/>
              <w:ind w:left="427"/>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1814" w:type="dxa"/>
            <w:vAlign w:val="top"/>
          </w:tcPr>
          <w:p w14:paraId="43C511BF">
            <w:pPr>
              <w:rPr>
                <w:rFonts w:ascii="Arial"/>
                <w:sz w:val="21"/>
              </w:rPr>
            </w:pPr>
          </w:p>
        </w:tc>
        <w:tc>
          <w:tcPr>
            <w:tcW w:w="1775" w:type="dxa"/>
            <w:vAlign w:val="top"/>
          </w:tcPr>
          <w:p w14:paraId="2231FE72">
            <w:pPr>
              <w:spacing w:before="64" w:line="188"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777" w:type="dxa"/>
            <w:vAlign w:val="top"/>
          </w:tcPr>
          <w:p w14:paraId="3C806E74">
            <w:pPr>
              <w:spacing w:before="64" w:line="188" w:lineRule="auto"/>
              <w:ind w:left="7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966" w:type="dxa"/>
            <w:tcBorders>
              <w:right w:val="single" w:color="000000" w:sz="10" w:space="0"/>
            </w:tcBorders>
            <w:vAlign w:val="top"/>
          </w:tcPr>
          <w:p w14:paraId="4E32CBF6">
            <w:pPr>
              <w:spacing w:before="44" w:line="216" w:lineRule="auto"/>
              <w:ind w:left="63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永久占地</w:t>
            </w:r>
          </w:p>
        </w:tc>
      </w:tr>
      <w:tr w14:paraId="78068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578" w:type="dxa"/>
            <w:tcBorders>
              <w:left w:val="single" w:color="000000" w:sz="10" w:space="0"/>
              <w:bottom w:val="single" w:color="000000" w:sz="10" w:space="0"/>
            </w:tcBorders>
            <w:vAlign w:val="top"/>
          </w:tcPr>
          <w:p w14:paraId="4E75A939">
            <w:pPr>
              <w:spacing w:before="48" w:line="216" w:lineRule="auto"/>
              <w:ind w:left="60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814" w:type="dxa"/>
            <w:tcBorders>
              <w:bottom w:val="single" w:color="000000" w:sz="10" w:space="0"/>
            </w:tcBorders>
            <w:vAlign w:val="top"/>
          </w:tcPr>
          <w:p w14:paraId="774C8258">
            <w:pPr>
              <w:spacing w:before="69" w:line="188" w:lineRule="auto"/>
              <w:ind w:left="74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775" w:type="dxa"/>
            <w:tcBorders>
              <w:bottom w:val="single" w:color="000000" w:sz="10" w:space="0"/>
            </w:tcBorders>
            <w:vAlign w:val="top"/>
          </w:tcPr>
          <w:p w14:paraId="289AF66F">
            <w:pPr>
              <w:spacing w:before="69" w:line="188" w:lineRule="auto"/>
              <w:ind w:left="7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777" w:type="dxa"/>
            <w:tcBorders>
              <w:bottom w:val="single" w:color="000000" w:sz="10" w:space="0"/>
            </w:tcBorders>
            <w:vAlign w:val="top"/>
          </w:tcPr>
          <w:p w14:paraId="219004DE">
            <w:pPr>
              <w:spacing w:before="69" w:line="188" w:lineRule="auto"/>
              <w:ind w:left="7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966" w:type="dxa"/>
            <w:tcBorders>
              <w:bottom w:val="single" w:color="000000" w:sz="10" w:space="0"/>
              <w:right w:val="single" w:color="000000" w:sz="10" w:space="0"/>
            </w:tcBorders>
            <w:vAlign w:val="top"/>
          </w:tcPr>
          <w:p w14:paraId="58690A9D">
            <w:pPr>
              <w:spacing w:before="48" w:line="216" w:lineRule="auto"/>
              <w:ind w:left="63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永久占地</w:t>
            </w:r>
          </w:p>
        </w:tc>
      </w:tr>
    </w:tbl>
    <w:p w14:paraId="00727447">
      <w:pPr>
        <w:spacing w:before="307" w:line="215" w:lineRule="auto"/>
        <w:ind w:left="129"/>
        <w:outlineLvl w:val="1"/>
        <w:rPr>
          <w:rFonts w:ascii="FangSong_GB2312" w:hAnsi="FangSong_GB2312" w:eastAsia="FangSong_GB2312" w:cs="FangSong_GB2312"/>
          <w:sz w:val="30"/>
          <w:szCs w:val="30"/>
        </w:rPr>
      </w:pPr>
      <w:bookmarkStart w:id="46" w:name="bookmark35"/>
      <w:bookmarkEnd w:id="46"/>
      <w:bookmarkStart w:id="47" w:name="bookmark34"/>
      <w:bookmarkEnd w:id="47"/>
      <w:r>
        <w:rPr>
          <w:rFonts w:ascii="Times New Roman" w:hAnsi="Times New Roman" w:eastAsia="Times New Roman" w:cs="Times New Roman"/>
          <w:b/>
          <w:bCs/>
          <w:spacing w:val="-3"/>
          <w:sz w:val="30"/>
          <w:szCs w:val="30"/>
        </w:rPr>
        <w:t xml:space="preserve">2.4 </w:t>
      </w:r>
      <w:r>
        <w:rPr>
          <w:rFonts w:ascii="FangSong_GB2312" w:hAnsi="FangSong_GB2312" w:eastAsia="FangSong_GB2312" w:cs="FangSong_GB2312"/>
          <w:b/>
          <w:bCs/>
          <w:spacing w:val="-3"/>
          <w:sz w:val="30"/>
          <w:szCs w:val="30"/>
        </w:rPr>
        <w:t>土石方平衡</w:t>
      </w:r>
    </w:p>
    <w:p w14:paraId="56DF9A18">
      <w:pPr>
        <w:pStyle w:val="2"/>
        <w:spacing w:line="262" w:lineRule="auto"/>
      </w:pPr>
    </w:p>
    <w:p w14:paraId="5F7D4E3F">
      <w:pPr>
        <w:spacing w:before="78" w:line="360" w:lineRule="auto"/>
        <w:ind w:left="124" w:right="153" w:firstLine="484"/>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根据现场调查及业主介绍，本项目挖方总量为</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0.09</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2"/>
          <w:sz w:val="24"/>
          <w:szCs w:val="24"/>
        </w:rPr>
        <w:t>（其中表土剥离</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6"/>
          <w:sz w:val="24"/>
          <w:szCs w:val="24"/>
        </w:rPr>
        <w:t>），</w:t>
      </w:r>
      <w:r>
        <w:rPr>
          <w:rFonts w:ascii="FangSong_GB2312" w:hAnsi="FangSong_GB2312" w:eastAsia="FangSong_GB2312" w:cs="FangSong_GB2312"/>
          <w:spacing w:val="-2"/>
          <w:sz w:val="24"/>
          <w:szCs w:val="24"/>
        </w:rPr>
        <w:t>填方总量为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2"/>
          <w:sz w:val="24"/>
          <w:szCs w:val="24"/>
        </w:rPr>
        <w:t>（其中表土</w:t>
      </w:r>
      <w:r>
        <w:rPr>
          <w:rFonts w:ascii="FangSong_GB2312" w:hAnsi="FangSong_GB2312" w:eastAsia="FangSong_GB2312" w:cs="FangSong_GB2312"/>
          <w:spacing w:val="-3"/>
          <w:sz w:val="24"/>
          <w:szCs w:val="24"/>
        </w:rPr>
        <w:t>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6"/>
          <w:sz w:val="24"/>
          <w:szCs w:val="24"/>
        </w:rPr>
        <w:t>），</w:t>
      </w:r>
      <w:r>
        <w:rPr>
          <w:rFonts w:ascii="FangSong_GB2312" w:hAnsi="FangSong_GB2312" w:eastAsia="FangSong_GB2312" w:cs="FangSong_GB2312"/>
          <w:spacing w:val="-3"/>
          <w:sz w:val="24"/>
          <w:szCs w:val="24"/>
        </w:rPr>
        <w:t>无借方，无余方。</w:t>
      </w:r>
    </w:p>
    <w:p w14:paraId="5E8E95A0">
      <w:pPr>
        <w:spacing w:before="3" w:line="330" w:lineRule="auto"/>
        <w:ind w:left="131" w:right="119" w:firstLine="499"/>
        <w:rPr>
          <w:rFonts w:ascii="FangSong_GB2312" w:hAnsi="FangSong_GB2312" w:eastAsia="FangSong_GB2312" w:cs="FangSong_GB2312"/>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z w:val="24"/>
          <w:szCs w:val="24"/>
        </w:rPr>
        <w:t>、表土剥离与回覆：根据现场踏勘及业主介绍，本项目</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z w:val="24"/>
          <w:szCs w:val="24"/>
        </w:rPr>
        <w:t>占地类型为林地、其他土地，项目前期已对项目所占林地进行表土剥离，厚度为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z w:val="24"/>
          <w:szCs w:val="24"/>
        </w:rPr>
        <w:t>0.20m</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z w:val="24"/>
          <w:szCs w:val="24"/>
        </w:rPr>
        <w:t>，项目区剥</w:t>
      </w:r>
      <w:r>
        <w:rPr>
          <w:rFonts w:ascii="FangSong_GB2312" w:hAnsi="FangSong_GB2312" w:eastAsia="FangSong_GB2312" w:cs="FangSong_GB2312"/>
          <w:spacing w:val="-1"/>
          <w:sz w:val="24"/>
          <w:szCs w:val="24"/>
        </w:rPr>
        <w:t>离表土共</w:t>
      </w:r>
      <w:r>
        <w:rPr>
          <w:rFonts w:ascii="FangSong_GB2312" w:hAnsi="FangSong_GB2312" w:eastAsia="FangSong_GB2312" w:cs="FangSong_GB2312"/>
          <w:spacing w:val="-4"/>
          <w:sz w:val="24"/>
          <w:szCs w:val="24"/>
        </w:rPr>
        <w:t>计</w:t>
      </w:r>
      <w:r>
        <w:rPr>
          <w:rFonts w:ascii="FangSong_GB2312" w:hAnsi="FangSong_GB2312" w:eastAsia="FangSong_GB2312" w:cs="FangSong_GB2312"/>
          <w:spacing w:val="-38"/>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FangSong_GB2312" w:hAnsi="FangSong_GB2312" w:eastAsia="FangSong_GB2312" w:cs="FangSong_GB2312"/>
          <w:spacing w:val="-4"/>
          <w:sz w:val="24"/>
          <w:szCs w:val="24"/>
        </w:rPr>
        <w:t>。项目后期绿化面积为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0.01hm</w:t>
      </w:r>
      <w:r>
        <w:rPr>
          <w:rFonts w:ascii="Times New Roman" w:hAnsi="Times New Roman" w:eastAsia="Times New Roman" w:cs="Times New Roman"/>
          <w:spacing w:val="-4"/>
          <w:position w:val="8"/>
          <w:sz w:val="15"/>
          <w:szCs w:val="15"/>
        </w:rPr>
        <w:t xml:space="preserve">2 </w:t>
      </w:r>
      <w:r>
        <w:rPr>
          <w:rFonts w:ascii="FangSong_GB2312" w:hAnsi="FangSong_GB2312" w:eastAsia="FangSong_GB2312" w:cs="FangSong_GB2312"/>
          <w:spacing w:val="-4"/>
          <w:sz w:val="24"/>
          <w:szCs w:val="24"/>
        </w:rPr>
        <w:t>，对绿化区域进行回覆表土，平均厚度为</w:t>
      </w:r>
      <w:r>
        <w:rPr>
          <w:rFonts w:ascii="Times New Roman" w:hAnsi="Times New Roman" w:eastAsia="Times New Roman" w:cs="Times New Roman"/>
          <w:spacing w:val="-3"/>
          <w:sz w:val="24"/>
          <w:szCs w:val="24"/>
        </w:rPr>
        <w:t>0.60m</w:t>
      </w:r>
      <w:r>
        <w:rPr>
          <w:rFonts w:ascii="FangSong_GB2312" w:hAnsi="FangSong_GB2312" w:eastAsia="FangSong_GB2312" w:cs="FangSong_GB2312"/>
          <w:spacing w:val="-3"/>
          <w:sz w:val="24"/>
          <w:szCs w:val="24"/>
        </w:rPr>
        <w:t>（按实际剥离及覆土量计算</w:t>
      </w:r>
      <w:r>
        <w:rPr>
          <w:rFonts w:ascii="FangSong_GB2312" w:hAnsi="FangSong_GB2312" w:eastAsia="FangSong_GB2312" w:cs="FangSong_GB2312"/>
          <w:spacing w:val="5"/>
          <w:sz w:val="24"/>
          <w:szCs w:val="24"/>
        </w:rPr>
        <w:t>），</w:t>
      </w:r>
      <w:r>
        <w:rPr>
          <w:rFonts w:ascii="FangSong_GB2312" w:hAnsi="FangSong_GB2312" w:eastAsia="FangSong_GB2312" w:cs="FangSong_GB2312"/>
          <w:spacing w:val="-3"/>
          <w:sz w:val="24"/>
          <w:szCs w:val="24"/>
        </w:rPr>
        <w:t>共需表土</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rFonts w:ascii="FangSong_GB2312" w:hAnsi="FangSong_GB2312" w:eastAsia="FangSong_GB2312" w:cs="FangSong_GB2312"/>
          <w:spacing w:val="-3"/>
          <w:sz w:val="24"/>
          <w:szCs w:val="24"/>
        </w:rPr>
        <w:t>，回覆表土全部来自前期表土剥离。</w:t>
      </w:r>
    </w:p>
    <w:p w14:paraId="193030FE">
      <w:pPr>
        <w:spacing w:before="185" w:line="311" w:lineRule="auto"/>
        <w:ind w:left="131" w:right="58" w:firstLine="476"/>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3"/>
          <w:sz w:val="24"/>
          <w:szCs w:val="24"/>
        </w:rPr>
        <w:t>、土石方平衡分析：本项目挖方总量为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0.09</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FangSong_GB2312" w:hAnsi="FangSong_GB2312" w:eastAsia="FangSong_GB2312" w:cs="FangSong_GB2312"/>
          <w:spacing w:val="-4"/>
          <w:sz w:val="24"/>
          <w:szCs w:val="24"/>
        </w:rPr>
        <w:t>（其中表土剥离</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FangSong_GB2312" w:hAnsi="FangSong_GB2312" w:eastAsia="FangSong_GB2312" w:cs="FangSong_GB2312"/>
          <w:spacing w:val="-37"/>
          <w:sz w:val="24"/>
          <w:szCs w:val="24"/>
        </w:rPr>
        <w:t>），</w:t>
      </w:r>
      <w:r>
        <w:rPr>
          <w:rFonts w:ascii="FangSong_GB2312" w:hAnsi="FangSong_GB2312" w:eastAsia="FangSong_GB2312" w:cs="FangSong_GB2312"/>
          <w:spacing w:val="-6"/>
          <w:sz w:val="24"/>
          <w:szCs w:val="24"/>
        </w:rPr>
        <w:t>填方总量为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6"/>
          <w:sz w:val="24"/>
          <w:szCs w:val="24"/>
        </w:rPr>
        <w:t>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6"/>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FangSong_GB2312" w:hAnsi="FangSong_GB2312" w:eastAsia="FangSong_GB2312" w:cs="FangSong_GB2312"/>
          <w:spacing w:val="-6"/>
          <w:sz w:val="24"/>
          <w:szCs w:val="24"/>
        </w:rPr>
        <w:t>（其中表土回覆</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6"/>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6"/>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FangSong_GB2312" w:hAnsi="FangSong_GB2312" w:eastAsia="FangSong_GB2312" w:cs="FangSong_GB2312"/>
          <w:spacing w:val="-26"/>
          <w:sz w:val="24"/>
          <w:szCs w:val="24"/>
        </w:rPr>
        <w:t>），</w:t>
      </w:r>
      <w:r>
        <w:rPr>
          <w:rFonts w:ascii="FangSong_GB2312" w:hAnsi="FangSong_GB2312" w:eastAsia="FangSong_GB2312" w:cs="FangSong_GB2312"/>
          <w:spacing w:val="-6"/>
          <w:sz w:val="24"/>
          <w:szCs w:val="24"/>
        </w:rPr>
        <w:t>无借方，无余方。根据现</w:t>
      </w:r>
      <w:r>
        <w:rPr>
          <w:rFonts w:ascii="FangSong_GB2312" w:hAnsi="FangSong_GB2312" w:eastAsia="FangSong_GB2312" w:cs="FangSong_GB2312"/>
          <w:spacing w:val="-7"/>
          <w:sz w:val="24"/>
          <w:szCs w:val="24"/>
        </w:rPr>
        <w:t>场调查，</w:t>
      </w:r>
      <w:r>
        <w:rPr>
          <w:rFonts w:ascii="FangSong_GB2312" w:hAnsi="FangSong_GB2312" w:eastAsia="FangSong_GB2312" w:cs="FangSong_GB2312"/>
          <w:spacing w:val="-2"/>
          <w:sz w:val="24"/>
          <w:szCs w:val="24"/>
        </w:rPr>
        <w:t>各部分土石方平衡情况见表</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2.4-1</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、图</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2.4-1</w:t>
      </w:r>
      <w:r>
        <w:rPr>
          <w:rFonts w:ascii="FangSong_GB2312" w:hAnsi="FangSong_GB2312" w:eastAsia="FangSong_GB2312" w:cs="FangSong_GB2312"/>
          <w:spacing w:val="-2"/>
          <w:sz w:val="24"/>
          <w:szCs w:val="24"/>
        </w:rPr>
        <w:t>。</w:t>
      </w:r>
    </w:p>
    <w:p w14:paraId="01E1A720">
      <w:pPr>
        <w:spacing w:before="188" w:line="210" w:lineRule="auto"/>
        <w:ind w:left="3450"/>
        <w:rPr>
          <w:rFonts w:ascii="Times New Roman" w:hAnsi="Times New Roman" w:eastAsia="Times New Roman" w:cs="Times New Roman"/>
          <w:sz w:val="15"/>
          <w:szCs w:val="15"/>
        </w:rPr>
      </w:pPr>
      <w:r>
        <w:rPr>
          <w:rFonts w:ascii="FangSong_GB2312" w:hAnsi="FangSong_GB2312" w:eastAsia="FangSong_GB2312" w:cs="FangSong_GB2312"/>
          <w:b/>
          <w:bCs/>
          <w:spacing w:val="4"/>
          <w:sz w:val="20"/>
          <w:szCs w:val="20"/>
        </w:rPr>
        <w:t>表</w:t>
      </w:r>
      <w:r>
        <w:rPr>
          <w:rFonts w:ascii="FangSong_GB2312" w:hAnsi="FangSong_GB2312" w:eastAsia="FangSong_GB2312" w:cs="FangSong_GB2312"/>
          <w:spacing w:val="-33"/>
          <w:sz w:val="20"/>
          <w:szCs w:val="20"/>
        </w:rPr>
        <w:t xml:space="preserve"> </w:t>
      </w:r>
      <w:r>
        <w:rPr>
          <w:rFonts w:ascii="Times New Roman" w:hAnsi="Times New Roman" w:eastAsia="Times New Roman" w:cs="Times New Roman"/>
          <w:b/>
          <w:bCs/>
          <w:spacing w:val="4"/>
          <w:sz w:val="20"/>
          <w:szCs w:val="20"/>
        </w:rPr>
        <w:t xml:space="preserve">2.4-1    </w:t>
      </w:r>
      <w:r>
        <w:rPr>
          <w:rFonts w:ascii="FangSong_GB2312" w:hAnsi="FangSong_GB2312" w:eastAsia="FangSong_GB2312" w:cs="FangSong_GB2312"/>
          <w:b/>
          <w:bCs/>
          <w:spacing w:val="4"/>
          <w:sz w:val="20"/>
          <w:szCs w:val="20"/>
        </w:rPr>
        <w:t>土石方平衡分析表</w:t>
      </w:r>
      <w:r>
        <w:rPr>
          <w:rFonts w:ascii="FangSong_GB2312" w:hAnsi="FangSong_GB2312" w:eastAsia="FangSong_GB2312" w:cs="FangSong_GB2312"/>
          <w:sz w:val="20"/>
          <w:szCs w:val="20"/>
        </w:rPr>
        <w:t xml:space="preserve">                  </w:t>
      </w:r>
      <w:r>
        <w:rPr>
          <w:rFonts w:ascii="FangSong_GB2312" w:hAnsi="FangSong_GB2312" w:eastAsia="FangSong_GB2312" w:cs="FangSong_GB2312"/>
          <w:b/>
          <w:bCs/>
          <w:spacing w:val="4"/>
          <w:sz w:val="20"/>
          <w:szCs w:val="20"/>
        </w:rPr>
        <w:t>单位：万</w:t>
      </w:r>
      <w:r>
        <w:rPr>
          <w:rFonts w:ascii="FangSong_GB2312" w:hAnsi="FangSong_GB2312" w:eastAsia="FangSong_GB2312" w:cs="FangSong_GB2312"/>
          <w:spacing w:val="-35"/>
          <w:sz w:val="20"/>
          <w:szCs w:val="20"/>
        </w:rPr>
        <w:t xml:space="preserve"> </w:t>
      </w:r>
      <w:r>
        <w:rPr>
          <w:rFonts w:ascii="Times New Roman" w:hAnsi="Times New Roman" w:eastAsia="Times New Roman" w:cs="Times New Roman"/>
          <w:b/>
          <w:bCs/>
          <w:spacing w:val="4"/>
          <w:sz w:val="24"/>
          <w:szCs w:val="24"/>
        </w:rPr>
        <w:t>m</w:t>
      </w:r>
      <w:r>
        <w:rPr>
          <w:rFonts w:ascii="Times New Roman" w:hAnsi="Times New Roman" w:eastAsia="Times New Roman" w:cs="Times New Roman"/>
          <w:b/>
          <w:bCs/>
          <w:spacing w:val="4"/>
          <w:position w:val="7"/>
          <w:sz w:val="15"/>
          <w:szCs w:val="15"/>
        </w:rPr>
        <w:t>3</w:t>
      </w:r>
    </w:p>
    <w:tbl>
      <w:tblPr>
        <w:tblStyle w:val="6"/>
        <w:tblW w:w="909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528"/>
        <w:gridCol w:w="807"/>
        <w:gridCol w:w="614"/>
        <w:gridCol w:w="598"/>
        <w:gridCol w:w="553"/>
        <w:gridCol w:w="568"/>
        <w:gridCol w:w="738"/>
        <w:gridCol w:w="738"/>
        <w:gridCol w:w="738"/>
        <w:gridCol w:w="652"/>
      </w:tblGrid>
      <w:tr w14:paraId="6D723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560" w:type="dxa"/>
            <w:tcBorders>
              <w:top w:val="single" w:color="000000" w:sz="10" w:space="0"/>
              <w:left w:val="single" w:color="000000" w:sz="10" w:space="0"/>
            </w:tcBorders>
            <w:vAlign w:val="top"/>
          </w:tcPr>
          <w:p w14:paraId="291DC0B4">
            <w:pPr>
              <w:spacing w:before="63"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项目名称</w:t>
            </w:r>
          </w:p>
        </w:tc>
        <w:tc>
          <w:tcPr>
            <w:tcW w:w="2335" w:type="dxa"/>
            <w:gridSpan w:val="2"/>
            <w:tcBorders>
              <w:top w:val="single" w:color="000000" w:sz="10" w:space="0"/>
            </w:tcBorders>
            <w:vAlign w:val="top"/>
          </w:tcPr>
          <w:p w14:paraId="005B2886">
            <w:pPr>
              <w:spacing w:before="64" w:line="217" w:lineRule="auto"/>
              <w:ind w:left="80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项目组成</w:t>
            </w:r>
          </w:p>
        </w:tc>
        <w:tc>
          <w:tcPr>
            <w:tcW w:w="1212" w:type="dxa"/>
            <w:gridSpan w:val="2"/>
            <w:tcBorders>
              <w:top w:val="single" w:color="000000" w:sz="10" w:space="0"/>
            </w:tcBorders>
            <w:vAlign w:val="top"/>
          </w:tcPr>
          <w:p w14:paraId="367FA30D">
            <w:pPr>
              <w:spacing w:before="63" w:line="216" w:lineRule="auto"/>
              <w:ind w:left="43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挖方</w:t>
            </w:r>
          </w:p>
        </w:tc>
        <w:tc>
          <w:tcPr>
            <w:tcW w:w="1121" w:type="dxa"/>
            <w:gridSpan w:val="2"/>
            <w:tcBorders>
              <w:top w:val="single" w:color="000000" w:sz="10" w:space="0"/>
            </w:tcBorders>
            <w:vAlign w:val="top"/>
          </w:tcPr>
          <w:p w14:paraId="6BE21042">
            <w:pPr>
              <w:spacing w:before="63" w:line="216" w:lineRule="auto"/>
              <w:ind w:left="38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填方</w:t>
            </w:r>
          </w:p>
        </w:tc>
        <w:tc>
          <w:tcPr>
            <w:tcW w:w="738" w:type="dxa"/>
            <w:tcBorders>
              <w:top w:val="single" w:color="000000" w:sz="10" w:space="0"/>
            </w:tcBorders>
            <w:vAlign w:val="top"/>
          </w:tcPr>
          <w:p w14:paraId="3B15518B">
            <w:pPr>
              <w:spacing w:before="64" w:line="217" w:lineRule="auto"/>
              <w:ind w:left="20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调入</w:t>
            </w:r>
          </w:p>
        </w:tc>
        <w:tc>
          <w:tcPr>
            <w:tcW w:w="738" w:type="dxa"/>
            <w:tcBorders>
              <w:top w:val="single" w:color="000000" w:sz="10" w:space="0"/>
            </w:tcBorders>
            <w:vAlign w:val="top"/>
          </w:tcPr>
          <w:p w14:paraId="083AAA42">
            <w:pPr>
              <w:spacing w:before="64" w:line="217" w:lineRule="auto"/>
              <w:ind w:left="20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调出</w:t>
            </w:r>
          </w:p>
        </w:tc>
        <w:tc>
          <w:tcPr>
            <w:tcW w:w="738" w:type="dxa"/>
            <w:tcBorders>
              <w:top w:val="single" w:color="000000" w:sz="10" w:space="0"/>
            </w:tcBorders>
            <w:vAlign w:val="top"/>
          </w:tcPr>
          <w:p w14:paraId="1F2B60B3">
            <w:pPr>
              <w:spacing w:before="64" w:line="219" w:lineRule="auto"/>
              <w:ind w:left="20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借方</w:t>
            </w:r>
          </w:p>
        </w:tc>
        <w:tc>
          <w:tcPr>
            <w:tcW w:w="652" w:type="dxa"/>
            <w:tcBorders>
              <w:top w:val="single" w:color="000000" w:sz="10" w:space="0"/>
              <w:right w:val="single" w:color="000000" w:sz="10" w:space="0"/>
            </w:tcBorders>
            <w:vAlign w:val="top"/>
          </w:tcPr>
          <w:p w14:paraId="4BA74A34">
            <w:pPr>
              <w:spacing w:before="63" w:line="215" w:lineRule="auto"/>
              <w:ind w:left="15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余方</w:t>
            </w:r>
          </w:p>
        </w:tc>
      </w:tr>
      <w:tr w14:paraId="3AC8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restart"/>
            <w:tcBorders>
              <w:left w:val="single" w:color="000000" w:sz="10" w:space="0"/>
              <w:bottom w:val="nil"/>
            </w:tcBorders>
            <w:vAlign w:val="top"/>
          </w:tcPr>
          <w:p w14:paraId="643A6A9B">
            <w:pPr>
              <w:spacing w:line="249" w:lineRule="auto"/>
              <w:rPr>
                <w:rFonts w:ascii="Arial"/>
                <w:sz w:val="21"/>
              </w:rPr>
            </w:pPr>
          </w:p>
          <w:p w14:paraId="6AFCBD55">
            <w:pPr>
              <w:spacing w:line="249" w:lineRule="auto"/>
              <w:rPr>
                <w:rFonts w:ascii="Arial"/>
                <w:sz w:val="21"/>
              </w:rPr>
            </w:pPr>
          </w:p>
          <w:p w14:paraId="7117B5C9">
            <w:pPr>
              <w:spacing w:before="58" w:line="214" w:lineRule="auto"/>
              <w:ind w:left="14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剑阁县义兴镇干</w:t>
            </w:r>
          </w:p>
          <w:p w14:paraId="507BC05E">
            <w:pPr>
              <w:spacing w:before="24" w:line="214" w:lineRule="auto"/>
              <w:ind w:left="14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部职工周转房建</w:t>
            </w:r>
          </w:p>
          <w:p w14:paraId="789CBB2B">
            <w:pPr>
              <w:spacing w:before="24" w:line="217" w:lineRule="auto"/>
              <w:ind w:left="50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设项目</w:t>
            </w:r>
          </w:p>
        </w:tc>
        <w:tc>
          <w:tcPr>
            <w:tcW w:w="1528" w:type="dxa"/>
            <w:vMerge w:val="restart"/>
            <w:tcBorders>
              <w:bottom w:val="nil"/>
            </w:tcBorders>
            <w:vAlign w:val="top"/>
          </w:tcPr>
          <w:p w14:paraId="47798F6D">
            <w:pPr>
              <w:spacing w:before="238" w:line="214" w:lineRule="auto"/>
              <w:ind w:left="22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807" w:type="dxa"/>
            <w:vAlign w:val="top"/>
          </w:tcPr>
          <w:p w14:paraId="5A8F0A95">
            <w:pPr>
              <w:spacing w:before="73" w:line="216" w:lineRule="auto"/>
              <w:ind w:left="22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表土</w:t>
            </w:r>
          </w:p>
        </w:tc>
        <w:tc>
          <w:tcPr>
            <w:tcW w:w="614" w:type="dxa"/>
            <w:vAlign w:val="top"/>
          </w:tcPr>
          <w:p w14:paraId="61E7385B">
            <w:pPr>
              <w:spacing w:before="103"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98" w:type="dxa"/>
            <w:vMerge w:val="restart"/>
            <w:tcBorders>
              <w:bottom w:val="nil"/>
            </w:tcBorders>
            <w:vAlign w:val="top"/>
          </w:tcPr>
          <w:p w14:paraId="23C4AB6B">
            <w:pPr>
              <w:spacing w:before="269"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553" w:type="dxa"/>
            <w:vAlign w:val="top"/>
          </w:tcPr>
          <w:p w14:paraId="240B569D">
            <w:pPr>
              <w:spacing w:before="103" w:line="188" w:lineRule="auto"/>
              <w:ind w:left="236"/>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68" w:type="dxa"/>
            <w:vMerge w:val="restart"/>
            <w:tcBorders>
              <w:bottom w:val="nil"/>
            </w:tcBorders>
            <w:vAlign w:val="top"/>
          </w:tcPr>
          <w:p w14:paraId="3F9654DA">
            <w:pPr>
              <w:spacing w:before="269"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w:t>
            </w:r>
          </w:p>
        </w:tc>
        <w:tc>
          <w:tcPr>
            <w:tcW w:w="738" w:type="dxa"/>
            <w:vAlign w:val="top"/>
          </w:tcPr>
          <w:p w14:paraId="5958C962">
            <w:pPr>
              <w:rPr>
                <w:rFonts w:ascii="Arial"/>
                <w:sz w:val="21"/>
              </w:rPr>
            </w:pPr>
          </w:p>
        </w:tc>
        <w:tc>
          <w:tcPr>
            <w:tcW w:w="738" w:type="dxa"/>
            <w:vAlign w:val="top"/>
          </w:tcPr>
          <w:p w14:paraId="7B918F7F">
            <w:pPr>
              <w:spacing w:before="103" w:line="188" w:lineRule="auto"/>
              <w:ind w:left="2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738" w:type="dxa"/>
            <w:vAlign w:val="top"/>
          </w:tcPr>
          <w:p w14:paraId="619B0CE5">
            <w:pPr>
              <w:rPr>
                <w:rFonts w:ascii="Arial"/>
                <w:sz w:val="21"/>
              </w:rPr>
            </w:pPr>
          </w:p>
        </w:tc>
        <w:tc>
          <w:tcPr>
            <w:tcW w:w="652" w:type="dxa"/>
            <w:tcBorders>
              <w:right w:val="single" w:color="000000" w:sz="10" w:space="0"/>
            </w:tcBorders>
            <w:vAlign w:val="top"/>
          </w:tcPr>
          <w:p w14:paraId="0BEF61C9">
            <w:pPr>
              <w:rPr>
                <w:rFonts w:ascii="Arial"/>
                <w:sz w:val="21"/>
              </w:rPr>
            </w:pPr>
          </w:p>
        </w:tc>
      </w:tr>
      <w:tr w14:paraId="75B4B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continue"/>
            <w:tcBorders>
              <w:top w:val="nil"/>
              <w:left w:val="single" w:color="000000" w:sz="10" w:space="0"/>
              <w:bottom w:val="nil"/>
            </w:tcBorders>
            <w:vAlign w:val="top"/>
          </w:tcPr>
          <w:p w14:paraId="760CFF89">
            <w:pPr>
              <w:rPr>
                <w:rFonts w:ascii="Arial"/>
                <w:sz w:val="21"/>
              </w:rPr>
            </w:pPr>
          </w:p>
        </w:tc>
        <w:tc>
          <w:tcPr>
            <w:tcW w:w="1528" w:type="dxa"/>
            <w:vMerge w:val="continue"/>
            <w:tcBorders>
              <w:top w:val="nil"/>
            </w:tcBorders>
            <w:vAlign w:val="top"/>
          </w:tcPr>
          <w:p w14:paraId="5AC1E8F5">
            <w:pPr>
              <w:rPr>
                <w:rFonts w:ascii="Arial"/>
                <w:sz w:val="21"/>
              </w:rPr>
            </w:pPr>
          </w:p>
        </w:tc>
        <w:tc>
          <w:tcPr>
            <w:tcW w:w="807" w:type="dxa"/>
            <w:vAlign w:val="top"/>
          </w:tcPr>
          <w:p w14:paraId="0D564142">
            <w:pPr>
              <w:spacing w:before="76" w:line="219" w:lineRule="auto"/>
              <w:ind w:left="1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土石方</w:t>
            </w:r>
          </w:p>
        </w:tc>
        <w:tc>
          <w:tcPr>
            <w:tcW w:w="614" w:type="dxa"/>
            <w:vAlign w:val="top"/>
          </w:tcPr>
          <w:p w14:paraId="7009832F">
            <w:pPr>
              <w:spacing w:before="106"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c>
          <w:tcPr>
            <w:tcW w:w="598" w:type="dxa"/>
            <w:vMerge w:val="continue"/>
            <w:tcBorders>
              <w:top w:val="nil"/>
            </w:tcBorders>
            <w:vAlign w:val="top"/>
          </w:tcPr>
          <w:p w14:paraId="34841A7B">
            <w:pPr>
              <w:rPr>
                <w:rFonts w:ascii="Arial"/>
                <w:sz w:val="21"/>
              </w:rPr>
            </w:pPr>
          </w:p>
        </w:tc>
        <w:tc>
          <w:tcPr>
            <w:tcW w:w="553" w:type="dxa"/>
            <w:vAlign w:val="top"/>
          </w:tcPr>
          <w:p w14:paraId="23726272">
            <w:pPr>
              <w:spacing w:before="106"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w:t>
            </w:r>
          </w:p>
        </w:tc>
        <w:tc>
          <w:tcPr>
            <w:tcW w:w="568" w:type="dxa"/>
            <w:vMerge w:val="continue"/>
            <w:tcBorders>
              <w:top w:val="nil"/>
            </w:tcBorders>
            <w:vAlign w:val="top"/>
          </w:tcPr>
          <w:p w14:paraId="11425674">
            <w:pPr>
              <w:rPr>
                <w:rFonts w:ascii="Arial"/>
                <w:sz w:val="21"/>
              </w:rPr>
            </w:pPr>
          </w:p>
        </w:tc>
        <w:tc>
          <w:tcPr>
            <w:tcW w:w="738" w:type="dxa"/>
            <w:vAlign w:val="top"/>
          </w:tcPr>
          <w:p w14:paraId="2469A1C5">
            <w:pPr>
              <w:rPr>
                <w:rFonts w:ascii="Arial"/>
                <w:sz w:val="21"/>
              </w:rPr>
            </w:pPr>
          </w:p>
        </w:tc>
        <w:tc>
          <w:tcPr>
            <w:tcW w:w="738" w:type="dxa"/>
            <w:vAlign w:val="top"/>
          </w:tcPr>
          <w:p w14:paraId="3AC7BB97">
            <w:pPr>
              <w:spacing w:before="106" w:line="188" w:lineRule="auto"/>
              <w:ind w:left="2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738" w:type="dxa"/>
            <w:vAlign w:val="top"/>
          </w:tcPr>
          <w:p w14:paraId="53D3C325">
            <w:pPr>
              <w:rPr>
                <w:rFonts w:ascii="Arial"/>
                <w:sz w:val="21"/>
              </w:rPr>
            </w:pPr>
          </w:p>
        </w:tc>
        <w:tc>
          <w:tcPr>
            <w:tcW w:w="652" w:type="dxa"/>
            <w:tcBorders>
              <w:right w:val="single" w:color="000000" w:sz="10" w:space="0"/>
            </w:tcBorders>
            <w:vAlign w:val="top"/>
          </w:tcPr>
          <w:p w14:paraId="2D5247F1">
            <w:pPr>
              <w:rPr>
                <w:rFonts w:ascii="Arial"/>
                <w:sz w:val="21"/>
              </w:rPr>
            </w:pPr>
          </w:p>
        </w:tc>
      </w:tr>
      <w:tr w14:paraId="46B4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continue"/>
            <w:tcBorders>
              <w:top w:val="nil"/>
              <w:left w:val="single" w:color="000000" w:sz="10" w:space="0"/>
              <w:bottom w:val="nil"/>
            </w:tcBorders>
            <w:vAlign w:val="top"/>
          </w:tcPr>
          <w:p w14:paraId="0BF13E9A">
            <w:pPr>
              <w:rPr>
                <w:rFonts w:ascii="Arial"/>
                <w:sz w:val="21"/>
              </w:rPr>
            </w:pPr>
          </w:p>
        </w:tc>
        <w:tc>
          <w:tcPr>
            <w:tcW w:w="1528" w:type="dxa"/>
            <w:vMerge w:val="restart"/>
            <w:tcBorders>
              <w:bottom w:val="nil"/>
            </w:tcBorders>
            <w:vAlign w:val="top"/>
          </w:tcPr>
          <w:p w14:paraId="25D0609B">
            <w:pPr>
              <w:spacing w:before="243" w:line="216" w:lineRule="auto"/>
              <w:ind w:left="39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c>
        <w:tc>
          <w:tcPr>
            <w:tcW w:w="807" w:type="dxa"/>
            <w:vAlign w:val="top"/>
          </w:tcPr>
          <w:p w14:paraId="206758E5">
            <w:pPr>
              <w:spacing w:before="81" w:line="216" w:lineRule="auto"/>
              <w:ind w:left="22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表土</w:t>
            </w:r>
          </w:p>
        </w:tc>
        <w:tc>
          <w:tcPr>
            <w:tcW w:w="614" w:type="dxa"/>
            <w:vAlign w:val="top"/>
          </w:tcPr>
          <w:p w14:paraId="007732C3">
            <w:pPr>
              <w:spacing w:before="111" w:line="188" w:lineRule="auto"/>
              <w:ind w:left="26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98" w:type="dxa"/>
            <w:vMerge w:val="restart"/>
            <w:tcBorders>
              <w:bottom w:val="nil"/>
            </w:tcBorders>
            <w:vAlign w:val="top"/>
          </w:tcPr>
          <w:p w14:paraId="717D4431">
            <w:pPr>
              <w:spacing w:before="27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53" w:type="dxa"/>
            <w:vAlign w:val="top"/>
          </w:tcPr>
          <w:p w14:paraId="2C594497">
            <w:pPr>
              <w:spacing w:before="111" w:line="188" w:lineRule="auto"/>
              <w:ind w:left="236"/>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68" w:type="dxa"/>
            <w:vMerge w:val="restart"/>
            <w:tcBorders>
              <w:bottom w:val="nil"/>
            </w:tcBorders>
            <w:vAlign w:val="top"/>
          </w:tcPr>
          <w:p w14:paraId="3D241AA4">
            <w:pPr>
              <w:spacing w:before="274"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738" w:type="dxa"/>
            <w:vAlign w:val="top"/>
          </w:tcPr>
          <w:p w14:paraId="1C4EBDDC">
            <w:pPr>
              <w:rPr>
                <w:rFonts w:ascii="Arial"/>
                <w:sz w:val="21"/>
              </w:rPr>
            </w:pPr>
          </w:p>
        </w:tc>
        <w:tc>
          <w:tcPr>
            <w:tcW w:w="738" w:type="dxa"/>
            <w:vAlign w:val="top"/>
          </w:tcPr>
          <w:p w14:paraId="175A698A">
            <w:pPr>
              <w:rPr>
                <w:rFonts w:ascii="Arial"/>
                <w:sz w:val="21"/>
              </w:rPr>
            </w:pPr>
          </w:p>
        </w:tc>
        <w:tc>
          <w:tcPr>
            <w:tcW w:w="738" w:type="dxa"/>
            <w:vAlign w:val="top"/>
          </w:tcPr>
          <w:p w14:paraId="721C335C">
            <w:pPr>
              <w:rPr>
                <w:rFonts w:ascii="Arial"/>
                <w:sz w:val="21"/>
              </w:rPr>
            </w:pPr>
          </w:p>
        </w:tc>
        <w:tc>
          <w:tcPr>
            <w:tcW w:w="652" w:type="dxa"/>
            <w:tcBorders>
              <w:right w:val="single" w:color="000000" w:sz="10" w:space="0"/>
            </w:tcBorders>
            <w:vAlign w:val="top"/>
          </w:tcPr>
          <w:p w14:paraId="4212A320">
            <w:pPr>
              <w:rPr>
                <w:rFonts w:ascii="Arial"/>
                <w:sz w:val="21"/>
              </w:rPr>
            </w:pPr>
          </w:p>
        </w:tc>
      </w:tr>
      <w:tr w14:paraId="23AB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continue"/>
            <w:tcBorders>
              <w:top w:val="nil"/>
              <w:left w:val="single" w:color="000000" w:sz="10" w:space="0"/>
              <w:bottom w:val="nil"/>
            </w:tcBorders>
            <w:vAlign w:val="top"/>
          </w:tcPr>
          <w:p w14:paraId="431BA3A6">
            <w:pPr>
              <w:rPr>
                <w:rFonts w:ascii="Arial"/>
                <w:sz w:val="21"/>
              </w:rPr>
            </w:pPr>
          </w:p>
        </w:tc>
        <w:tc>
          <w:tcPr>
            <w:tcW w:w="1528" w:type="dxa"/>
            <w:vMerge w:val="continue"/>
            <w:tcBorders>
              <w:top w:val="nil"/>
            </w:tcBorders>
            <w:vAlign w:val="top"/>
          </w:tcPr>
          <w:p w14:paraId="1E80B144">
            <w:pPr>
              <w:rPr>
                <w:rFonts w:ascii="Arial"/>
                <w:sz w:val="21"/>
              </w:rPr>
            </w:pPr>
          </w:p>
        </w:tc>
        <w:tc>
          <w:tcPr>
            <w:tcW w:w="807" w:type="dxa"/>
            <w:vAlign w:val="top"/>
          </w:tcPr>
          <w:p w14:paraId="652C8A69">
            <w:pPr>
              <w:spacing w:before="84" w:line="219" w:lineRule="auto"/>
              <w:ind w:left="1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土石方</w:t>
            </w:r>
          </w:p>
        </w:tc>
        <w:tc>
          <w:tcPr>
            <w:tcW w:w="614" w:type="dxa"/>
            <w:vAlign w:val="top"/>
          </w:tcPr>
          <w:p w14:paraId="34AECEB6">
            <w:pPr>
              <w:spacing w:before="114"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98" w:type="dxa"/>
            <w:vMerge w:val="continue"/>
            <w:tcBorders>
              <w:top w:val="nil"/>
            </w:tcBorders>
            <w:vAlign w:val="top"/>
          </w:tcPr>
          <w:p w14:paraId="79EC69B9">
            <w:pPr>
              <w:rPr>
                <w:rFonts w:ascii="Arial"/>
                <w:sz w:val="21"/>
              </w:rPr>
            </w:pPr>
          </w:p>
        </w:tc>
        <w:tc>
          <w:tcPr>
            <w:tcW w:w="553" w:type="dxa"/>
            <w:vAlign w:val="top"/>
          </w:tcPr>
          <w:p w14:paraId="743328DC">
            <w:pPr>
              <w:spacing w:before="114"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568" w:type="dxa"/>
            <w:vMerge w:val="continue"/>
            <w:tcBorders>
              <w:top w:val="nil"/>
            </w:tcBorders>
            <w:vAlign w:val="top"/>
          </w:tcPr>
          <w:p w14:paraId="5B6F8BBE">
            <w:pPr>
              <w:rPr>
                <w:rFonts w:ascii="Arial"/>
                <w:sz w:val="21"/>
              </w:rPr>
            </w:pPr>
          </w:p>
        </w:tc>
        <w:tc>
          <w:tcPr>
            <w:tcW w:w="738" w:type="dxa"/>
            <w:vAlign w:val="top"/>
          </w:tcPr>
          <w:p w14:paraId="3ACEA90E">
            <w:pPr>
              <w:spacing w:before="114"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738" w:type="dxa"/>
            <w:vAlign w:val="top"/>
          </w:tcPr>
          <w:p w14:paraId="15BE61FB">
            <w:pPr>
              <w:rPr>
                <w:rFonts w:ascii="Arial"/>
                <w:sz w:val="21"/>
              </w:rPr>
            </w:pPr>
          </w:p>
        </w:tc>
        <w:tc>
          <w:tcPr>
            <w:tcW w:w="738" w:type="dxa"/>
            <w:vAlign w:val="top"/>
          </w:tcPr>
          <w:p w14:paraId="3ED26F65">
            <w:pPr>
              <w:rPr>
                <w:rFonts w:ascii="Arial"/>
                <w:sz w:val="21"/>
              </w:rPr>
            </w:pPr>
          </w:p>
        </w:tc>
        <w:tc>
          <w:tcPr>
            <w:tcW w:w="652" w:type="dxa"/>
            <w:tcBorders>
              <w:right w:val="single" w:color="000000" w:sz="10" w:space="0"/>
            </w:tcBorders>
            <w:vAlign w:val="top"/>
          </w:tcPr>
          <w:p w14:paraId="6C3192BE">
            <w:pPr>
              <w:rPr>
                <w:rFonts w:ascii="Arial"/>
                <w:sz w:val="21"/>
              </w:rPr>
            </w:pPr>
          </w:p>
        </w:tc>
      </w:tr>
      <w:tr w14:paraId="39AAD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continue"/>
            <w:tcBorders>
              <w:top w:val="nil"/>
              <w:left w:val="single" w:color="000000" w:sz="10" w:space="0"/>
              <w:bottom w:val="nil"/>
            </w:tcBorders>
            <w:vAlign w:val="top"/>
          </w:tcPr>
          <w:p w14:paraId="7DCFE5B5">
            <w:pPr>
              <w:rPr>
                <w:rFonts w:ascii="Arial"/>
                <w:sz w:val="21"/>
              </w:rPr>
            </w:pPr>
          </w:p>
        </w:tc>
        <w:tc>
          <w:tcPr>
            <w:tcW w:w="1528" w:type="dxa"/>
            <w:vMerge w:val="restart"/>
            <w:tcBorders>
              <w:bottom w:val="nil"/>
            </w:tcBorders>
            <w:vAlign w:val="top"/>
          </w:tcPr>
          <w:p w14:paraId="569F9728">
            <w:pPr>
              <w:spacing w:before="249" w:line="216" w:lineRule="auto"/>
              <w:ind w:left="41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807" w:type="dxa"/>
            <w:vAlign w:val="top"/>
          </w:tcPr>
          <w:p w14:paraId="389DB0C7">
            <w:pPr>
              <w:spacing w:before="87" w:line="216" w:lineRule="auto"/>
              <w:ind w:left="22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表土</w:t>
            </w:r>
          </w:p>
        </w:tc>
        <w:tc>
          <w:tcPr>
            <w:tcW w:w="614" w:type="dxa"/>
            <w:vAlign w:val="top"/>
          </w:tcPr>
          <w:p w14:paraId="55F25602">
            <w:pPr>
              <w:spacing w:before="117" w:line="188" w:lineRule="auto"/>
              <w:ind w:left="265"/>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98" w:type="dxa"/>
            <w:vMerge w:val="restart"/>
            <w:tcBorders>
              <w:bottom w:val="nil"/>
            </w:tcBorders>
            <w:vAlign w:val="top"/>
          </w:tcPr>
          <w:p w14:paraId="696940CD">
            <w:pPr>
              <w:spacing w:before="280"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53" w:type="dxa"/>
            <w:vAlign w:val="top"/>
          </w:tcPr>
          <w:p w14:paraId="63AC9AE9">
            <w:pPr>
              <w:spacing w:before="117"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68" w:type="dxa"/>
            <w:vMerge w:val="restart"/>
            <w:tcBorders>
              <w:bottom w:val="nil"/>
            </w:tcBorders>
            <w:vAlign w:val="top"/>
          </w:tcPr>
          <w:p w14:paraId="58E9747E">
            <w:pPr>
              <w:spacing w:before="280"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738" w:type="dxa"/>
            <w:vAlign w:val="top"/>
          </w:tcPr>
          <w:p w14:paraId="7E43E977">
            <w:pPr>
              <w:spacing w:before="117"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738" w:type="dxa"/>
            <w:vAlign w:val="top"/>
          </w:tcPr>
          <w:p w14:paraId="50A49DEE">
            <w:pPr>
              <w:rPr>
                <w:rFonts w:ascii="Arial"/>
                <w:sz w:val="21"/>
              </w:rPr>
            </w:pPr>
          </w:p>
        </w:tc>
        <w:tc>
          <w:tcPr>
            <w:tcW w:w="738" w:type="dxa"/>
            <w:vAlign w:val="top"/>
          </w:tcPr>
          <w:p w14:paraId="169CEF74">
            <w:pPr>
              <w:rPr>
                <w:rFonts w:ascii="Arial"/>
                <w:sz w:val="21"/>
              </w:rPr>
            </w:pPr>
          </w:p>
        </w:tc>
        <w:tc>
          <w:tcPr>
            <w:tcW w:w="652" w:type="dxa"/>
            <w:tcBorders>
              <w:right w:val="single" w:color="000000" w:sz="10" w:space="0"/>
            </w:tcBorders>
            <w:vAlign w:val="top"/>
          </w:tcPr>
          <w:p w14:paraId="69218D4D">
            <w:pPr>
              <w:rPr>
                <w:rFonts w:ascii="Arial"/>
                <w:sz w:val="21"/>
              </w:rPr>
            </w:pPr>
          </w:p>
        </w:tc>
      </w:tr>
      <w:tr w14:paraId="3B66C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560" w:type="dxa"/>
            <w:vMerge w:val="continue"/>
            <w:tcBorders>
              <w:top w:val="nil"/>
              <w:left w:val="single" w:color="000000" w:sz="10" w:space="0"/>
            </w:tcBorders>
            <w:vAlign w:val="top"/>
          </w:tcPr>
          <w:p w14:paraId="7B678CF1">
            <w:pPr>
              <w:rPr>
                <w:rFonts w:ascii="Arial"/>
                <w:sz w:val="21"/>
              </w:rPr>
            </w:pPr>
          </w:p>
        </w:tc>
        <w:tc>
          <w:tcPr>
            <w:tcW w:w="1528" w:type="dxa"/>
            <w:vMerge w:val="continue"/>
            <w:tcBorders>
              <w:top w:val="nil"/>
            </w:tcBorders>
            <w:vAlign w:val="top"/>
          </w:tcPr>
          <w:p w14:paraId="2A2BDACA">
            <w:pPr>
              <w:rPr>
                <w:rFonts w:ascii="Arial"/>
                <w:sz w:val="21"/>
              </w:rPr>
            </w:pPr>
          </w:p>
        </w:tc>
        <w:tc>
          <w:tcPr>
            <w:tcW w:w="807" w:type="dxa"/>
            <w:vAlign w:val="top"/>
          </w:tcPr>
          <w:p w14:paraId="51329893">
            <w:pPr>
              <w:spacing w:before="89" w:line="219" w:lineRule="auto"/>
              <w:ind w:left="1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土石方</w:t>
            </w:r>
          </w:p>
        </w:tc>
        <w:tc>
          <w:tcPr>
            <w:tcW w:w="614" w:type="dxa"/>
            <w:vAlign w:val="top"/>
          </w:tcPr>
          <w:p w14:paraId="781B5138">
            <w:pPr>
              <w:spacing w:before="120"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98" w:type="dxa"/>
            <w:vMerge w:val="continue"/>
            <w:tcBorders>
              <w:top w:val="nil"/>
            </w:tcBorders>
            <w:vAlign w:val="top"/>
          </w:tcPr>
          <w:p w14:paraId="7489D97F">
            <w:pPr>
              <w:rPr>
                <w:rFonts w:ascii="Arial"/>
                <w:sz w:val="21"/>
              </w:rPr>
            </w:pPr>
          </w:p>
        </w:tc>
        <w:tc>
          <w:tcPr>
            <w:tcW w:w="553" w:type="dxa"/>
            <w:vAlign w:val="top"/>
          </w:tcPr>
          <w:p w14:paraId="7FB81A23">
            <w:pPr>
              <w:spacing w:before="120"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568" w:type="dxa"/>
            <w:vMerge w:val="continue"/>
            <w:tcBorders>
              <w:top w:val="nil"/>
            </w:tcBorders>
            <w:vAlign w:val="top"/>
          </w:tcPr>
          <w:p w14:paraId="4E765946">
            <w:pPr>
              <w:rPr>
                <w:rFonts w:ascii="Arial"/>
                <w:sz w:val="21"/>
              </w:rPr>
            </w:pPr>
          </w:p>
        </w:tc>
        <w:tc>
          <w:tcPr>
            <w:tcW w:w="738" w:type="dxa"/>
            <w:vAlign w:val="top"/>
          </w:tcPr>
          <w:p w14:paraId="323ECF1E">
            <w:pPr>
              <w:spacing w:before="120" w:line="188" w:lineRule="auto"/>
              <w:ind w:left="2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738" w:type="dxa"/>
            <w:vAlign w:val="top"/>
          </w:tcPr>
          <w:p w14:paraId="4395E098">
            <w:pPr>
              <w:rPr>
                <w:rFonts w:ascii="Arial"/>
                <w:sz w:val="21"/>
              </w:rPr>
            </w:pPr>
          </w:p>
        </w:tc>
        <w:tc>
          <w:tcPr>
            <w:tcW w:w="738" w:type="dxa"/>
            <w:vAlign w:val="top"/>
          </w:tcPr>
          <w:p w14:paraId="2A78750A">
            <w:pPr>
              <w:rPr>
                <w:rFonts w:ascii="Arial"/>
                <w:sz w:val="21"/>
              </w:rPr>
            </w:pPr>
          </w:p>
        </w:tc>
        <w:tc>
          <w:tcPr>
            <w:tcW w:w="652" w:type="dxa"/>
            <w:tcBorders>
              <w:right w:val="single" w:color="000000" w:sz="10" w:space="0"/>
            </w:tcBorders>
            <w:vAlign w:val="top"/>
          </w:tcPr>
          <w:p w14:paraId="54F75146">
            <w:pPr>
              <w:rPr>
                <w:rFonts w:ascii="Arial"/>
                <w:sz w:val="21"/>
              </w:rPr>
            </w:pPr>
          </w:p>
        </w:tc>
      </w:tr>
      <w:tr w14:paraId="468FD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560" w:type="dxa"/>
            <w:tcBorders>
              <w:left w:val="single" w:color="000000" w:sz="10" w:space="0"/>
              <w:bottom w:val="single" w:color="000000" w:sz="10" w:space="0"/>
              <w:right w:val="nil"/>
            </w:tcBorders>
            <w:vAlign w:val="top"/>
          </w:tcPr>
          <w:p w14:paraId="6C6DE2F4">
            <w:pPr>
              <w:rPr>
                <w:rFonts w:ascii="Arial"/>
                <w:sz w:val="21"/>
              </w:rPr>
            </w:pPr>
          </w:p>
        </w:tc>
        <w:tc>
          <w:tcPr>
            <w:tcW w:w="2335" w:type="dxa"/>
            <w:gridSpan w:val="2"/>
            <w:tcBorders>
              <w:left w:val="nil"/>
              <w:bottom w:val="single" w:color="000000" w:sz="10" w:space="0"/>
            </w:tcBorders>
            <w:vAlign w:val="top"/>
          </w:tcPr>
          <w:p w14:paraId="2CF1BCC4">
            <w:pPr>
              <w:spacing w:before="91" w:line="216" w:lineRule="auto"/>
              <w:ind w:left="215"/>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614" w:type="dxa"/>
            <w:tcBorders>
              <w:bottom w:val="single" w:color="000000" w:sz="10" w:space="0"/>
            </w:tcBorders>
            <w:vAlign w:val="top"/>
          </w:tcPr>
          <w:p w14:paraId="273F1818">
            <w:pPr>
              <w:spacing w:before="122"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598" w:type="dxa"/>
            <w:tcBorders>
              <w:bottom w:val="single" w:color="000000" w:sz="10" w:space="0"/>
            </w:tcBorders>
            <w:vAlign w:val="top"/>
          </w:tcPr>
          <w:p w14:paraId="3D6644BD">
            <w:pPr>
              <w:spacing w:before="122" w:line="188" w:lineRule="auto"/>
              <w:ind w:left="1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553" w:type="dxa"/>
            <w:tcBorders>
              <w:bottom w:val="single" w:color="000000" w:sz="10" w:space="0"/>
            </w:tcBorders>
            <w:vAlign w:val="top"/>
          </w:tcPr>
          <w:p w14:paraId="1BD58E19">
            <w:pPr>
              <w:spacing w:before="122"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568" w:type="dxa"/>
            <w:tcBorders>
              <w:bottom w:val="single" w:color="000000" w:sz="10" w:space="0"/>
            </w:tcBorders>
            <w:vAlign w:val="top"/>
          </w:tcPr>
          <w:p w14:paraId="1489EB85">
            <w:pPr>
              <w:spacing w:before="122" w:line="188" w:lineRule="auto"/>
              <w:ind w:left="1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738" w:type="dxa"/>
            <w:tcBorders>
              <w:bottom w:val="single" w:color="000000" w:sz="10" w:space="0"/>
            </w:tcBorders>
            <w:vAlign w:val="top"/>
          </w:tcPr>
          <w:p w14:paraId="49FD2065">
            <w:pPr>
              <w:rPr>
                <w:rFonts w:ascii="Arial"/>
                <w:sz w:val="21"/>
              </w:rPr>
            </w:pPr>
          </w:p>
        </w:tc>
        <w:tc>
          <w:tcPr>
            <w:tcW w:w="738" w:type="dxa"/>
            <w:tcBorders>
              <w:bottom w:val="single" w:color="000000" w:sz="10" w:space="0"/>
            </w:tcBorders>
            <w:vAlign w:val="top"/>
          </w:tcPr>
          <w:p w14:paraId="446DB51E">
            <w:pPr>
              <w:rPr>
                <w:rFonts w:ascii="Arial"/>
                <w:sz w:val="21"/>
              </w:rPr>
            </w:pPr>
          </w:p>
        </w:tc>
        <w:tc>
          <w:tcPr>
            <w:tcW w:w="738" w:type="dxa"/>
            <w:tcBorders>
              <w:bottom w:val="single" w:color="000000" w:sz="10" w:space="0"/>
            </w:tcBorders>
            <w:vAlign w:val="top"/>
          </w:tcPr>
          <w:p w14:paraId="0FFF60B5">
            <w:pPr>
              <w:rPr>
                <w:rFonts w:ascii="Arial"/>
                <w:sz w:val="21"/>
              </w:rPr>
            </w:pPr>
          </w:p>
        </w:tc>
        <w:tc>
          <w:tcPr>
            <w:tcW w:w="652" w:type="dxa"/>
            <w:tcBorders>
              <w:bottom w:val="single" w:color="000000" w:sz="10" w:space="0"/>
              <w:right w:val="single" w:color="000000" w:sz="10" w:space="0"/>
            </w:tcBorders>
            <w:vAlign w:val="top"/>
          </w:tcPr>
          <w:p w14:paraId="4C167C54">
            <w:pPr>
              <w:rPr>
                <w:rFonts w:ascii="Arial"/>
                <w:sz w:val="21"/>
              </w:rPr>
            </w:pPr>
          </w:p>
        </w:tc>
      </w:tr>
    </w:tbl>
    <w:p w14:paraId="4588E754">
      <w:pPr>
        <w:spacing w:before="224" w:line="216" w:lineRule="auto"/>
        <w:ind w:left="368"/>
        <w:rPr>
          <w:rFonts w:ascii="FangSong_GB2312" w:hAnsi="FangSong_GB2312" w:eastAsia="FangSong_GB2312" w:cs="FangSong_GB2312"/>
          <w:sz w:val="18"/>
          <w:szCs w:val="18"/>
        </w:rPr>
      </w:pPr>
      <w:r>
        <w:pict>
          <v:shape id="_x0000_s1044" o:spid="_x0000_s1044" o:spt="202" type="#_x0000_t202" style="position:absolute;left:0pt;margin-left:160.8pt;margin-top:8.15pt;height:15.4pt;width:271.25pt;z-index:251706368;mso-width-relative:page;mso-height-relative:page;" filled="f" stroked="f" coordsize="21600,21600">
            <v:path/>
            <v:fill on="f" focussize="0,0"/>
            <v:stroke on="f"/>
            <v:imagedata o:title=""/>
            <o:lock v:ext="edit" aspectratio="f"/>
            <v:textbox inset="0mm,0mm,0mm,0mm">
              <w:txbxContent>
                <w:p w14:paraId="6EF8E259">
                  <w:pPr>
                    <w:spacing w:before="19" w:line="234" w:lineRule="auto"/>
                    <w:ind w:left="20"/>
                    <w:rPr>
                      <w:rFonts w:ascii="Times New Roman" w:hAnsi="Times New Roman" w:eastAsia="Times New Roman" w:cs="Times New Roman"/>
                      <w:sz w:val="11"/>
                      <w:szCs w:val="11"/>
                    </w:rPr>
                  </w:pPr>
                  <w:r>
                    <w:rPr>
                      <w:rFonts w:ascii="FangSong_GB2312" w:hAnsi="FangSong_GB2312" w:eastAsia="FangSong_GB2312" w:cs="FangSong_GB2312"/>
                      <w:spacing w:val="-12"/>
                      <w:position w:val="-3"/>
                      <w:sz w:val="18"/>
                      <w:szCs w:val="18"/>
                    </w:rPr>
                    <w:t>挖方</w:t>
                  </w:r>
                  <w:r>
                    <w:rPr>
                      <w:rFonts w:ascii="Times New Roman" w:hAnsi="Times New Roman" w:eastAsia="Times New Roman" w:cs="Times New Roman"/>
                      <w:spacing w:val="-12"/>
                      <w:position w:val="-3"/>
                      <w:sz w:val="18"/>
                      <w:szCs w:val="18"/>
                    </w:rPr>
                    <w:t>/</w:t>
                  </w:r>
                  <w:r>
                    <w:rPr>
                      <w:rFonts w:ascii="FangSong_GB2312" w:hAnsi="FangSong_GB2312" w:eastAsia="FangSong_GB2312" w:cs="FangSong_GB2312"/>
                      <w:spacing w:val="-12"/>
                      <w:position w:val="-3"/>
                      <w:sz w:val="18"/>
                      <w:szCs w:val="18"/>
                    </w:rPr>
                    <w:t>万</w:t>
                  </w:r>
                  <w:r>
                    <w:rPr>
                      <w:rFonts w:ascii="Times New Roman" w:hAnsi="Times New Roman" w:eastAsia="Times New Roman" w:cs="Times New Roman"/>
                      <w:spacing w:val="-12"/>
                      <w:position w:val="-3"/>
                      <w:sz w:val="18"/>
                      <w:szCs w:val="18"/>
                    </w:rPr>
                    <w:t>m</w:t>
                  </w:r>
                  <w:r>
                    <w:rPr>
                      <w:rFonts w:ascii="Times New Roman" w:hAnsi="Times New Roman" w:eastAsia="Times New Roman" w:cs="Times New Roman"/>
                      <w:spacing w:val="7"/>
                      <w:position w:val="2"/>
                      <w:sz w:val="11"/>
                      <w:szCs w:val="11"/>
                    </w:rPr>
                    <w:t>3</w:t>
                  </w:r>
                  <w:r>
                    <w:rPr>
                      <w:rFonts w:ascii="Times New Roman" w:hAnsi="Times New Roman" w:eastAsia="Times New Roman" w:cs="Times New Roman"/>
                      <w:spacing w:val="1"/>
                      <w:position w:val="2"/>
                      <w:sz w:val="11"/>
                      <w:szCs w:val="11"/>
                    </w:rPr>
                    <w:t xml:space="preserve">                          </w:t>
                  </w:r>
                  <w:r>
                    <w:rPr>
                      <w:rFonts w:ascii="Times New Roman" w:hAnsi="Times New Roman" w:eastAsia="Times New Roman" w:cs="Times New Roman"/>
                      <w:position w:val="2"/>
                      <w:sz w:val="11"/>
                      <w:szCs w:val="11"/>
                    </w:rPr>
                    <w:t xml:space="preserve">   </w:t>
                  </w:r>
                  <w:r>
                    <w:rPr>
                      <w:rFonts w:ascii="FangSong_GB2312" w:hAnsi="FangSong_GB2312" w:eastAsia="FangSong_GB2312" w:cs="FangSong_GB2312"/>
                      <w:spacing w:val="-11"/>
                      <w:sz w:val="18"/>
                      <w:szCs w:val="18"/>
                    </w:rPr>
                    <w:t>填方</w:t>
                  </w:r>
                  <w:r>
                    <w:rPr>
                      <w:rFonts w:ascii="Times New Roman" w:hAnsi="Times New Roman" w:eastAsia="Times New Roman" w:cs="Times New Roman"/>
                      <w:spacing w:val="-11"/>
                      <w:sz w:val="18"/>
                      <w:szCs w:val="18"/>
                    </w:rPr>
                    <w:t>/</w:t>
                  </w:r>
                  <w:r>
                    <w:rPr>
                      <w:rFonts w:ascii="FangSong_GB2312" w:hAnsi="FangSong_GB2312" w:eastAsia="FangSong_GB2312" w:cs="FangSong_GB2312"/>
                      <w:spacing w:val="-11"/>
                      <w:sz w:val="18"/>
                      <w:szCs w:val="18"/>
                    </w:rPr>
                    <w:t>万</w:t>
                  </w:r>
                  <w:r>
                    <w:rPr>
                      <w:rFonts w:ascii="Times New Roman" w:hAnsi="Times New Roman" w:eastAsia="Times New Roman" w:cs="Times New Roman"/>
                      <w:spacing w:val="-11"/>
                      <w:sz w:val="18"/>
                      <w:szCs w:val="18"/>
                    </w:rPr>
                    <w:t>m</w:t>
                  </w:r>
                  <w:r>
                    <w:rPr>
                      <w:rFonts w:ascii="Times New Roman" w:hAnsi="Times New Roman" w:eastAsia="Times New Roman" w:cs="Times New Roman"/>
                      <w:spacing w:val="5"/>
                      <w:position w:val="5"/>
                      <w:sz w:val="11"/>
                      <w:szCs w:val="11"/>
                    </w:rPr>
                    <w:t>3</w:t>
                  </w:r>
                  <w:r>
                    <w:rPr>
                      <w:rFonts w:ascii="Times New Roman" w:hAnsi="Times New Roman" w:eastAsia="Times New Roman" w:cs="Times New Roman"/>
                      <w:position w:val="5"/>
                      <w:sz w:val="11"/>
                      <w:szCs w:val="11"/>
                    </w:rPr>
                    <w:t xml:space="preserve">                              </w:t>
                  </w:r>
                  <w:r>
                    <w:rPr>
                      <w:rFonts w:ascii="FangSong_GB2312" w:hAnsi="FangSong_GB2312" w:eastAsia="FangSong_GB2312" w:cs="FangSong_GB2312"/>
                      <w:spacing w:val="-10"/>
                      <w:position w:val="1"/>
                      <w:sz w:val="18"/>
                      <w:szCs w:val="18"/>
                    </w:rPr>
                    <w:t>借方</w:t>
                  </w:r>
                  <w:r>
                    <w:rPr>
                      <w:rFonts w:ascii="Times New Roman" w:hAnsi="Times New Roman" w:eastAsia="Times New Roman" w:cs="Times New Roman"/>
                      <w:spacing w:val="-10"/>
                      <w:position w:val="1"/>
                      <w:sz w:val="18"/>
                      <w:szCs w:val="18"/>
                    </w:rPr>
                    <w:t>/</w:t>
                  </w:r>
                  <w:r>
                    <w:rPr>
                      <w:rFonts w:ascii="FangSong_GB2312" w:hAnsi="FangSong_GB2312" w:eastAsia="FangSong_GB2312" w:cs="FangSong_GB2312"/>
                      <w:spacing w:val="-10"/>
                      <w:position w:val="1"/>
                      <w:sz w:val="18"/>
                      <w:szCs w:val="18"/>
                    </w:rPr>
                    <w:t>万</w:t>
                  </w:r>
                  <w:r>
                    <w:rPr>
                      <w:rFonts w:ascii="Times New Roman" w:hAnsi="Times New Roman" w:eastAsia="Times New Roman" w:cs="Times New Roman"/>
                      <w:spacing w:val="-10"/>
                      <w:position w:val="1"/>
                      <w:sz w:val="18"/>
                      <w:szCs w:val="18"/>
                    </w:rPr>
                    <w:t>m</w:t>
                  </w:r>
                  <w:r>
                    <w:rPr>
                      <w:rFonts w:ascii="Times New Roman" w:hAnsi="Times New Roman" w:eastAsia="Times New Roman" w:cs="Times New Roman"/>
                      <w:spacing w:val="3"/>
                      <w:position w:val="7"/>
                      <w:sz w:val="11"/>
                      <w:szCs w:val="11"/>
                    </w:rPr>
                    <w:t>3</w:t>
                  </w:r>
                  <w:r>
                    <w:rPr>
                      <w:rFonts w:ascii="Times New Roman" w:hAnsi="Times New Roman" w:eastAsia="Times New Roman" w:cs="Times New Roman"/>
                      <w:spacing w:val="1"/>
                      <w:position w:val="7"/>
                      <w:sz w:val="11"/>
                      <w:szCs w:val="11"/>
                    </w:rPr>
                    <w:t xml:space="preserve">                       </w:t>
                  </w:r>
                  <w:r>
                    <w:rPr>
                      <w:rFonts w:ascii="Times New Roman" w:hAnsi="Times New Roman" w:eastAsia="Times New Roman" w:cs="Times New Roman"/>
                      <w:position w:val="7"/>
                      <w:sz w:val="11"/>
                      <w:szCs w:val="11"/>
                    </w:rPr>
                    <w:t xml:space="preserve">     </w:t>
                  </w:r>
                  <w:r>
                    <w:rPr>
                      <w:rFonts w:ascii="FangSong_GB2312" w:hAnsi="FangSong_GB2312" w:eastAsia="FangSong_GB2312" w:cs="FangSong_GB2312"/>
                      <w:spacing w:val="-11"/>
                      <w:position w:val="1"/>
                      <w:sz w:val="18"/>
                      <w:szCs w:val="18"/>
                    </w:rPr>
                    <w:t>余方</w:t>
                  </w:r>
                  <w:r>
                    <w:rPr>
                      <w:rFonts w:ascii="Times New Roman" w:hAnsi="Times New Roman" w:eastAsia="Times New Roman" w:cs="Times New Roman"/>
                      <w:spacing w:val="-11"/>
                      <w:position w:val="1"/>
                      <w:sz w:val="18"/>
                      <w:szCs w:val="18"/>
                    </w:rPr>
                    <w:t>/</w:t>
                  </w:r>
                  <w:r>
                    <w:rPr>
                      <w:rFonts w:ascii="FangSong_GB2312" w:hAnsi="FangSong_GB2312" w:eastAsia="FangSong_GB2312" w:cs="FangSong_GB2312"/>
                      <w:spacing w:val="-11"/>
                      <w:position w:val="1"/>
                      <w:sz w:val="18"/>
                      <w:szCs w:val="18"/>
                    </w:rPr>
                    <w:t>万</w:t>
                  </w:r>
                  <w:r>
                    <w:rPr>
                      <w:rFonts w:ascii="Times New Roman" w:hAnsi="Times New Roman" w:eastAsia="Times New Roman" w:cs="Times New Roman"/>
                      <w:spacing w:val="-11"/>
                      <w:position w:val="1"/>
                      <w:sz w:val="18"/>
                      <w:szCs w:val="18"/>
                    </w:rPr>
                    <w:t>m</w:t>
                  </w:r>
                  <w:r>
                    <w:rPr>
                      <w:rFonts w:ascii="Times New Roman" w:hAnsi="Times New Roman" w:eastAsia="Times New Roman" w:cs="Times New Roman"/>
                      <w:spacing w:val="5"/>
                      <w:position w:val="7"/>
                      <w:sz w:val="11"/>
                      <w:szCs w:val="11"/>
                    </w:rPr>
                    <w:t>3</w:t>
                  </w:r>
                </w:p>
              </w:txbxContent>
            </v:textbox>
          </v:shape>
        </w:pict>
      </w:r>
      <w:r>
        <w:pict>
          <v:shape id="_x0000_s1045" o:spid="_x0000_s1045" o:spt="202" type="#_x0000_t202" style="position:absolute;left:0pt;margin-left:86.75pt;margin-top:10.15pt;height:12.6pt;width:33.95pt;z-index:251711488;mso-width-relative:page;mso-height-relative:page;" filled="f" stroked="f" coordsize="21600,21600">
            <v:path/>
            <v:fill on="f" focussize="0,0"/>
            <v:stroke on="f"/>
            <v:imagedata o:title=""/>
            <o:lock v:ext="edit" aspectratio="f"/>
            <v:textbox inset="0mm,0mm,0mm,0mm">
              <w:txbxContent>
                <w:p w14:paraId="76440A89">
                  <w:pPr>
                    <w:spacing w:before="20" w:line="217" w:lineRule="auto"/>
                    <w:jc w:val="right"/>
                    <w:rPr>
                      <w:rFonts w:ascii="FangSong_GB2312" w:hAnsi="FangSong_GB2312" w:eastAsia="FangSong_GB2312" w:cs="FangSong_GB2312"/>
                      <w:sz w:val="18"/>
                      <w:szCs w:val="18"/>
                    </w:rPr>
                  </w:pPr>
                  <w:r>
                    <w:rPr>
                      <w:rFonts w:ascii="FangSong_GB2312" w:hAnsi="FangSong_GB2312" w:eastAsia="FangSong_GB2312" w:cs="FangSong_GB2312"/>
                      <w:spacing w:val="-16"/>
                      <w:sz w:val="18"/>
                      <w:szCs w:val="18"/>
                    </w:rPr>
                    <w:t>项目分区</w:t>
                  </w:r>
                </w:p>
              </w:txbxContent>
            </v:textbox>
          </v:shape>
        </w:pict>
      </w:r>
      <w:r>
        <w:drawing>
          <wp:anchor distT="0" distB="0" distL="0" distR="0" simplePos="0" relativeHeight="251705344" behindDoc="1" locked="0" layoutInCell="1" allowOverlap="1">
            <wp:simplePos x="0" y="0"/>
            <wp:positionH relativeFrom="column">
              <wp:posOffset>114935</wp:posOffset>
            </wp:positionH>
            <wp:positionV relativeFrom="paragraph">
              <wp:posOffset>29845</wp:posOffset>
            </wp:positionV>
            <wp:extent cx="5472430" cy="210629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4"/>
                    <a:stretch>
                      <a:fillRect/>
                    </a:stretch>
                  </pic:blipFill>
                  <pic:spPr>
                    <a:xfrm>
                      <a:off x="0" y="0"/>
                      <a:ext cx="5472430" cy="2106295"/>
                    </a:xfrm>
                    <a:prstGeom prst="rect">
                      <a:avLst/>
                    </a:prstGeom>
                  </pic:spPr>
                </pic:pic>
              </a:graphicData>
            </a:graphic>
          </wp:anchor>
        </w:drawing>
      </w:r>
      <w:r>
        <w:rPr>
          <w:rFonts w:ascii="FangSong_GB2312" w:hAnsi="FangSong_GB2312" w:eastAsia="FangSong_GB2312" w:cs="FangSong_GB2312"/>
          <w:spacing w:val="-16"/>
          <w:sz w:val="18"/>
          <w:szCs w:val="18"/>
        </w:rPr>
        <w:t>项目名称</w:t>
      </w:r>
    </w:p>
    <w:p w14:paraId="4176BA27">
      <w:pPr>
        <w:pStyle w:val="2"/>
        <w:spacing w:line="436" w:lineRule="auto"/>
      </w:pPr>
    </w:p>
    <w:p w14:paraId="474D7BBC">
      <w:pPr>
        <w:spacing w:before="59" w:line="216" w:lineRule="auto"/>
        <w:ind w:left="43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剑阁</w:t>
      </w:r>
    </w:p>
    <w:p w14:paraId="3795BB18">
      <w:pPr>
        <w:spacing w:before="22" w:line="217" w:lineRule="auto"/>
        <w:ind w:left="436"/>
        <w:rPr>
          <w:rFonts w:ascii="FangSong_GB2312" w:hAnsi="FangSong_GB2312" w:eastAsia="FangSong_GB2312" w:cs="FangSong_GB2312"/>
          <w:sz w:val="18"/>
          <w:szCs w:val="18"/>
        </w:rPr>
      </w:pPr>
      <w:r>
        <w:pict>
          <v:shape id="_x0000_s1046" o:spid="_x0000_s1046" o:spt="202" type="#_x0000_t202" style="position:absolute;left:0pt;margin-left:246.45pt;margin-top:-3.5pt;height:109.6pt;width:18.45pt;z-index:251708416;mso-width-relative:page;mso-height-relative:page;" filled="f" stroked="f" coordsize="21600,21600">
            <v:path/>
            <v:fill on="f" focussize="0,0"/>
            <v:stroke on="f"/>
            <v:imagedata o:title=""/>
            <o:lock v:ext="edit" aspectratio="f"/>
            <v:textbox inset="0mm,0mm,0mm,0mm">
              <w:txbxContent>
                <w:p w14:paraId="3A6742D4">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0.04</w:t>
                  </w:r>
                </w:p>
                <w:p w14:paraId="2863E613">
                  <w:pPr>
                    <w:pStyle w:val="2"/>
                    <w:spacing w:line="457" w:lineRule="auto"/>
                  </w:pPr>
                </w:p>
                <w:p w14:paraId="3722DBBD">
                  <w:pPr>
                    <w:spacing w:before="52" w:line="188" w:lineRule="auto"/>
                    <w:ind w:right="9"/>
                    <w:jc w:val="right"/>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0.02</w:t>
                  </w:r>
                </w:p>
                <w:p w14:paraId="3EA8DD88">
                  <w:pPr>
                    <w:pStyle w:val="2"/>
                    <w:spacing w:line="452" w:lineRule="auto"/>
                  </w:pPr>
                </w:p>
                <w:p w14:paraId="046CDA36">
                  <w:pPr>
                    <w:spacing w:before="52" w:line="188" w:lineRule="auto"/>
                    <w:ind w:left="5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0.03</w:t>
                  </w:r>
                </w:p>
                <w:p w14:paraId="74573803">
                  <w:pPr>
                    <w:pStyle w:val="2"/>
                    <w:spacing w:line="429" w:lineRule="auto"/>
                  </w:pPr>
                </w:p>
                <w:p w14:paraId="4FB30B73">
                  <w:pPr>
                    <w:spacing w:before="51" w:line="188" w:lineRule="auto"/>
                    <w:ind w:left="68"/>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0.09</w:t>
                  </w:r>
                </w:p>
              </w:txbxContent>
            </v:textbox>
          </v:shape>
        </w:pict>
      </w:r>
      <w:r>
        <w:pict>
          <v:shape id="_x0000_s1047" o:spid="_x0000_s1047" o:spt="202" type="#_x0000_t202" style="position:absolute;left:0pt;margin-left:170.5pt;margin-top:-3.1pt;height:108.05pt;width:16.55pt;z-index:251709440;mso-width-relative:page;mso-height-relative:page;" filled="f" stroked="f" coordsize="21600,21600">
            <v:path/>
            <v:fill on="f" focussize="0,0"/>
            <v:stroke on="f"/>
            <v:imagedata o:title=""/>
            <o:lock v:ext="edit" aspectratio="f"/>
            <v:textbox inset="0mm,0mm,0mm,0mm">
              <w:txbxContent>
                <w:p w14:paraId="6DDFC016">
                  <w:pPr>
                    <w:spacing w:before="20" w:line="188" w:lineRule="auto"/>
                    <w:ind w:left="3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0.07</w:t>
                  </w:r>
                </w:p>
                <w:p w14:paraId="27D6C1E0">
                  <w:pPr>
                    <w:pStyle w:val="2"/>
                    <w:spacing w:line="479" w:lineRule="auto"/>
                  </w:pPr>
                </w:p>
                <w:p w14:paraId="2734FB36">
                  <w:pPr>
                    <w:spacing w:before="51"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0.01</w:t>
                  </w:r>
                </w:p>
                <w:p w14:paraId="510BF808">
                  <w:pPr>
                    <w:pStyle w:val="2"/>
                    <w:spacing w:line="407" w:lineRule="auto"/>
                  </w:pPr>
                </w:p>
                <w:p w14:paraId="17A80643">
                  <w:pPr>
                    <w:spacing w:before="52" w:line="188" w:lineRule="auto"/>
                    <w:ind w:left="39"/>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0.01</w:t>
                  </w:r>
                </w:p>
                <w:p w14:paraId="1738A3AB">
                  <w:pPr>
                    <w:pStyle w:val="2"/>
                    <w:spacing w:line="421" w:lineRule="auto"/>
                  </w:pPr>
                </w:p>
                <w:p w14:paraId="54CD9C5E">
                  <w:pPr>
                    <w:spacing w:before="52" w:line="188" w:lineRule="auto"/>
                    <w:ind w:left="2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0.09</w:t>
                  </w:r>
                </w:p>
              </w:txbxContent>
            </v:textbox>
          </v:shape>
        </w:pict>
      </w:r>
      <w:r>
        <w:pict>
          <v:shape id="_x0000_s1048" o:spid="_x0000_s1048" o:spt="202" type="#_x0000_t202" style="position:absolute;left:0pt;margin-left:74.85pt;margin-top:-4.4pt;height:45.9pt;width:55.75pt;z-index:251707392;mso-width-relative:page;mso-height-relative:page;" filled="f" stroked="f" coordsize="21600,21600">
            <v:path/>
            <v:fill on="f" focussize="0,0"/>
            <v:stroke on="f"/>
            <v:imagedata o:title=""/>
            <o:lock v:ext="edit" aspectratio="f"/>
            <v:textbox inset="0mm,0mm,0mm,0mm">
              <w:txbxContent>
                <w:p w14:paraId="0D03759D">
                  <w:pPr>
                    <w:spacing w:before="19" w:line="214"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p w14:paraId="23DFA1EF">
                  <w:pPr>
                    <w:pStyle w:val="2"/>
                    <w:spacing w:line="397" w:lineRule="auto"/>
                  </w:pPr>
                </w:p>
                <w:p w14:paraId="57A8665F">
                  <w:pPr>
                    <w:spacing w:before="59" w:line="216" w:lineRule="auto"/>
                    <w:ind w:left="2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xbxContent>
            </v:textbox>
          </v:shape>
        </w:pict>
      </w:r>
      <w:r>
        <w:rPr>
          <w:rFonts w:ascii="FangSong_GB2312" w:hAnsi="FangSong_GB2312" w:eastAsia="FangSong_GB2312" w:cs="FangSong_GB2312"/>
          <w:spacing w:val="-3"/>
          <w:sz w:val="18"/>
          <w:szCs w:val="18"/>
        </w:rPr>
        <w:t>县义</w:t>
      </w:r>
    </w:p>
    <w:p w14:paraId="29B8E849">
      <w:pPr>
        <w:spacing w:before="21" w:line="214" w:lineRule="auto"/>
        <w:ind w:left="44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兴镇</w:t>
      </w:r>
    </w:p>
    <w:p w14:paraId="111BBC51">
      <w:pPr>
        <w:spacing w:before="25" w:line="219" w:lineRule="auto"/>
        <w:ind w:left="44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干部</w:t>
      </w:r>
    </w:p>
    <w:p w14:paraId="4784CC8A">
      <w:pPr>
        <w:spacing w:before="19" w:line="221" w:lineRule="auto"/>
        <w:ind w:left="44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职工</w:t>
      </w:r>
    </w:p>
    <w:p w14:paraId="7C83B589">
      <w:pPr>
        <w:spacing w:before="19" w:line="216" w:lineRule="auto"/>
        <w:ind w:left="43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周转</w:t>
      </w:r>
    </w:p>
    <w:p w14:paraId="2F3D9ADB">
      <w:pPr>
        <w:spacing w:before="22" w:line="214" w:lineRule="auto"/>
        <w:ind w:left="438"/>
        <w:rPr>
          <w:rFonts w:ascii="FangSong_GB2312" w:hAnsi="FangSong_GB2312" w:eastAsia="FangSong_GB2312" w:cs="FangSong_GB2312"/>
          <w:sz w:val="18"/>
          <w:szCs w:val="18"/>
        </w:rPr>
      </w:pPr>
      <w:r>
        <w:pict>
          <v:shape id="_x0000_s1049" o:spid="_x0000_s1049" o:spt="202" type="#_x0000_t202" style="position:absolute;left:0pt;margin-left:85.55pt;margin-top:2.85pt;height:12.55pt;width:37.3pt;z-index:251710464;mso-width-relative:page;mso-height-relative:page;" filled="f" stroked="f" coordsize="21600,21600">
            <v:path/>
            <v:fill on="f" focussize="0,0"/>
            <v:stroke on="f"/>
            <v:imagedata o:title=""/>
            <o:lock v:ext="edit" aspectratio="f"/>
            <v:textbox inset="0mm,0mm,0mm,0mm">
              <w:txbxContent>
                <w:p w14:paraId="2EF5D567">
                  <w:pPr>
                    <w:spacing w:before="19" w:line="216"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xbxContent>
            </v:textbox>
          </v:shape>
        </w:pict>
      </w:r>
      <w:r>
        <w:rPr>
          <w:rFonts w:ascii="FangSong_GB2312" w:hAnsi="FangSong_GB2312" w:eastAsia="FangSong_GB2312" w:cs="FangSong_GB2312"/>
          <w:spacing w:val="-4"/>
          <w:sz w:val="18"/>
          <w:szCs w:val="18"/>
        </w:rPr>
        <w:t>房建</w:t>
      </w:r>
    </w:p>
    <w:p w14:paraId="53A40312">
      <w:pPr>
        <w:spacing w:before="25" w:line="217" w:lineRule="auto"/>
        <w:ind w:left="43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设项</w:t>
      </w:r>
    </w:p>
    <w:p w14:paraId="6AF0C79F">
      <w:pPr>
        <w:pStyle w:val="2"/>
      </w:pPr>
    </w:p>
    <w:p w14:paraId="61632D23">
      <w:pPr>
        <w:spacing w:before="53" w:line="188" w:lineRule="auto"/>
        <w:ind w:left="8194"/>
        <w:rPr>
          <w:rFonts w:ascii="Times New Roman" w:hAnsi="Times New Roman" w:eastAsia="Times New Roman" w:cs="Times New Roman"/>
          <w:sz w:val="18"/>
          <w:szCs w:val="18"/>
        </w:rPr>
      </w:pPr>
      <w:r>
        <w:pict>
          <v:shape id="_x0000_s1050" o:spid="_x0000_s1050" o:spt="202" type="#_x0000_t202" style="position:absolute;left:0pt;margin-left:333.6pt;margin-top:1.1pt;height:10.15pt;width:5.6pt;z-index:251713536;mso-width-relative:page;mso-height-relative:page;" filled="f" stroked="f" coordsize="21600,21600">
            <v:path/>
            <v:fill on="f" focussize="0,0"/>
            <v:stroke on="f"/>
            <v:imagedata o:title=""/>
            <o:lock v:ext="edit" aspectratio="f"/>
            <v:textbox inset="0mm,0mm,0mm,0mm">
              <w:txbxContent>
                <w:p w14:paraId="74A0AE3B">
                  <w:pPr>
                    <w:spacing w:before="20" w:line="188" w:lineRule="auto"/>
                    <w:ind w:right="1"/>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xbxContent>
            </v:textbox>
          </v:shape>
        </w:pict>
      </w:r>
      <w:r>
        <w:rPr>
          <w:rFonts w:ascii="Times New Roman" w:hAnsi="Times New Roman" w:eastAsia="Times New Roman" w:cs="Times New Roman"/>
          <w:sz w:val="18"/>
          <w:szCs w:val="18"/>
        </w:rPr>
        <w:t>0</w:t>
      </w:r>
    </w:p>
    <w:p w14:paraId="53719296">
      <w:pPr>
        <w:pStyle w:val="2"/>
        <w:spacing w:line="351" w:lineRule="auto"/>
      </w:pPr>
    </w:p>
    <w:p w14:paraId="431451EF">
      <w:pPr>
        <w:spacing w:before="65" w:line="224" w:lineRule="auto"/>
        <w:ind w:left="3479"/>
        <w:rPr>
          <w:rFonts w:ascii="FangSong_GB2312" w:hAnsi="FangSong_GB2312" w:eastAsia="FangSong_GB2312" w:cs="FangSong_GB2312"/>
          <w:sz w:val="20"/>
          <w:szCs w:val="20"/>
        </w:rPr>
      </w:pPr>
      <w:r>
        <w:rPr>
          <w:rFonts w:ascii="FangSong_GB2312" w:hAnsi="FangSong_GB2312" w:eastAsia="FangSong_GB2312" w:cs="FangSong_GB2312"/>
          <w:b/>
          <w:bCs/>
          <w:spacing w:val="3"/>
          <w:sz w:val="20"/>
          <w:szCs w:val="20"/>
        </w:rPr>
        <w:t>图</w:t>
      </w:r>
      <w:r>
        <w:rPr>
          <w:rFonts w:ascii="FangSong_GB2312" w:hAnsi="FangSong_GB2312" w:eastAsia="FangSong_GB2312" w:cs="FangSong_GB2312"/>
          <w:spacing w:val="-32"/>
          <w:sz w:val="20"/>
          <w:szCs w:val="20"/>
        </w:rPr>
        <w:t xml:space="preserve"> </w:t>
      </w:r>
      <w:r>
        <w:rPr>
          <w:rFonts w:ascii="Times New Roman" w:hAnsi="Times New Roman" w:eastAsia="Times New Roman" w:cs="Times New Roman"/>
          <w:b/>
          <w:bCs/>
          <w:spacing w:val="3"/>
          <w:sz w:val="20"/>
          <w:szCs w:val="20"/>
        </w:rPr>
        <w:t xml:space="preserve">2.4-1 </w:t>
      </w:r>
      <w:r>
        <w:rPr>
          <w:rFonts w:ascii="FangSong_GB2312" w:hAnsi="FangSong_GB2312" w:eastAsia="FangSong_GB2312" w:cs="FangSong_GB2312"/>
          <w:b/>
          <w:bCs/>
          <w:spacing w:val="3"/>
          <w:sz w:val="20"/>
          <w:szCs w:val="20"/>
        </w:rPr>
        <w:t>土石方流向框图</w:t>
      </w:r>
    </w:p>
    <w:p w14:paraId="2194D7DE">
      <w:pPr>
        <w:spacing w:before="133" w:line="229" w:lineRule="auto"/>
        <w:ind w:left="5507"/>
        <w:rPr>
          <w:rFonts w:ascii="FangSong_GB2312" w:hAnsi="FangSong_GB2312" w:eastAsia="FangSong_GB2312" w:cs="FangSong_GB2312"/>
          <w:sz w:val="20"/>
          <w:szCs w:val="20"/>
        </w:rPr>
      </w:pPr>
      <w:r>
        <w:pict>
          <v:shape id="_x0000_s1051" o:spid="_x0000_s1051" o:spt="202" type="#_x0000_t202" style="position:absolute;left:0pt;margin-left:223.6pt;margin-top:6.4pt;height:10.15pt;width:10.05pt;z-index:251712512;mso-width-relative:page;mso-height-relative:page;" filled="f" stroked="f" coordsize="21600,21600">
            <v:path/>
            <v:fill on="f" focussize="0,0"/>
            <v:stroke on="f"/>
            <v:imagedata o:title=""/>
            <o:lock v:ext="edit" aspectratio="f"/>
            <v:textbox inset="0mm,0mm,0mm,0mm">
              <w:txbxContent>
                <w:p w14:paraId="73844220">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txbxContent>
            </v:textbox>
          </v:shape>
        </w:pict>
      </w:r>
      <w:r>
        <w:rPr>
          <w:rFonts w:ascii="FangSong_GB2312" w:hAnsi="FangSong_GB2312" w:eastAsia="FangSong_GB2312" w:cs="FangSong_GB2312"/>
          <w:spacing w:val="8"/>
          <w:sz w:val="20"/>
          <w:szCs w:val="20"/>
        </w:rPr>
        <w:t>剑阁县绿森林业勘察设计有限公司</w:t>
      </w:r>
    </w:p>
    <w:p w14:paraId="581C87AA">
      <w:pPr>
        <w:spacing w:line="229" w:lineRule="auto"/>
        <w:rPr>
          <w:rFonts w:ascii="FangSong_GB2312" w:hAnsi="FangSong_GB2312" w:eastAsia="FangSong_GB2312" w:cs="FangSong_GB2312"/>
          <w:sz w:val="20"/>
          <w:szCs w:val="20"/>
        </w:rPr>
        <w:sectPr>
          <w:headerReference r:id="rId37" w:type="default"/>
          <w:pgSz w:w="11906" w:h="16839"/>
          <w:pgMar w:top="1164" w:right="1394" w:bottom="400" w:left="1391" w:header="831" w:footer="0" w:gutter="0"/>
          <w:cols w:space="720" w:num="1"/>
        </w:sectPr>
      </w:pPr>
    </w:p>
    <w:p w14:paraId="15BD4217">
      <w:pPr>
        <w:spacing w:before="208" w:line="214" w:lineRule="auto"/>
        <w:ind w:left="7"/>
        <w:outlineLvl w:val="1"/>
        <w:rPr>
          <w:rFonts w:ascii="FangSong_GB2312" w:hAnsi="FangSong_GB2312" w:eastAsia="FangSong_GB2312" w:cs="FangSong_GB2312"/>
          <w:sz w:val="30"/>
          <w:szCs w:val="30"/>
        </w:rPr>
      </w:pPr>
      <w:bookmarkStart w:id="48" w:name="bookmark37"/>
      <w:bookmarkEnd w:id="48"/>
      <w:bookmarkStart w:id="49" w:name="bookmark36"/>
      <w:bookmarkEnd w:id="49"/>
      <w:r>
        <w:rPr>
          <w:rFonts w:ascii="Times New Roman" w:hAnsi="Times New Roman" w:eastAsia="Times New Roman" w:cs="Times New Roman"/>
          <w:b/>
          <w:bCs/>
          <w:spacing w:val="-2"/>
          <w:sz w:val="30"/>
          <w:szCs w:val="30"/>
        </w:rPr>
        <w:t xml:space="preserve">2.5 </w:t>
      </w:r>
      <w:r>
        <w:rPr>
          <w:rFonts w:ascii="FangSong_GB2312" w:hAnsi="FangSong_GB2312" w:eastAsia="FangSong_GB2312" w:cs="FangSong_GB2312"/>
          <w:b/>
          <w:bCs/>
          <w:spacing w:val="-2"/>
          <w:sz w:val="30"/>
          <w:szCs w:val="30"/>
        </w:rPr>
        <w:t>拆迁（移民）安置及专项设施改（迁）建</w:t>
      </w:r>
    </w:p>
    <w:p w14:paraId="217446C2">
      <w:pPr>
        <w:pStyle w:val="2"/>
        <w:spacing w:line="355" w:lineRule="auto"/>
      </w:pPr>
    </w:p>
    <w:p w14:paraId="26A266E3">
      <w:pPr>
        <w:spacing w:before="78" w:line="214"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本项目不涉及拆迁（移民）安置及专项设施改（迁）建。</w:t>
      </w:r>
    </w:p>
    <w:p w14:paraId="32486D48">
      <w:pPr>
        <w:pStyle w:val="2"/>
        <w:spacing w:line="358" w:lineRule="auto"/>
      </w:pPr>
    </w:p>
    <w:p w14:paraId="67A8D5FE">
      <w:pPr>
        <w:spacing w:before="97" w:line="216" w:lineRule="auto"/>
        <w:ind w:left="7"/>
        <w:outlineLvl w:val="1"/>
        <w:rPr>
          <w:rFonts w:ascii="FangSong_GB2312" w:hAnsi="FangSong_GB2312" w:eastAsia="FangSong_GB2312" w:cs="FangSong_GB2312"/>
          <w:sz w:val="30"/>
          <w:szCs w:val="30"/>
        </w:rPr>
      </w:pPr>
      <w:bookmarkStart w:id="50" w:name="bookmark38"/>
      <w:bookmarkEnd w:id="50"/>
      <w:bookmarkStart w:id="51" w:name="bookmark39"/>
      <w:bookmarkEnd w:id="51"/>
      <w:r>
        <w:rPr>
          <w:rFonts w:ascii="Times New Roman" w:hAnsi="Times New Roman" w:eastAsia="Times New Roman" w:cs="Times New Roman"/>
          <w:b/>
          <w:bCs/>
          <w:spacing w:val="-6"/>
          <w:sz w:val="30"/>
          <w:szCs w:val="30"/>
        </w:rPr>
        <w:t>2.6</w:t>
      </w:r>
      <w:r>
        <w:rPr>
          <w:rFonts w:ascii="Times New Roman" w:hAnsi="Times New Roman" w:eastAsia="Times New Roman" w:cs="Times New Roman"/>
          <w:b/>
          <w:bCs/>
          <w:spacing w:val="22"/>
          <w:sz w:val="30"/>
          <w:szCs w:val="30"/>
        </w:rPr>
        <w:t xml:space="preserve"> </w:t>
      </w:r>
      <w:r>
        <w:rPr>
          <w:rFonts w:ascii="FangSong_GB2312" w:hAnsi="FangSong_GB2312" w:eastAsia="FangSong_GB2312" w:cs="FangSong_GB2312"/>
          <w:b/>
          <w:bCs/>
          <w:spacing w:val="-6"/>
          <w:sz w:val="30"/>
          <w:szCs w:val="30"/>
        </w:rPr>
        <w:t>工程进度</w:t>
      </w:r>
    </w:p>
    <w:p w14:paraId="32376F40">
      <w:pPr>
        <w:pStyle w:val="2"/>
        <w:spacing w:line="356" w:lineRule="auto"/>
      </w:pPr>
    </w:p>
    <w:p w14:paraId="7CCE3F5F">
      <w:pPr>
        <w:spacing w:before="78" w:line="359" w:lineRule="auto"/>
        <w:ind w:left="8" w:right="60" w:firstLine="480"/>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本项目本项目已于</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1"/>
          <w:sz w:val="24"/>
          <w:szCs w:val="24"/>
        </w:rPr>
        <w:t xml:space="preserve">2022 </w:t>
      </w:r>
      <w:r>
        <w:rPr>
          <w:rFonts w:ascii="FangSong_GB2312" w:hAnsi="FangSong_GB2312" w:eastAsia="FangSong_GB2312" w:cs="FangSong_GB2312"/>
          <w:spacing w:val="-1"/>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1"/>
          <w:sz w:val="24"/>
          <w:szCs w:val="24"/>
        </w:rPr>
        <w:t>月开工建设，</w:t>
      </w:r>
      <w:r>
        <w:rPr>
          <w:rFonts w:ascii="Times New Roman" w:hAnsi="Times New Roman" w:eastAsia="Times New Roman" w:cs="Times New Roman"/>
          <w:spacing w:val="-1"/>
          <w:sz w:val="24"/>
          <w:szCs w:val="24"/>
        </w:rPr>
        <w:t xml:space="preserve">2023 </w:t>
      </w:r>
      <w:r>
        <w:rPr>
          <w:rFonts w:ascii="FangSong_GB2312" w:hAnsi="FangSong_GB2312" w:eastAsia="FangSong_GB2312" w:cs="FangSong_GB2312"/>
          <w:spacing w:val="-1"/>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1"/>
          <w:sz w:val="24"/>
          <w:szCs w:val="24"/>
        </w:rPr>
        <w:t>月竣工，建设总工期为</w:t>
      </w:r>
      <w:r>
        <w:rPr>
          <w:rFonts w:ascii="Times New Roman" w:hAnsi="Times New Roman" w:eastAsia="Times New Roman" w:cs="Times New Roman"/>
          <w:spacing w:val="-1"/>
          <w:sz w:val="24"/>
          <w:szCs w:val="24"/>
        </w:rPr>
        <w:t xml:space="preserve">7 </w:t>
      </w:r>
      <w:r>
        <w:rPr>
          <w:rFonts w:ascii="FangSong_GB2312" w:hAnsi="FangSong_GB2312" w:eastAsia="FangSong_GB2312" w:cs="FangSong_GB2312"/>
          <w:spacing w:val="-1"/>
          <w:sz w:val="24"/>
          <w:szCs w:val="24"/>
        </w:rPr>
        <w:t>个</w:t>
      </w:r>
      <w:r>
        <w:rPr>
          <w:rFonts w:ascii="FangSong_GB2312" w:hAnsi="FangSong_GB2312" w:eastAsia="FangSong_GB2312" w:cs="FangSong_GB2312"/>
          <w:sz w:val="24"/>
          <w:szCs w:val="24"/>
        </w:rPr>
        <w:t>月。据现场踏勘，项目区绿植生长良好，周边排水通畅。</w:t>
      </w:r>
      <w:r>
        <w:rPr>
          <w:rFonts w:ascii="FangSong_GB2312" w:hAnsi="FangSong_GB2312" w:eastAsia="FangSong_GB2312" w:cs="FangSong_GB2312"/>
          <w:spacing w:val="-1"/>
          <w:sz w:val="24"/>
          <w:szCs w:val="24"/>
        </w:rPr>
        <w:t>项目区已实施的水土保持措</w:t>
      </w:r>
      <w:r>
        <w:rPr>
          <w:rFonts w:ascii="FangSong_GB2312" w:hAnsi="FangSong_GB2312" w:eastAsia="FangSong_GB2312" w:cs="FangSong_GB2312"/>
          <w:spacing w:val="-4"/>
          <w:sz w:val="24"/>
          <w:szCs w:val="24"/>
        </w:rPr>
        <w:t>施包括建构筑物工程：表土剥离</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6"/>
          <w:position w:val="8"/>
          <w:sz w:val="15"/>
          <w:szCs w:val="15"/>
        </w:rPr>
        <w:t xml:space="preserve"> </w:t>
      </w:r>
      <w:r>
        <w:rPr>
          <w:rFonts w:ascii="FangSong_GB2312" w:hAnsi="FangSong_GB2312" w:eastAsia="FangSong_GB2312" w:cs="FangSong_GB2312"/>
          <w:spacing w:val="-4"/>
          <w:sz w:val="24"/>
          <w:szCs w:val="24"/>
        </w:rPr>
        <w:t>；绿化工程：表土回覆</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0"/>
          <w:position w:val="8"/>
          <w:sz w:val="15"/>
          <w:szCs w:val="15"/>
        </w:rPr>
        <w:t xml:space="preserve"> </w:t>
      </w:r>
      <w:r>
        <w:rPr>
          <w:rFonts w:ascii="FangSong_GB2312" w:hAnsi="FangSong_GB2312" w:eastAsia="FangSong_GB2312" w:cs="FangSong_GB2312"/>
          <w:spacing w:val="-4"/>
          <w:sz w:val="24"/>
          <w:szCs w:val="24"/>
        </w:rPr>
        <w:t>、</w:t>
      </w:r>
      <w:r>
        <w:rPr>
          <w:rFonts w:ascii="FangSong_GB2312" w:hAnsi="FangSong_GB2312" w:eastAsia="FangSong_GB2312" w:cs="FangSong_GB2312"/>
          <w:spacing w:val="-5"/>
          <w:sz w:val="24"/>
          <w:szCs w:val="24"/>
        </w:rPr>
        <w:t>盖板排</w:t>
      </w:r>
      <w:r>
        <w:rPr>
          <w:rFonts w:ascii="FangSong_GB2312" w:hAnsi="FangSong_GB2312" w:eastAsia="FangSong_GB2312" w:cs="FangSong_GB2312"/>
          <w:spacing w:val="-3"/>
          <w:sz w:val="24"/>
          <w:szCs w:val="24"/>
        </w:rPr>
        <w:t>水沟</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pacing w:val="-3"/>
          <w:sz w:val="24"/>
          <w:szCs w:val="24"/>
        </w:rPr>
        <w:t>80m</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3"/>
          <w:sz w:val="24"/>
          <w:szCs w:val="24"/>
        </w:rPr>
        <w:t>、雨水井</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 xml:space="preserve">6 </w:t>
      </w:r>
      <w:r>
        <w:rPr>
          <w:rFonts w:ascii="FangSong_GB2312" w:hAnsi="FangSong_GB2312" w:eastAsia="FangSong_GB2312" w:cs="FangSong_GB2312"/>
          <w:spacing w:val="-3"/>
          <w:sz w:val="24"/>
          <w:szCs w:val="24"/>
        </w:rPr>
        <w:t>座、栽植灌木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 xml:space="preserve">12 </w:t>
      </w:r>
      <w:r>
        <w:rPr>
          <w:rFonts w:ascii="FangSong_GB2312" w:hAnsi="FangSong_GB2312" w:eastAsia="FangSong_GB2312" w:cs="FangSong_GB2312"/>
          <w:spacing w:val="-3"/>
          <w:sz w:val="24"/>
          <w:szCs w:val="24"/>
        </w:rPr>
        <w:t>株、撒播草籽</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2</w:t>
      </w:r>
      <w:r>
        <w:rPr>
          <w:rFonts w:ascii="FangSong_GB2312" w:hAnsi="FangSong_GB2312" w:eastAsia="FangSong_GB2312" w:cs="FangSong_GB2312"/>
          <w:spacing w:val="-3"/>
          <w:sz w:val="24"/>
          <w:szCs w:val="24"/>
        </w:rPr>
        <w:t>。</w:t>
      </w:r>
    </w:p>
    <w:p w14:paraId="63B9790B">
      <w:pPr>
        <w:spacing w:before="9" w:line="216" w:lineRule="auto"/>
        <w:ind w:left="7"/>
        <w:outlineLvl w:val="1"/>
        <w:rPr>
          <w:rFonts w:ascii="FangSong_GB2312" w:hAnsi="FangSong_GB2312" w:eastAsia="FangSong_GB2312" w:cs="FangSong_GB2312"/>
          <w:sz w:val="30"/>
          <w:szCs w:val="30"/>
        </w:rPr>
      </w:pPr>
      <w:bookmarkStart w:id="52" w:name="bookmark40"/>
      <w:bookmarkEnd w:id="52"/>
      <w:bookmarkStart w:id="53" w:name="bookmark41"/>
      <w:bookmarkEnd w:id="53"/>
      <w:r>
        <w:rPr>
          <w:rFonts w:ascii="Times New Roman" w:hAnsi="Times New Roman" w:eastAsia="Times New Roman" w:cs="Times New Roman"/>
          <w:b/>
          <w:bCs/>
          <w:spacing w:val="-12"/>
          <w:sz w:val="30"/>
          <w:szCs w:val="30"/>
        </w:rPr>
        <w:t>2.7</w:t>
      </w:r>
      <w:r>
        <w:rPr>
          <w:rFonts w:ascii="Times New Roman" w:hAnsi="Times New Roman" w:eastAsia="Times New Roman" w:cs="Times New Roman"/>
          <w:b/>
          <w:bCs/>
          <w:spacing w:val="64"/>
          <w:sz w:val="30"/>
          <w:szCs w:val="30"/>
        </w:rPr>
        <w:t xml:space="preserve"> </w:t>
      </w:r>
      <w:r>
        <w:rPr>
          <w:rFonts w:ascii="FangSong_GB2312" w:hAnsi="FangSong_GB2312" w:eastAsia="FangSong_GB2312" w:cs="FangSong_GB2312"/>
          <w:b/>
          <w:bCs/>
          <w:spacing w:val="-12"/>
          <w:sz w:val="30"/>
          <w:szCs w:val="30"/>
        </w:rPr>
        <w:t>自然概况</w:t>
      </w:r>
    </w:p>
    <w:p w14:paraId="3F28E3D9">
      <w:pPr>
        <w:spacing w:before="227" w:line="215"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2.7.1 </w:t>
      </w:r>
      <w:r>
        <w:rPr>
          <w:rFonts w:ascii="FangSong_GB2312" w:hAnsi="FangSong_GB2312" w:eastAsia="FangSong_GB2312" w:cs="FangSong_GB2312"/>
          <w:b/>
          <w:bCs/>
          <w:spacing w:val="-2"/>
          <w:sz w:val="28"/>
          <w:szCs w:val="28"/>
        </w:rPr>
        <w:t>地质</w:t>
      </w:r>
    </w:p>
    <w:p w14:paraId="4DD72B47">
      <w:pPr>
        <w:spacing w:before="214"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0"/>
          <w:sz w:val="24"/>
          <w:szCs w:val="24"/>
        </w:rPr>
        <w:t>、地质构造</w:t>
      </w:r>
    </w:p>
    <w:p w14:paraId="1DE14225">
      <w:pPr>
        <w:spacing w:before="191" w:line="334" w:lineRule="auto"/>
        <w:ind w:left="9" w:right="60" w:firstLine="485"/>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剑阁县区域构造属于扬子地台川西前陆盆地北西部位与龙门山前陆推覆构造带</w:t>
      </w:r>
      <w:r>
        <w:rPr>
          <w:rFonts w:ascii="FangSong_GB2312" w:hAnsi="FangSong_GB2312" w:eastAsia="FangSong_GB2312" w:cs="FangSong_GB2312"/>
          <w:sz w:val="24"/>
          <w:szCs w:val="24"/>
        </w:rPr>
        <w:t>的过度地带，西北受龙门山断裂影响，东受巴中莲花状</w:t>
      </w:r>
      <w:r>
        <w:rPr>
          <w:rFonts w:ascii="FangSong_GB2312" w:hAnsi="FangSong_GB2312" w:eastAsia="FangSong_GB2312" w:cs="FangSong_GB2312"/>
          <w:spacing w:val="-1"/>
          <w:sz w:val="24"/>
          <w:szCs w:val="24"/>
        </w:rPr>
        <w:t>构造控制，西南受绵阳扫帚状</w:t>
      </w:r>
      <w:r>
        <w:rPr>
          <w:rFonts w:ascii="FangSong_GB2312" w:hAnsi="FangSong_GB2312" w:eastAsia="FangSong_GB2312" w:cs="FangSong_GB2312"/>
          <w:sz w:val="24"/>
          <w:szCs w:val="24"/>
        </w:rPr>
        <w:t>构造制约。项目区位于盐店向斜南翼，构造形态单一。</w:t>
      </w:r>
      <w:r>
        <w:rPr>
          <w:rFonts w:ascii="FangSong_GB2312" w:hAnsi="FangSong_GB2312" w:eastAsia="FangSong_GB2312" w:cs="FangSong_GB2312"/>
          <w:spacing w:val="-1"/>
          <w:sz w:val="24"/>
          <w:szCs w:val="24"/>
        </w:rPr>
        <w:t>区内无大的构造形迹，断裂不发育，属简单构造类型。</w:t>
      </w:r>
    </w:p>
    <w:p w14:paraId="26502B5B">
      <w:pPr>
        <w:spacing w:before="3"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、地层岩性</w:t>
      </w:r>
    </w:p>
    <w:p w14:paraId="38701F22">
      <w:pPr>
        <w:spacing w:before="190" w:line="354" w:lineRule="auto"/>
        <w:ind w:left="10" w:right="60" w:firstLine="520"/>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据地质调查及钻孔揭露，在钻探深度范围内，主要地层为第四系全新统坡洪积</w:t>
      </w:r>
      <w:r>
        <w:rPr>
          <w:rFonts w:ascii="Times New Roman" w:hAnsi="Times New Roman" w:eastAsia="Times New Roman" w:cs="Times New Roman"/>
          <w:spacing w:val="-2"/>
          <w:sz w:val="24"/>
          <w:szCs w:val="24"/>
        </w:rPr>
        <w:t>(Q4dl+pl)</w:t>
      </w:r>
      <w:r>
        <w:rPr>
          <w:rFonts w:ascii="FangSong_GB2312" w:hAnsi="FangSong_GB2312" w:eastAsia="FangSong_GB2312" w:cs="FangSong_GB2312"/>
          <w:spacing w:val="-2"/>
          <w:sz w:val="24"/>
          <w:szCs w:val="24"/>
        </w:rPr>
        <w:t>粉质黏土、淤泥质粉质黏土层，下伏基岩为白垩系下统苍溪组</w:t>
      </w:r>
      <w:r>
        <w:rPr>
          <w:rFonts w:ascii="Times New Roman" w:hAnsi="Times New Roman" w:eastAsia="Times New Roman" w:cs="Times New Roman"/>
          <w:spacing w:val="-2"/>
          <w:sz w:val="24"/>
          <w:szCs w:val="24"/>
        </w:rPr>
        <w:t>(K1c</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泥质砂岩</w:t>
      </w:r>
      <w:r>
        <w:rPr>
          <w:rFonts w:ascii="FangSong_GB2312" w:hAnsi="FangSong_GB2312" w:eastAsia="FangSong_GB2312" w:cs="FangSong_GB2312"/>
          <w:spacing w:val="-1"/>
          <w:sz w:val="24"/>
          <w:szCs w:val="24"/>
        </w:rPr>
        <w:t>层。其岩性特征自上而下分述为：</w:t>
      </w:r>
    </w:p>
    <w:p w14:paraId="463CFCB1">
      <w:pPr>
        <w:spacing w:before="16" w:line="359" w:lineRule="auto"/>
        <w:ind w:left="15" w:firstLine="515"/>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粉质黏土</w:t>
      </w:r>
      <w:r>
        <w:rPr>
          <w:rFonts w:ascii="Times New Roman" w:hAnsi="Times New Roman" w:eastAsia="Times New Roman" w:cs="Times New Roman"/>
          <w:spacing w:val="-1"/>
          <w:sz w:val="24"/>
          <w:szCs w:val="24"/>
        </w:rPr>
        <w:t>(Q4dl+pl)</w:t>
      </w:r>
      <w:r>
        <w:rPr>
          <w:rFonts w:ascii="宋体" w:hAnsi="宋体" w:eastAsia="宋体" w:cs="宋体"/>
          <w:spacing w:val="-1"/>
          <w:sz w:val="24"/>
          <w:szCs w:val="24"/>
        </w:rPr>
        <w:t>①</w:t>
      </w:r>
      <w:r>
        <w:rPr>
          <w:rFonts w:ascii="FangSong_GB2312" w:hAnsi="FangSong_GB2312" w:eastAsia="FangSong_GB2312" w:cs="FangSong_GB2312"/>
          <w:spacing w:val="-1"/>
          <w:sz w:val="24"/>
          <w:szCs w:val="24"/>
        </w:rPr>
        <w:t>：黄褐色，可塑状，以</w:t>
      </w:r>
      <w:r>
        <w:rPr>
          <w:rFonts w:ascii="FangSong_GB2312" w:hAnsi="FangSong_GB2312" w:eastAsia="FangSong_GB2312" w:cs="FangSong_GB2312"/>
          <w:spacing w:val="-2"/>
          <w:sz w:val="24"/>
          <w:szCs w:val="24"/>
        </w:rPr>
        <w:t>黏粒为主，含少量粉粒，局部揭露有</w:t>
      </w:r>
      <w:r>
        <w:rPr>
          <w:rFonts w:ascii="FangSong_GB2312" w:hAnsi="FangSong_GB2312" w:eastAsia="FangSong_GB2312" w:cs="FangSong_GB2312"/>
          <w:spacing w:val="-7"/>
          <w:sz w:val="24"/>
          <w:szCs w:val="24"/>
        </w:rPr>
        <w:t>黄色砂岩块石，块石粒径约</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7"/>
          <w:sz w:val="24"/>
          <w:szCs w:val="24"/>
        </w:rPr>
        <w:t>300mm</w:t>
      </w:r>
      <w:r>
        <w:rPr>
          <w:rFonts w:ascii="FangSong_GB2312" w:hAnsi="FangSong_GB2312" w:eastAsia="FangSong_GB2312" w:cs="FangSong_GB2312"/>
          <w:spacing w:val="-7"/>
          <w:sz w:val="24"/>
          <w:szCs w:val="24"/>
        </w:rPr>
        <w:t>。可见铁锰质氧化物，切面稍有光泽，无摇振反</w:t>
      </w:r>
      <w:r>
        <w:rPr>
          <w:rFonts w:ascii="FangSong_GB2312" w:hAnsi="FangSong_GB2312" w:eastAsia="FangSong_GB2312" w:cs="FangSong_GB2312"/>
          <w:spacing w:val="-8"/>
          <w:sz w:val="24"/>
          <w:szCs w:val="24"/>
        </w:rPr>
        <w:t>应，</w:t>
      </w:r>
      <w:r>
        <w:rPr>
          <w:rFonts w:ascii="FangSong_GB2312" w:hAnsi="FangSong_GB2312" w:eastAsia="FangSong_GB2312" w:cs="FangSong_GB2312"/>
          <w:sz w:val="24"/>
          <w:szCs w:val="24"/>
        </w:rPr>
        <w:t>干强度高，韧性中等，均匀性较好。表层为薄层耕作土层，厚度</w:t>
      </w:r>
      <w:r>
        <w:rPr>
          <w:rFonts w:ascii="FangSong_GB2312" w:hAnsi="FangSong_GB2312" w:eastAsia="FangSong_GB2312" w:cs="FangSong_GB2312"/>
          <w:spacing w:val="-1"/>
          <w:sz w:val="24"/>
          <w:szCs w:val="24"/>
        </w:rPr>
        <w:t>小于</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1"/>
          <w:sz w:val="24"/>
          <w:szCs w:val="24"/>
        </w:rPr>
        <w:t>0.40m</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
          <w:sz w:val="24"/>
          <w:szCs w:val="24"/>
        </w:rPr>
        <w:t>，钻探揭</w:t>
      </w:r>
      <w:r>
        <w:rPr>
          <w:rFonts w:ascii="FangSong_GB2312" w:hAnsi="FangSong_GB2312" w:eastAsia="FangSong_GB2312" w:cs="FangSong_GB2312"/>
          <w:spacing w:val="-2"/>
          <w:sz w:val="24"/>
          <w:szCs w:val="24"/>
        </w:rPr>
        <w:t>露该层层厚</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2"/>
          <w:sz w:val="24"/>
          <w:szCs w:val="24"/>
        </w:rPr>
        <w:t>0.70</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9.70m</w:t>
      </w:r>
      <w:r>
        <w:rPr>
          <w:rFonts w:ascii="FangSong_GB2312" w:hAnsi="FangSong_GB2312" w:eastAsia="FangSong_GB2312" w:cs="FangSong_GB2312"/>
          <w:spacing w:val="-2"/>
          <w:sz w:val="24"/>
          <w:szCs w:val="24"/>
        </w:rPr>
        <w:t>。</w:t>
      </w:r>
    </w:p>
    <w:p w14:paraId="76E4F6E5">
      <w:pPr>
        <w:spacing w:before="3" w:line="356" w:lineRule="auto"/>
        <w:ind w:left="3" w:right="60" w:firstLine="530"/>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淤泥质粉质黏土</w:t>
      </w:r>
      <w:r>
        <w:rPr>
          <w:rFonts w:ascii="Times New Roman" w:hAnsi="Times New Roman" w:eastAsia="Times New Roman" w:cs="Times New Roman"/>
          <w:spacing w:val="-1"/>
          <w:sz w:val="24"/>
          <w:szCs w:val="24"/>
        </w:rPr>
        <w:t>(Q4dl+pl)</w:t>
      </w:r>
      <w:r>
        <w:rPr>
          <w:rFonts w:ascii="宋体" w:hAnsi="宋体" w:eastAsia="宋体" w:cs="宋体"/>
          <w:spacing w:val="-1"/>
          <w:sz w:val="24"/>
          <w:szCs w:val="24"/>
        </w:rPr>
        <w:t>②</w:t>
      </w:r>
      <w:r>
        <w:rPr>
          <w:rFonts w:ascii="FangSong_GB2312" w:hAnsi="FangSong_GB2312" w:eastAsia="FangSong_GB2312" w:cs="FangSong_GB2312"/>
          <w:spacing w:val="-1"/>
          <w:sz w:val="24"/>
          <w:szCs w:val="24"/>
        </w:rPr>
        <w:t>：黑褐色</w:t>
      </w:r>
      <w:r>
        <w:rPr>
          <w:rFonts w:ascii="FangSong_GB2312" w:hAnsi="FangSong_GB2312" w:eastAsia="FangSong_GB2312" w:cs="FangSong_GB2312"/>
          <w:spacing w:val="-2"/>
          <w:sz w:val="24"/>
          <w:szCs w:val="24"/>
        </w:rPr>
        <w:t>，软塑状，以黏粒为主，含少量粉粒、腐殖</w:t>
      </w:r>
      <w:r>
        <w:rPr>
          <w:rFonts w:ascii="FangSong_GB2312" w:hAnsi="FangSong_GB2312" w:eastAsia="FangSong_GB2312" w:cs="FangSong_GB2312"/>
          <w:spacing w:val="1"/>
          <w:sz w:val="24"/>
          <w:szCs w:val="24"/>
        </w:rPr>
        <w:t>质，稍有腥臭味，切面光滑，无摇振反应，干强度中等，韧性中等，仅钻孔</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z w:val="24"/>
          <w:szCs w:val="24"/>
        </w:rPr>
        <w:t>ZK</w:t>
      </w:r>
      <w:r>
        <w:rPr>
          <w:rFonts w:ascii="Times New Roman" w:hAnsi="Times New Roman" w:eastAsia="Times New Roman" w:cs="Times New Roman"/>
          <w:spacing w:val="1"/>
          <w:sz w:val="24"/>
          <w:szCs w:val="24"/>
        </w:rPr>
        <w:t>29</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1"/>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2"/>
          <w:sz w:val="24"/>
          <w:szCs w:val="24"/>
        </w:rPr>
        <w:t>ZK30</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ZK31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三个钻孔有揭露，揭露层厚</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
          <w:sz w:val="24"/>
          <w:szCs w:val="24"/>
        </w:rPr>
        <w:t>0</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5.30m</w:t>
      </w:r>
      <w:r>
        <w:rPr>
          <w:rFonts w:ascii="FangSong_GB2312" w:hAnsi="FangSong_GB2312" w:eastAsia="FangSong_GB2312" w:cs="FangSong_GB2312"/>
          <w:spacing w:val="-3"/>
          <w:sz w:val="24"/>
          <w:szCs w:val="24"/>
        </w:rPr>
        <w:t>。</w:t>
      </w:r>
    </w:p>
    <w:p w14:paraId="286B7051">
      <w:pPr>
        <w:spacing w:before="14" w:line="356" w:lineRule="auto"/>
        <w:ind w:left="17" w:right="60" w:firstLine="521"/>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泥质砂岩</w:t>
      </w:r>
      <w:r>
        <w:rPr>
          <w:rFonts w:ascii="Times New Roman" w:hAnsi="Times New Roman" w:eastAsia="Times New Roman" w:cs="Times New Roman"/>
          <w:spacing w:val="3"/>
          <w:sz w:val="24"/>
          <w:szCs w:val="24"/>
        </w:rPr>
        <w:t>(K1c)</w:t>
      </w:r>
      <w:r>
        <w:rPr>
          <w:rFonts w:ascii="宋体" w:hAnsi="宋体" w:eastAsia="宋体" w:cs="宋体"/>
          <w:spacing w:val="3"/>
          <w:sz w:val="24"/>
          <w:szCs w:val="24"/>
        </w:rPr>
        <w:t>③</w:t>
      </w:r>
      <w:r>
        <w:rPr>
          <w:rFonts w:ascii="FangSong_GB2312" w:hAnsi="FangSong_GB2312" w:eastAsia="FangSong_GB2312" w:cs="FangSong_GB2312"/>
          <w:spacing w:val="3"/>
          <w:sz w:val="24"/>
          <w:szCs w:val="24"/>
        </w:rPr>
        <w:t>：黄色、棕色、灰色，矿物</w:t>
      </w:r>
      <w:r>
        <w:rPr>
          <w:rFonts w:ascii="FangSong_GB2312" w:hAnsi="FangSong_GB2312" w:eastAsia="FangSong_GB2312" w:cs="FangSong_GB2312"/>
          <w:spacing w:val="2"/>
          <w:sz w:val="24"/>
          <w:szCs w:val="24"/>
        </w:rPr>
        <w:t>成分以石英、长石矿物为主，次为</w:t>
      </w:r>
      <w:r>
        <w:rPr>
          <w:rFonts w:ascii="FangSong_GB2312" w:hAnsi="FangSong_GB2312" w:eastAsia="FangSong_GB2312" w:cs="FangSong_GB2312"/>
          <w:spacing w:val="-4"/>
          <w:sz w:val="24"/>
          <w:szCs w:val="24"/>
        </w:rPr>
        <w:t>黏土矿物，中厚层状构造，钙、泥质胶结，岩层产状</w:t>
      </w:r>
      <w:r>
        <w:rPr>
          <w:rFonts w:ascii="FangSong_GB2312" w:hAnsi="FangSong_GB2312" w:eastAsia="FangSong_GB2312" w:cs="FangSong_GB2312"/>
          <w:spacing w:val="-24"/>
          <w:sz w:val="24"/>
          <w:szCs w:val="24"/>
        </w:rPr>
        <w:t xml:space="preserve"> </w:t>
      </w:r>
      <w:r>
        <w:rPr>
          <w:rFonts w:ascii="Times New Roman" w:hAnsi="Times New Roman" w:eastAsia="Times New Roman" w:cs="Times New Roman"/>
          <w:spacing w:val="-4"/>
          <w:sz w:val="24"/>
          <w:szCs w:val="24"/>
        </w:rPr>
        <w:t>138°</w:t>
      </w: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4"/>
          <w:sz w:val="24"/>
          <w:szCs w:val="24"/>
        </w:rPr>
        <w:t>,</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4"/>
          <w:sz w:val="24"/>
          <w:szCs w:val="24"/>
        </w:rPr>
        <w:t>根据其风化状态划分</w:t>
      </w:r>
      <w:r>
        <w:rPr>
          <w:rFonts w:ascii="FangSong_GB2312" w:hAnsi="FangSong_GB2312" w:eastAsia="FangSong_GB2312" w:cs="FangSong_GB2312"/>
          <w:spacing w:val="-2"/>
          <w:sz w:val="24"/>
          <w:szCs w:val="24"/>
        </w:rPr>
        <w:t>为强风化和中等风化两个亚层。</w:t>
      </w:r>
    </w:p>
    <w:p w14:paraId="79549B79">
      <w:pPr>
        <w:spacing w:before="197" w:line="229" w:lineRule="auto"/>
        <w:ind w:left="5384"/>
        <w:rPr>
          <w:rFonts w:ascii="FangSong_GB2312" w:hAnsi="FangSong_GB2312" w:eastAsia="FangSong_GB2312" w:cs="FangSong_GB2312"/>
          <w:sz w:val="20"/>
          <w:szCs w:val="20"/>
        </w:rPr>
      </w:pPr>
      <w:r>
        <w:pict>
          <v:shape id="_x0000_s1052" o:spid="_x0000_s1052" o:spt="202" type="#_x0000_t202" style="position:absolute;left:0pt;margin-left:216.6pt;margin-top:9.6pt;height:10.15pt;width:10.9pt;z-index:251714560;mso-width-relative:page;mso-height-relative:page;" filled="f" stroked="f" coordsize="21600,21600">
            <v:path/>
            <v:fill on="f" focussize="0,0"/>
            <v:stroke on="f"/>
            <v:imagedata o:title=""/>
            <o:lock v:ext="edit" aspectratio="f"/>
            <v:textbox inset="0mm,0mm,0mm,0mm">
              <w:txbxContent>
                <w:p w14:paraId="7437789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xbxContent>
            </v:textbox>
          </v:shape>
        </w:pict>
      </w:r>
      <w:r>
        <w:rPr>
          <w:rFonts w:ascii="FangSong_GB2312" w:hAnsi="FangSong_GB2312" w:eastAsia="FangSong_GB2312" w:cs="FangSong_GB2312"/>
          <w:spacing w:val="8"/>
          <w:sz w:val="20"/>
          <w:szCs w:val="20"/>
        </w:rPr>
        <w:t>剑阁县绿森林业勘察设计有限公司</w:t>
      </w:r>
    </w:p>
    <w:p w14:paraId="0FDB345C">
      <w:pPr>
        <w:spacing w:line="229" w:lineRule="auto"/>
        <w:rPr>
          <w:rFonts w:ascii="FangSong_GB2312" w:hAnsi="FangSong_GB2312" w:eastAsia="FangSong_GB2312" w:cs="FangSong_GB2312"/>
          <w:sz w:val="20"/>
          <w:szCs w:val="20"/>
        </w:rPr>
        <w:sectPr>
          <w:headerReference r:id="rId38" w:type="default"/>
          <w:pgSz w:w="11906" w:h="16839"/>
          <w:pgMar w:top="1164" w:right="1453" w:bottom="400" w:left="1513" w:header="831" w:footer="0" w:gutter="0"/>
          <w:cols w:space="720" w:num="1"/>
        </w:sectPr>
      </w:pPr>
    </w:p>
    <w:p w14:paraId="08A8CD83">
      <w:pPr>
        <w:spacing w:before="196" w:line="356" w:lineRule="auto"/>
        <w:ind w:left="9" w:right="10" w:firstLine="533"/>
        <w:jc w:val="both"/>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强风化泥质砂岩</w:t>
      </w:r>
      <w:r>
        <w:rPr>
          <w:rFonts w:ascii="宋体" w:hAnsi="宋体" w:eastAsia="宋体" w:cs="宋体"/>
          <w:spacing w:val="-4"/>
          <w:sz w:val="24"/>
          <w:szCs w:val="24"/>
        </w:rPr>
        <w:t>③</w:t>
      </w:r>
      <w:r>
        <w:rPr>
          <w:rFonts w:ascii="Times New Roman" w:hAnsi="Times New Roman" w:eastAsia="Times New Roman" w:cs="Times New Roman"/>
          <w:spacing w:val="-4"/>
          <w:sz w:val="24"/>
          <w:szCs w:val="24"/>
        </w:rPr>
        <w:t>1</w:t>
      </w:r>
      <w:r>
        <w:rPr>
          <w:rFonts w:ascii="FangSong_GB2312" w:hAnsi="FangSong_GB2312" w:eastAsia="FangSong_GB2312" w:cs="FangSong_GB2312"/>
          <w:spacing w:val="-4"/>
          <w:sz w:val="24"/>
          <w:szCs w:val="24"/>
        </w:rPr>
        <w:t>：岩体破碎，风化节理、裂隙发育，岩芯呈碎块状、散体状，</w:t>
      </w:r>
      <w:r>
        <w:rPr>
          <w:rFonts w:ascii="FangSong_GB2312" w:hAnsi="FangSong_GB2312" w:eastAsia="FangSong_GB2312" w:cs="FangSong_GB2312"/>
          <w:spacing w:val="-2"/>
          <w:sz w:val="24"/>
          <w:szCs w:val="24"/>
        </w:rPr>
        <w:t>用手可掰断，岩芯采取率</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65</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 xml:space="preserve">RQD </w:t>
      </w:r>
      <w:r>
        <w:rPr>
          <w:rFonts w:ascii="FangSong_GB2312" w:hAnsi="FangSong_GB2312" w:eastAsia="FangSong_GB2312" w:cs="FangSong_GB2312"/>
          <w:spacing w:val="-2"/>
          <w:sz w:val="24"/>
          <w:szCs w:val="24"/>
        </w:rPr>
        <w:t>值为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，属极软岩，岩体基本质量等级为</w:t>
      </w:r>
      <w:r>
        <w:rPr>
          <w:rFonts w:ascii="Times New Roman" w:hAnsi="Times New Roman" w:eastAsia="Times New Roman" w:cs="Times New Roman"/>
          <w:spacing w:val="-2"/>
          <w:sz w:val="24"/>
          <w:szCs w:val="24"/>
        </w:rPr>
        <w:t>Ⅴ</w:t>
      </w:r>
      <w:r>
        <w:rPr>
          <w:rFonts w:ascii="FangSong_GB2312" w:hAnsi="FangSong_GB2312" w:eastAsia="FangSong_GB2312" w:cs="FangSong_GB2312"/>
          <w:spacing w:val="-3"/>
          <w:sz w:val="24"/>
          <w:szCs w:val="24"/>
        </w:rPr>
        <w:t>级，钻探揭露层厚</w:t>
      </w:r>
      <w:r>
        <w:rPr>
          <w:rFonts w:ascii="FangSong_GB2312" w:hAnsi="FangSong_GB2312" w:eastAsia="FangSong_GB2312" w:cs="FangSong_GB2312"/>
          <w:spacing w:val="-42"/>
          <w:sz w:val="24"/>
          <w:szCs w:val="24"/>
        </w:rPr>
        <w:t xml:space="preserve"> </w:t>
      </w:r>
      <w:r>
        <w:rPr>
          <w:rFonts w:ascii="Times New Roman" w:hAnsi="Times New Roman" w:eastAsia="Times New Roman" w:cs="Times New Roman"/>
          <w:spacing w:val="-3"/>
          <w:sz w:val="24"/>
          <w:szCs w:val="24"/>
        </w:rPr>
        <w:t>0.30</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10m</w:t>
      </w:r>
      <w:r>
        <w:rPr>
          <w:rFonts w:ascii="FangSong_GB2312" w:hAnsi="FangSong_GB2312" w:eastAsia="FangSong_GB2312" w:cs="FangSong_GB2312"/>
          <w:spacing w:val="-3"/>
          <w:sz w:val="24"/>
          <w:szCs w:val="24"/>
        </w:rPr>
        <w:t>。</w:t>
      </w:r>
    </w:p>
    <w:p w14:paraId="7AFD5D24">
      <w:pPr>
        <w:spacing w:before="13" w:line="356" w:lineRule="auto"/>
        <w:ind w:left="10" w:right="70" w:firstLine="507"/>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中风化泥质砂岩</w:t>
      </w:r>
      <w:r>
        <w:rPr>
          <w:rFonts w:ascii="宋体" w:hAnsi="宋体" w:eastAsia="宋体" w:cs="宋体"/>
          <w:spacing w:val="2"/>
          <w:sz w:val="24"/>
          <w:szCs w:val="24"/>
        </w:rPr>
        <w:t>③</w:t>
      </w:r>
      <w:r>
        <w:rPr>
          <w:rFonts w:ascii="Times New Roman" w:hAnsi="Times New Roman" w:eastAsia="Times New Roman" w:cs="Times New Roman"/>
          <w:spacing w:val="2"/>
          <w:sz w:val="24"/>
          <w:szCs w:val="24"/>
        </w:rPr>
        <w:t>2</w:t>
      </w:r>
      <w:r>
        <w:rPr>
          <w:rFonts w:ascii="FangSong_GB2312" w:hAnsi="FangSong_GB2312" w:eastAsia="FangSong_GB2312" w:cs="FangSong_GB2312"/>
          <w:spacing w:val="2"/>
          <w:sz w:val="24"/>
          <w:szCs w:val="24"/>
        </w:rPr>
        <w:t>：岩体较完整，节理、裂隙一般发育，岩芯多呈短柱状，少</w:t>
      </w:r>
      <w:r>
        <w:rPr>
          <w:rFonts w:ascii="FangSong_GB2312" w:hAnsi="FangSong_GB2312" w:eastAsia="FangSong_GB2312" w:cs="FangSong_GB2312"/>
          <w:sz w:val="24"/>
          <w:szCs w:val="24"/>
        </w:rPr>
        <w:t>量碎块状和长柱状，岩芯采取率</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z w:val="24"/>
          <w:szCs w:val="24"/>
        </w:rPr>
        <w:t>80</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98%</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 xml:space="preserve">RQD </w:t>
      </w:r>
      <w:r>
        <w:rPr>
          <w:rFonts w:ascii="FangSong_GB2312" w:hAnsi="FangSong_GB2312" w:eastAsia="FangSong_GB2312" w:cs="FangSong_GB2312"/>
          <w:sz w:val="24"/>
          <w:szCs w:val="24"/>
        </w:rPr>
        <w:t>值约</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z w:val="24"/>
          <w:szCs w:val="24"/>
        </w:rPr>
        <w:t>55</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70%</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z w:val="24"/>
          <w:szCs w:val="24"/>
        </w:rPr>
        <w:t>，属软</w:t>
      </w:r>
      <w:r>
        <w:rPr>
          <w:rFonts w:ascii="FangSong_GB2312" w:hAnsi="FangSong_GB2312" w:eastAsia="FangSong_GB2312" w:cs="FangSong_GB2312"/>
          <w:spacing w:val="-1"/>
          <w:sz w:val="24"/>
          <w:szCs w:val="24"/>
        </w:rPr>
        <w:t>岩，岩体基本质量等级为</w:t>
      </w:r>
      <w:r>
        <w:rPr>
          <w:rFonts w:ascii="Times New Roman" w:hAnsi="Times New Roman" w:eastAsia="Times New Roman" w:cs="Times New Roman"/>
          <w:spacing w:val="-1"/>
          <w:sz w:val="24"/>
          <w:szCs w:val="24"/>
        </w:rPr>
        <w:t>Ⅳ</w:t>
      </w:r>
      <w:r>
        <w:rPr>
          <w:rFonts w:ascii="FangSong_GB2312" w:hAnsi="FangSong_GB2312" w:eastAsia="FangSong_GB2312" w:cs="FangSong_GB2312"/>
          <w:spacing w:val="-1"/>
          <w:sz w:val="24"/>
          <w:szCs w:val="24"/>
        </w:rPr>
        <w:t>级，钻探揭露层厚</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2.20</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19.70m</w:t>
      </w:r>
      <w:r>
        <w:rPr>
          <w:rFonts w:ascii="FangSong_GB2312" w:hAnsi="FangSong_GB2312" w:eastAsia="FangSong_GB2312" w:cs="FangSong_GB2312"/>
          <w:spacing w:val="-1"/>
          <w:sz w:val="24"/>
          <w:szCs w:val="24"/>
        </w:rPr>
        <w:t>。</w:t>
      </w:r>
    </w:p>
    <w:p w14:paraId="6440D04A">
      <w:pPr>
        <w:spacing w:before="11" w:line="214" w:lineRule="auto"/>
        <w:ind w:left="430"/>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4"/>
          <w:sz w:val="24"/>
          <w:szCs w:val="24"/>
        </w:rPr>
        <w:t>、区域稳定性及地震</w:t>
      </w:r>
    </w:p>
    <w:p w14:paraId="1B67827A">
      <w:pPr>
        <w:spacing w:before="161" w:line="334" w:lineRule="auto"/>
        <w:ind w:left="8" w:right="67" w:firstLine="486"/>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工程区地质构造简单，地层倾角平缓</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其深部无大的断裂构造从场区及附</w:t>
      </w:r>
      <w:r>
        <w:rPr>
          <w:rFonts w:ascii="FangSong_GB2312" w:hAnsi="FangSong_GB2312" w:eastAsia="FangSong_GB2312" w:cs="FangSong_GB2312"/>
          <w:spacing w:val="-3"/>
          <w:sz w:val="24"/>
          <w:szCs w:val="24"/>
        </w:rPr>
        <w:t>近通过，</w:t>
      </w:r>
      <w:r>
        <w:rPr>
          <w:rFonts w:ascii="FangSong_GB2312" w:hAnsi="FangSong_GB2312" w:eastAsia="FangSong_GB2312" w:cs="FangSong_GB2312"/>
          <w:sz w:val="24"/>
          <w:szCs w:val="24"/>
        </w:rPr>
        <w:t>新构造运动也只表现为缓慢的升降运动，历史上未发生过</w:t>
      </w:r>
      <w:r>
        <w:rPr>
          <w:rFonts w:ascii="FangSong_GB2312" w:hAnsi="FangSong_GB2312" w:eastAsia="FangSong_GB2312" w:cs="FangSong_GB2312"/>
          <w:spacing w:val="-1"/>
          <w:sz w:val="24"/>
          <w:szCs w:val="24"/>
        </w:rPr>
        <w:t>大的地震，地震震级小，频</w:t>
      </w:r>
      <w:r>
        <w:rPr>
          <w:rFonts w:ascii="FangSong_GB2312" w:hAnsi="FangSong_GB2312" w:eastAsia="FangSong_GB2312" w:cs="FangSong_GB2312"/>
          <w:spacing w:val="-3"/>
          <w:sz w:val="24"/>
          <w:szCs w:val="24"/>
        </w:rPr>
        <w:t>度低，不具备发生中强地震的地质构造背景，主要受外围强震波及影响</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pacing w:val="-3"/>
          <w:sz w:val="24"/>
          <w:szCs w:val="24"/>
        </w:rPr>
        <w:t>区域稳定性较</w:t>
      </w:r>
      <w:r>
        <w:rPr>
          <w:rFonts w:ascii="FangSong_GB2312" w:hAnsi="FangSong_GB2312" w:eastAsia="FangSong_GB2312" w:cs="FangSong_GB2312"/>
          <w:sz w:val="24"/>
          <w:szCs w:val="24"/>
        </w:rPr>
        <w:t>好。场地远离区域断裂带及强地震带，所处地质构造背景比较简</w:t>
      </w:r>
      <w:r>
        <w:rPr>
          <w:rFonts w:ascii="FangSong_GB2312" w:hAnsi="FangSong_GB2312" w:eastAsia="FangSong_GB2312" w:cs="FangSong_GB2312"/>
          <w:spacing w:val="-1"/>
          <w:sz w:val="24"/>
          <w:szCs w:val="24"/>
        </w:rPr>
        <w:t>单，地震活动较弱，无明显新构造运动，区域构造稳定。</w:t>
      </w:r>
    </w:p>
    <w:p w14:paraId="4A675EA4">
      <w:pPr>
        <w:spacing w:before="6" w:line="359" w:lineRule="auto"/>
        <w:ind w:left="8" w:right="70" w:firstLine="513"/>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由《中国地震动参数区划图》</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18036-2015</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pacing w:val="4"/>
          <w:sz w:val="24"/>
          <w:szCs w:val="24"/>
        </w:rPr>
        <w:t>查得：剑阁县抗震设</w:t>
      </w:r>
      <w:r>
        <w:rPr>
          <w:rFonts w:ascii="FangSong_GB2312" w:hAnsi="FangSong_GB2312" w:eastAsia="FangSong_GB2312" w:cs="FangSong_GB2312"/>
          <w:spacing w:val="3"/>
          <w:sz w:val="24"/>
          <w:szCs w:val="24"/>
        </w:rPr>
        <w:t>防烈度为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z w:val="24"/>
          <w:szCs w:val="24"/>
        </w:rPr>
        <w:t>VII</w:t>
      </w:r>
      <w:r>
        <w:rPr>
          <w:rFonts w:ascii="FangSong_GB2312" w:hAnsi="FangSong_GB2312" w:eastAsia="FangSong_GB2312" w:cs="FangSong_GB2312"/>
          <w:spacing w:val="-2"/>
          <w:sz w:val="24"/>
          <w:szCs w:val="24"/>
        </w:rPr>
        <w:t>度，地震动反应谱特征周期为</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0.40s</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，地震动峰值加速度为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0.05g</w:t>
      </w:r>
      <w:r>
        <w:rPr>
          <w:rFonts w:ascii="FangSong_GB2312" w:hAnsi="FangSong_GB2312" w:eastAsia="FangSong_GB2312" w:cs="FangSong_GB2312"/>
          <w:spacing w:val="-2"/>
          <w:sz w:val="24"/>
          <w:szCs w:val="24"/>
        </w:rPr>
        <w:t>。</w:t>
      </w:r>
    </w:p>
    <w:p w14:paraId="10BBAC11">
      <w:pPr>
        <w:spacing w:line="214" w:lineRule="auto"/>
        <w:ind w:left="484"/>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、工程地质</w:t>
      </w:r>
    </w:p>
    <w:p w14:paraId="301FC41F">
      <w:pPr>
        <w:spacing w:before="187" w:line="359" w:lineRule="auto"/>
        <w:ind w:left="4" w:right="73" w:firstLine="48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项</w:t>
      </w:r>
      <w:r>
        <w:rPr>
          <w:rFonts w:ascii="FangSong_GB2312" w:hAnsi="FangSong_GB2312" w:eastAsia="FangSong_GB2312" w:cs="FangSong_GB2312"/>
          <w:spacing w:val="-59"/>
          <w:sz w:val="24"/>
          <w:szCs w:val="24"/>
        </w:rPr>
        <w:t xml:space="preserve"> </w:t>
      </w:r>
      <w:r>
        <w:rPr>
          <w:rFonts w:ascii="FangSong_GB2312" w:hAnsi="FangSong_GB2312" w:eastAsia="FangSong_GB2312" w:cs="FangSong_GB2312"/>
          <w:spacing w:val="-3"/>
          <w:sz w:val="24"/>
          <w:szCs w:val="24"/>
        </w:rPr>
        <w:t xml:space="preserve">目区岩性以砂泥岩为主，产状平缓，为 </w:t>
      </w:r>
      <w:r>
        <w:rPr>
          <w:rFonts w:ascii="Times New Roman" w:hAnsi="Times New Roman" w:eastAsia="Times New Roman" w:cs="Times New Roman"/>
          <w:spacing w:val="-3"/>
          <w:sz w:val="24"/>
          <w:szCs w:val="24"/>
        </w:rPr>
        <w:t>330°</w:t>
      </w: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3"/>
          <w:sz w:val="24"/>
          <w:szCs w:val="24"/>
        </w:rPr>
        <w:t>,</w:t>
      </w:r>
      <w:r>
        <w:rPr>
          <w:rFonts w:ascii="FangSong_GB2312" w:hAnsi="FangSong_GB2312" w:eastAsia="FangSong_GB2312" w:cs="FangSong_GB2312"/>
          <w:spacing w:val="68"/>
          <w:sz w:val="24"/>
          <w:szCs w:val="24"/>
        </w:rPr>
        <w:t xml:space="preserve"> </w:t>
      </w:r>
      <w:r>
        <w:rPr>
          <w:rFonts w:ascii="FangSong_GB2312" w:hAnsi="FangSong_GB2312" w:eastAsia="FangSong_GB2312" w:cs="FangSong_GB2312"/>
          <w:spacing w:val="-3"/>
          <w:sz w:val="24"/>
          <w:szCs w:val="24"/>
        </w:rPr>
        <w:t>砂岩多为巨厚层状，岩</w:t>
      </w:r>
      <w:r>
        <w:rPr>
          <w:rFonts w:ascii="FangSong_GB2312" w:hAnsi="FangSong_GB2312" w:eastAsia="FangSong_GB2312" w:cs="FangSong_GB2312"/>
          <w:spacing w:val="-1"/>
          <w:sz w:val="24"/>
          <w:szCs w:val="24"/>
        </w:rPr>
        <w:t>体较完整，泥岩多为中厚层状，岩体较破碎。</w:t>
      </w:r>
    </w:p>
    <w:p w14:paraId="1B4FAD20">
      <w:pPr>
        <w:spacing w:line="359" w:lineRule="auto"/>
        <w:ind w:left="21" w:right="70" w:firstLine="471"/>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项目区覆盖层主要为人工填土、粉质粘土、</w:t>
      </w:r>
      <w:r>
        <w:rPr>
          <w:rFonts w:ascii="FangSong_GB2312" w:hAnsi="FangSong_GB2312" w:eastAsia="FangSong_GB2312" w:cs="FangSong_GB2312"/>
          <w:spacing w:val="-1"/>
          <w:sz w:val="24"/>
          <w:szCs w:val="24"/>
        </w:rPr>
        <w:t>含碎石粉质粘土、块碎石土、细砂土</w:t>
      </w:r>
      <w:r>
        <w:rPr>
          <w:rFonts w:ascii="FangSong_GB2312" w:hAnsi="FangSong_GB2312" w:eastAsia="FangSong_GB2312" w:cs="FangSong_GB2312"/>
          <w:spacing w:val="-11"/>
          <w:sz w:val="24"/>
          <w:szCs w:val="24"/>
        </w:rPr>
        <w:t>等。</w:t>
      </w:r>
    </w:p>
    <w:p w14:paraId="52E488DB">
      <w:pPr>
        <w:spacing w:before="1" w:line="213" w:lineRule="auto"/>
        <w:ind w:left="50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总体而言，项目区工程地质条件简单。</w:t>
      </w:r>
    </w:p>
    <w:p w14:paraId="37562423">
      <w:pPr>
        <w:spacing w:before="191" w:line="214" w:lineRule="auto"/>
        <w:ind w:left="491"/>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7"/>
          <w:sz w:val="24"/>
          <w:szCs w:val="24"/>
        </w:rPr>
        <w:t>、不良地质</w:t>
      </w:r>
    </w:p>
    <w:p w14:paraId="15F4B38F">
      <w:pPr>
        <w:spacing w:before="186" w:line="360" w:lineRule="auto"/>
        <w:ind w:left="7" w:firstLine="479"/>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根据项目区及其周边地区调查，未发现有大型滑坡、泥石流、崩塌、不稳定斜坡、</w:t>
      </w:r>
      <w:r>
        <w:rPr>
          <w:rFonts w:ascii="FangSong_GB2312" w:hAnsi="FangSong_GB2312" w:eastAsia="FangSong_GB2312" w:cs="FangSong_GB2312"/>
          <w:spacing w:val="-1"/>
          <w:sz w:val="24"/>
          <w:szCs w:val="24"/>
        </w:rPr>
        <w:t>地面沉降等不良地质灾害。</w:t>
      </w:r>
    </w:p>
    <w:p w14:paraId="3DF72CBA">
      <w:pPr>
        <w:spacing w:before="7" w:line="216"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2.7.2 </w:t>
      </w:r>
      <w:r>
        <w:rPr>
          <w:rFonts w:ascii="FangSong_GB2312" w:hAnsi="FangSong_GB2312" w:eastAsia="FangSong_GB2312" w:cs="FangSong_GB2312"/>
          <w:b/>
          <w:bCs/>
          <w:spacing w:val="-2"/>
          <w:sz w:val="28"/>
          <w:szCs w:val="28"/>
        </w:rPr>
        <w:t>地貌</w:t>
      </w:r>
    </w:p>
    <w:p w14:paraId="74DA6C6B">
      <w:pPr>
        <w:spacing w:before="211" w:line="359" w:lineRule="auto"/>
        <w:ind w:left="7" w:right="70" w:firstLine="487"/>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剑阁县地势西北高东南低，以低山地貌为主，山岭密布，沟壑纵横交错。西北连</w:t>
      </w:r>
      <w:r>
        <w:rPr>
          <w:rFonts w:ascii="FangSong_GB2312" w:hAnsi="FangSong_GB2312" w:eastAsia="FangSong_GB2312" w:cs="FangSong_GB2312"/>
          <w:sz w:val="24"/>
          <w:szCs w:val="24"/>
        </w:rPr>
        <w:t>山绝险，峻岭横空，东南地势减缓，地面切割剧烈，高低落</w:t>
      </w:r>
      <w:r>
        <w:rPr>
          <w:rFonts w:ascii="FangSong_GB2312" w:hAnsi="FangSong_GB2312" w:eastAsia="FangSong_GB2312" w:cs="FangSong_GB2312"/>
          <w:spacing w:val="-1"/>
          <w:sz w:val="24"/>
          <w:szCs w:val="24"/>
        </w:rPr>
        <w:t>差甚大，最高的五</w:t>
      </w:r>
      <w:r>
        <w:rPr>
          <w:rFonts w:hint="eastAsia" w:ascii="FangSong_GB2312" w:hAnsi="FangSong_GB2312" w:eastAsia="FangSong_GB2312" w:cs="FangSong_GB2312"/>
          <w:spacing w:val="-1"/>
          <w:sz w:val="24"/>
          <w:szCs w:val="24"/>
          <w:lang w:val="en-US" w:eastAsia="zh-CN"/>
        </w:rPr>
        <w:t>指</w:t>
      </w:r>
      <w:r>
        <w:rPr>
          <w:rFonts w:ascii="FangSong_GB2312" w:hAnsi="FangSong_GB2312" w:eastAsia="FangSong_GB2312" w:cs="FangSong_GB2312"/>
          <w:spacing w:val="-1"/>
          <w:sz w:val="24"/>
          <w:szCs w:val="24"/>
        </w:rPr>
        <w:t>山右</w:t>
      </w:r>
      <w:r>
        <w:rPr>
          <w:rFonts w:ascii="FangSong_GB2312" w:hAnsi="FangSong_GB2312" w:eastAsia="FangSong_GB2312" w:cs="FangSong_GB2312"/>
          <w:spacing w:val="-3"/>
          <w:sz w:val="24"/>
          <w:szCs w:val="24"/>
        </w:rPr>
        <w:t>二峰海拔</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1330</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pacing w:val="-3"/>
          <w:sz w:val="24"/>
          <w:szCs w:val="24"/>
        </w:rPr>
        <w:t>米，最低的西河出境处海拔</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367</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pacing w:val="-4"/>
          <w:sz w:val="24"/>
          <w:szCs w:val="24"/>
        </w:rPr>
        <w:t>米。地貌类型由北向南依次为单斜中</w:t>
      </w:r>
      <w:r>
        <w:rPr>
          <w:rFonts w:ascii="FangSong_GB2312" w:hAnsi="FangSong_GB2312" w:eastAsia="FangSong_GB2312" w:cs="FangSong_GB2312"/>
          <w:sz w:val="24"/>
          <w:szCs w:val="24"/>
        </w:rPr>
        <w:t>低山窄谷区，台梁低山宽谷区，低山槽坝深丘处。全县崩塌</w:t>
      </w:r>
      <w:r>
        <w:rPr>
          <w:rFonts w:ascii="FangSong_GB2312" w:hAnsi="FangSong_GB2312" w:eastAsia="FangSong_GB2312" w:cs="FangSong_GB2312"/>
          <w:spacing w:val="-1"/>
          <w:sz w:val="24"/>
          <w:szCs w:val="24"/>
        </w:rPr>
        <w:t>、滑坡、地裂缝和不稳定斜坡等地质灾害隐患分布较为广泛。</w:t>
      </w:r>
    </w:p>
    <w:p w14:paraId="3B8520E7">
      <w:pPr>
        <w:spacing w:line="213" w:lineRule="auto"/>
        <w:ind w:left="492"/>
        <w:rPr>
          <w:rFonts w:ascii="FangSong_GB2312" w:hAnsi="FangSong_GB2312" w:eastAsia="FangSong_GB2312" w:cs="FangSong_GB2312"/>
          <w:sz w:val="24"/>
          <w:szCs w:val="24"/>
        </w:rPr>
      </w:pPr>
      <w:r>
        <w:rPr>
          <w:rFonts w:ascii="FangSong_GB2312" w:hAnsi="FangSong_GB2312" w:eastAsia="FangSong_GB2312" w:cs="FangSong_GB2312"/>
          <w:sz w:val="24"/>
          <w:szCs w:val="24"/>
        </w:rPr>
        <w:t>项目场地地貌单元为构造剥蚀丘陵地貌，场</w:t>
      </w:r>
      <w:r>
        <w:rPr>
          <w:rFonts w:ascii="FangSong_GB2312" w:hAnsi="FangSong_GB2312" w:eastAsia="FangSong_GB2312" w:cs="FangSong_GB2312"/>
          <w:spacing w:val="-1"/>
          <w:sz w:val="24"/>
          <w:szCs w:val="24"/>
        </w:rPr>
        <w:t>地处丘陵斜坡、坡积裙地带，现状呈</w:t>
      </w:r>
    </w:p>
    <w:p w14:paraId="65E9457F">
      <w:pPr>
        <w:pStyle w:val="2"/>
        <w:spacing w:line="467" w:lineRule="auto"/>
      </w:pPr>
    </w:p>
    <w:p w14:paraId="0362A826">
      <w:pPr>
        <w:spacing w:before="65" w:line="229" w:lineRule="auto"/>
        <w:ind w:left="5384"/>
        <w:rPr>
          <w:rFonts w:ascii="FangSong_GB2312" w:hAnsi="FangSong_GB2312" w:eastAsia="FangSong_GB2312" w:cs="FangSong_GB2312"/>
          <w:sz w:val="20"/>
          <w:szCs w:val="20"/>
        </w:rPr>
      </w:pPr>
      <w:r>
        <w:pict>
          <v:shape id="_x0000_s1053" o:spid="_x0000_s1053" o:spt="202" type="#_x0000_t202" style="position:absolute;left:0pt;margin-left:216.6pt;margin-top:3pt;height:10.15pt;width:10.9pt;z-index:251721728;mso-width-relative:page;mso-height-relative:page;" filled="f" stroked="f" coordsize="21600,21600">
            <v:path/>
            <v:fill on="f" focussize="0,0"/>
            <v:stroke on="f"/>
            <v:imagedata o:title=""/>
            <o:lock v:ext="edit" aspectratio="f"/>
            <v:textbox inset="0mm,0mm,0mm,0mm">
              <w:txbxContent>
                <w:p w14:paraId="4454C177">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txbxContent>
            </v:textbox>
          </v:shape>
        </w:pict>
      </w:r>
      <w:r>
        <w:rPr>
          <w:rFonts w:ascii="FangSong_GB2312" w:hAnsi="FangSong_GB2312" w:eastAsia="FangSong_GB2312" w:cs="FangSong_GB2312"/>
          <w:spacing w:val="8"/>
          <w:sz w:val="20"/>
          <w:szCs w:val="20"/>
        </w:rPr>
        <w:t>剑阁县绿森林业勘察设计有限公司</w:t>
      </w:r>
    </w:p>
    <w:p w14:paraId="1A22A553">
      <w:pPr>
        <w:spacing w:line="229" w:lineRule="auto"/>
        <w:rPr>
          <w:rFonts w:ascii="FangSong_GB2312" w:hAnsi="FangSong_GB2312" w:eastAsia="FangSong_GB2312" w:cs="FangSong_GB2312"/>
          <w:sz w:val="20"/>
          <w:szCs w:val="20"/>
        </w:rPr>
        <w:sectPr>
          <w:headerReference r:id="rId39" w:type="default"/>
          <w:pgSz w:w="11906" w:h="16839"/>
          <w:pgMar w:top="1164" w:right="1443" w:bottom="400" w:left="1513" w:header="831" w:footer="0" w:gutter="0"/>
          <w:cols w:space="720" w:num="1"/>
        </w:sectPr>
      </w:pPr>
    </w:p>
    <w:p w14:paraId="0C6B51DF">
      <w:pPr>
        <w:spacing w:before="197" w:line="358" w:lineRule="auto"/>
        <w:ind w:left="164" w:right="314" w:hanging="34"/>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低山地貌，地形局部起伏不大。项</w:t>
      </w:r>
      <w:r>
        <w:rPr>
          <w:rFonts w:ascii="FangSong_GB2312" w:hAnsi="FangSong_GB2312" w:eastAsia="FangSong_GB2312" w:cs="FangSong_GB2312"/>
          <w:spacing w:val="-57"/>
          <w:sz w:val="24"/>
          <w:szCs w:val="24"/>
        </w:rPr>
        <w:t xml:space="preserve"> </w:t>
      </w:r>
      <w:r>
        <w:rPr>
          <w:rFonts w:ascii="FangSong_GB2312" w:hAnsi="FangSong_GB2312" w:eastAsia="FangSong_GB2312" w:cs="FangSong_GB2312"/>
          <w:spacing w:val="-2"/>
          <w:sz w:val="24"/>
          <w:szCs w:val="24"/>
        </w:rPr>
        <w:t>目区内原始地面高程介于</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827.68m~832.45m</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，项目</w:t>
      </w:r>
      <w:r>
        <w:rPr>
          <w:rFonts w:ascii="FangSong_GB2312" w:hAnsi="FangSong_GB2312" w:eastAsia="FangSong_GB2312" w:cs="FangSong_GB2312"/>
          <w:spacing w:val="-5"/>
          <w:sz w:val="24"/>
          <w:szCs w:val="24"/>
        </w:rPr>
        <w:t>区场平高程为</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5"/>
          <w:sz w:val="24"/>
          <w:szCs w:val="24"/>
        </w:rPr>
        <w:t>828.60m</w:t>
      </w:r>
      <w:r>
        <w:rPr>
          <w:rFonts w:ascii="FangSong_GB2312" w:hAnsi="FangSong_GB2312" w:eastAsia="FangSong_GB2312" w:cs="FangSong_GB2312"/>
          <w:spacing w:val="-5"/>
          <w:sz w:val="24"/>
          <w:szCs w:val="24"/>
        </w:rPr>
        <w:t>。</w:t>
      </w:r>
    </w:p>
    <w:p w14:paraId="13F0EBE5">
      <w:pPr>
        <w:spacing w:before="8" w:line="215" w:lineRule="auto"/>
        <w:ind w:left="12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5"/>
          <w:sz w:val="28"/>
          <w:szCs w:val="28"/>
        </w:rPr>
        <w:t>2.7.3</w:t>
      </w:r>
      <w:r>
        <w:rPr>
          <w:rFonts w:ascii="Times New Roman" w:hAnsi="Times New Roman" w:eastAsia="Times New Roman" w:cs="Times New Roman"/>
          <w:b/>
          <w:bCs/>
          <w:spacing w:val="21"/>
          <w:w w:val="101"/>
          <w:sz w:val="28"/>
          <w:szCs w:val="28"/>
        </w:rPr>
        <w:t xml:space="preserve"> </w:t>
      </w:r>
      <w:r>
        <w:rPr>
          <w:rFonts w:ascii="FangSong_GB2312" w:hAnsi="FangSong_GB2312" w:eastAsia="FangSong_GB2312" w:cs="FangSong_GB2312"/>
          <w:b/>
          <w:bCs/>
          <w:spacing w:val="-5"/>
          <w:sz w:val="28"/>
          <w:szCs w:val="28"/>
        </w:rPr>
        <w:t>气象</w:t>
      </w:r>
    </w:p>
    <w:p w14:paraId="6BCB7E21">
      <w:pPr>
        <w:spacing w:before="212" w:line="214" w:lineRule="auto"/>
        <w:ind w:left="630"/>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5"/>
          <w:sz w:val="24"/>
          <w:szCs w:val="24"/>
        </w:rPr>
        <w:t>、项目区多年气候气象条件</w:t>
      </w:r>
    </w:p>
    <w:p w14:paraId="7A91A470">
      <w:pPr>
        <w:spacing w:before="190" w:line="359" w:lineRule="auto"/>
        <w:ind w:left="133" w:right="314" w:firstLine="481"/>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项目区属亚热带湿润季风气候。气候温和，</w:t>
      </w:r>
      <w:r>
        <w:rPr>
          <w:rFonts w:ascii="FangSong_GB2312" w:hAnsi="FangSong_GB2312" w:eastAsia="FangSong_GB2312" w:cs="FangSong_GB2312"/>
          <w:spacing w:val="-1"/>
          <w:sz w:val="24"/>
          <w:szCs w:val="24"/>
        </w:rPr>
        <w:t>光照比较适宜，四季分明，大陆性季</w:t>
      </w:r>
      <w:r>
        <w:rPr>
          <w:rFonts w:ascii="FangSong_GB2312" w:hAnsi="FangSong_GB2312" w:eastAsia="FangSong_GB2312" w:cs="FangSong_GB2312"/>
          <w:sz w:val="24"/>
          <w:szCs w:val="24"/>
        </w:rPr>
        <w:t>风明显。由于地理位置和多变地貌影响，垂直气候明</w:t>
      </w:r>
      <w:r>
        <w:rPr>
          <w:rFonts w:ascii="FangSong_GB2312" w:hAnsi="FangSong_GB2312" w:eastAsia="FangSong_GB2312" w:cs="FangSong_GB2312"/>
          <w:spacing w:val="-1"/>
          <w:sz w:val="24"/>
          <w:szCs w:val="24"/>
        </w:rPr>
        <w:t>显，区域气候差异大，出现海拔</w:t>
      </w:r>
      <w:r>
        <w:rPr>
          <w:rFonts w:ascii="FangSong_GB2312" w:hAnsi="FangSong_GB2312" w:eastAsia="FangSong_GB2312" w:cs="FangSong_GB2312"/>
          <w:sz w:val="24"/>
          <w:szCs w:val="24"/>
        </w:rPr>
        <w:t>高程不同，气候各异，高山顶和漕谷地气温相差大。</w:t>
      </w:r>
      <w:r>
        <w:rPr>
          <w:rFonts w:ascii="FangSong_GB2312" w:hAnsi="FangSong_GB2312" w:eastAsia="FangSong_GB2312" w:cs="FangSong_GB2312"/>
          <w:spacing w:val="-1"/>
          <w:sz w:val="24"/>
          <w:szCs w:val="24"/>
        </w:rPr>
        <w:t>气候随海拔升高而降低。降水充</w:t>
      </w:r>
      <w:r>
        <w:rPr>
          <w:rFonts w:ascii="FangSong_GB2312" w:hAnsi="FangSong_GB2312" w:eastAsia="FangSong_GB2312" w:cs="FangSong_GB2312"/>
          <w:sz w:val="24"/>
          <w:szCs w:val="24"/>
        </w:rPr>
        <w:t>分，但呈陡峭单峰型分布，时空分布不均，常有</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东边日出西</w:t>
      </w:r>
      <w:r>
        <w:rPr>
          <w:rFonts w:ascii="FangSong_GB2312" w:hAnsi="FangSong_GB2312" w:eastAsia="FangSong_GB2312" w:cs="FangSong_GB2312"/>
          <w:spacing w:val="-1"/>
          <w:sz w:val="24"/>
          <w:szCs w:val="24"/>
        </w:rPr>
        <w:t>边雨</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情形。剑阁县一般</w:t>
      </w:r>
      <w:r>
        <w:rPr>
          <w:rFonts w:ascii="FangSong_GB2312" w:hAnsi="FangSong_GB2312" w:eastAsia="FangSong_GB2312" w:cs="FangSong_GB2312"/>
          <w:spacing w:val="-9"/>
          <w:sz w:val="24"/>
          <w:szCs w:val="24"/>
        </w:rPr>
        <w:t>年平均气温约</w:t>
      </w:r>
      <w:r>
        <w:rPr>
          <w:rFonts w:ascii="FangSong_GB2312" w:hAnsi="FangSong_GB2312" w:eastAsia="FangSong_GB2312" w:cs="FangSong_GB2312"/>
          <w:spacing w:val="-19"/>
          <w:sz w:val="24"/>
          <w:szCs w:val="24"/>
        </w:rPr>
        <w:t xml:space="preserve"> </w:t>
      </w:r>
      <w:r>
        <w:rPr>
          <w:rFonts w:ascii="Times New Roman" w:hAnsi="Times New Roman" w:eastAsia="Times New Roman" w:cs="Times New Roman"/>
          <w:spacing w:val="-9"/>
          <w:sz w:val="24"/>
          <w:szCs w:val="24"/>
        </w:rPr>
        <w:t>16.7℃</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9"/>
          <w:sz w:val="24"/>
          <w:szCs w:val="24"/>
        </w:rPr>
        <w:t>,</w:t>
      </w:r>
      <w:r>
        <w:rPr>
          <w:rFonts w:ascii="FangSong_GB2312" w:hAnsi="FangSong_GB2312" w:eastAsia="FangSong_GB2312" w:cs="FangSong_GB2312"/>
          <w:spacing w:val="60"/>
          <w:sz w:val="24"/>
          <w:szCs w:val="24"/>
        </w:rPr>
        <w:t xml:space="preserve"> </w:t>
      </w:r>
      <w:r>
        <w:rPr>
          <w:rFonts w:ascii="FangSong_GB2312" w:hAnsi="FangSong_GB2312" w:eastAsia="FangSong_GB2312" w:cs="FangSong_GB2312"/>
          <w:spacing w:val="-9"/>
          <w:sz w:val="24"/>
          <w:szCs w:val="24"/>
        </w:rPr>
        <w:t xml:space="preserve">最高 </w:t>
      </w:r>
      <w:r>
        <w:rPr>
          <w:rFonts w:ascii="Times New Roman" w:hAnsi="Times New Roman" w:eastAsia="Times New Roman" w:cs="Times New Roman"/>
          <w:spacing w:val="-9"/>
          <w:sz w:val="24"/>
          <w:szCs w:val="24"/>
        </w:rPr>
        <w:t>40.09℃</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9"/>
          <w:sz w:val="24"/>
          <w:szCs w:val="24"/>
        </w:rPr>
        <w:t>,</w:t>
      </w:r>
      <w:r>
        <w:rPr>
          <w:rFonts w:ascii="FangSong_GB2312" w:hAnsi="FangSong_GB2312" w:eastAsia="FangSong_GB2312" w:cs="FangSong_GB2312"/>
          <w:spacing w:val="60"/>
          <w:sz w:val="24"/>
          <w:szCs w:val="24"/>
        </w:rPr>
        <w:t xml:space="preserve"> </w:t>
      </w:r>
      <w:r>
        <w:rPr>
          <w:rFonts w:ascii="FangSong_GB2312" w:hAnsi="FangSong_GB2312" w:eastAsia="FangSong_GB2312" w:cs="FangSong_GB2312"/>
          <w:spacing w:val="-9"/>
          <w:sz w:val="24"/>
          <w:szCs w:val="24"/>
        </w:rPr>
        <w:t>最低</w:t>
      </w:r>
      <w:r>
        <w:rPr>
          <w:rFonts w:ascii="Times New Roman" w:hAnsi="Times New Roman" w:eastAsia="Times New Roman" w:cs="Times New Roman"/>
          <w:spacing w:val="-9"/>
          <w:sz w:val="24"/>
          <w:szCs w:val="24"/>
        </w:rPr>
        <w:t>-7.2℃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9"/>
          <w:sz w:val="24"/>
          <w:szCs w:val="24"/>
        </w:rPr>
        <w:t>,</w:t>
      </w:r>
      <w:r>
        <w:rPr>
          <w:rFonts w:ascii="FangSong_GB2312" w:hAnsi="FangSong_GB2312" w:eastAsia="FangSong_GB2312" w:cs="FangSong_GB2312"/>
          <w:spacing w:val="66"/>
          <w:sz w:val="24"/>
          <w:szCs w:val="24"/>
        </w:rPr>
        <w:t xml:space="preserve"> </w:t>
      </w:r>
      <w:r>
        <w:rPr>
          <w:rFonts w:ascii="FangSong_GB2312" w:hAnsi="FangSong_GB2312" w:eastAsia="FangSong_GB2312" w:cs="FangSong_GB2312"/>
          <w:spacing w:val="-9"/>
          <w:sz w:val="24"/>
          <w:szCs w:val="24"/>
        </w:rPr>
        <w:t>多年平均降水量</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9"/>
          <w:sz w:val="24"/>
          <w:szCs w:val="24"/>
        </w:rPr>
        <w:t>1086.60</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9"/>
          <w:sz w:val="24"/>
          <w:szCs w:val="24"/>
        </w:rPr>
        <w:t>毫米，雨</w:t>
      </w:r>
      <w:r>
        <w:rPr>
          <w:rFonts w:ascii="FangSong_GB2312" w:hAnsi="FangSong_GB2312" w:eastAsia="FangSong_GB2312" w:cs="FangSong_GB2312"/>
          <w:spacing w:val="-3"/>
          <w:sz w:val="24"/>
          <w:szCs w:val="24"/>
        </w:rPr>
        <w:t>季为每年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7</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月，最高月降雨量为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551.4m</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4"/>
          <w:sz w:val="24"/>
          <w:szCs w:val="24"/>
        </w:rPr>
        <w:t>，最低月降雨量为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0.02mm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pacing w:val="-4"/>
          <w:sz w:val="24"/>
          <w:szCs w:val="24"/>
        </w:rPr>
        <w:t>。境内风向随</w:t>
      </w:r>
      <w:r>
        <w:rPr>
          <w:rFonts w:ascii="FangSong_GB2312" w:hAnsi="FangSong_GB2312" w:eastAsia="FangSong_GB2312" w:cs="FangSong_GB2312"/>
          <w:spacing w:val="-1"/>
          <w:sz w:val="24"/>
          <w:szCs w:val="24"/>
        </w:rPr>
        <w:t>季节变化明显，夏半年盛行偏南风，冬半年</w:t>
      </w:r>
      <w:r>
        <w:rPr>
          <w:rFonts w:ascii="FangSong_GB2312" w:hAnsi="FangSong_GB2312" w:eastAsia="FangSong_GB2312" w:cs="FangSong_GB2312"/>
          <w:spacing w:val="-2"/>
          <w:sz w:val="24"/>
          <w:szCs w:val="24"/>
        </w:rPr>
        <w:t>盛行偏北风常年主导风向</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2"/>
          <w:sz w:val="24"/>
          <w:szCs w:val="24"/>
        </w:rPr>
        <w:t>SWW</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NEE</w:t>
      </w:r>
      <w:r>
        <w:rPr>
          <w:rFonts w:ascii="FangSong_GB2312" w:hAnsi="FangSong_GB2312" w:eastAsia="FangSong_GB2312" w:cs="FangSong_GB2312"/>
          <w:spacing w:val="-2"/>
          <w:sz w:val="24"/>
          <w:szCs w:val="24"/>
        </w:rPr>
        <w:t>、</w:t>
      </w:r>
    </w:p>
    <w:p w14:paraId="1854C454">
      <w:pPr>
        <w:spacing w:before="2" w:line="359" w:lineRule="auto"/>
        <w:ind w:left="134" w:right="314" w:firstLine="10"/>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多年平均风速</w:t>
      </w:r>
      <w:r>
        <w:rPr>
          <w:rFonts w:ascii="FangSong_GB2312" w:hAnsi="FangSong_GB2312" w:eastAsia="FangSong_GB2312" w:cs="FangSong_GB2312"/>
          <w:spacing w:val="-61"/>
          <w:sz w:val="24"/>
          <w:szCs w:val="24"/>
        </w:rPr>
        <w:t xml:space="preserve"> </w:t>
      </w:r>
      <w:r>
        <w:rPr>
          <w:rFonts w:ascii="Times New Roman" w:hAnsi="Times New Roman" w:eastAsia="Times New Roman" w:cs="Times New Roman"/>
          <w:spacing w:val="-9"/>
          <w:sz w:val="24"/>
          <w:szCs w:val="24"/>
        </w:rPr>
        <w:t>1.8m/s</w:t>
      </w:r>
      <w:r>
        <w:rPr>
          <w:rFonts w:ascii="FangSong_GB2312" w:hAnsi="FangSong_GB2312" w:eastAsia="FangSong_GB2312" w:cs="FangSong_GB2312"/>
          <w:spacing w:val="-9"/>
          <w:sz w:val="24"/>
          <w:szCs w:val="24"/>
        </w:rPr>
        <w:t>。全年无霜期约</w:t>
      </w:r>
      <w:r>
        <w:rPr>
          <w:rFonts w:ascii="Times New Roman" w:hAnsi="Times New Roman" w:eastAsia="Times New Roman" w:cs="Times New Roman"/>
          <w:spacing w:val="-9"/>
          <w:sz w:val="24"/>
          <w:szCs w:val="24"/>
        </w:rPr>
        <w:t xml:space="preserve">270 </w:t>
      </w:r>
      <w:r>
        <w:rPr>
          <w:rFonts w:ascii="FangSong_GB2312" w:hAnsi="FangSong_GB2312" w:eastAsia="FangSong_GB2312" w:cs="FangSong_GB2312"/>
          <w:spacing w:val="-9"/>
          <w:sz w:val="24"/>
          <w:szCs w:val="24"/>
        </w:rPr>
        <w:t>天。秋冬两季多雾，多年平均日</w:t>
      </w:r>
      <w:r>
        <w:rPr>
          <w:rFonts w:ascii="FangSong_GB2312" w:hAnsi="FangSong_GB2312" w:eastAsia="FangSong_GB2312" w:cs="FangSong_GB2312"/>
          <w:spacing w:val="-10"/>
          <w:sz w:val="24"/>
          <w:szCs w:val="24"/>
        </w:rPr>
        <w:t>照时数为</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10"/>
          <w:sz w:val="24"/>
          <w:szCs w:val="24"/>
        </w:rPr>
        <w:t>1328.3</w:t>
      </w:r>
      <w:r>
        <w:rPr>
          <w:rFonts w:ascii="FangSong_GB2312" w:hAnsi="FangSong_GB2312" w:eastAsia="FangSong_GB2312" w:cs="FangSong_GB2312"/>
          <w:spacing w:val="-4"/>
          <w:sz w:val="24"/>
          <w:szCs w:val="24"/>
        </w:rPr>
        <w:t>小时。</w:t>
      </w:r>
    </w:p>
    <w:p w14:paraId="1EC6D0A9">
      <w:pPr>
        <w:spacing w:line="214" w:lineRule="auto"/>
        <w:ind w:left="61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剑阁县年最大</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 xml:space="preserve">10 </w:t>
      </w:r>
      <w:r>
        <w:rPr>
          <w:rFonts w:ascii="FangSong_GB2312" w:hAnsi="FangSong_GB2312" w:eastAsia="FangSong_GB2312" w:cs="FangSong_GB2312"/>
          <w:spacing w:val="-3"/>
          <w:sz w:val="24"/>
          <w:szCs w:val="24"/>
        </w:rPr>
        <w:t>分钟点雨量平均值为</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4"/>
          <w:sz w:val="24"/>
          <w:szCs w:val="24"/>
        </w:rPr>
        <w:t>mm</w:t>
      </w:r>
      <w:r>
        <w:rPr>
          <w:rFonts w:ascii="FangSong_GB2312" w:hAnsi="FangSong_GB2312" w:eastAsia="FangSong_GB2312" w:cs="FangSong_GB2312"/>
          <w:spacing w:val="-4"/>
          <w:sz w:val="24"/>
          <w:szCs w:val="24"/>
        </w:rPr>
        <w:t>。</w:t>
      </w:r>
    </w:p>
    <w:p w14:paraId="7CEBB6CF">
      <w:pPr>
        <w:spacing w:before="183" w:line="222" w:lineRule="auto"/>
        <w:ind w:left="3374"/>
        <w:rPr>
          <w:rFonts w:ascii="FangSong_GB2312" w:hAnsi="FangSong_GB2312" w:eastAsia="FangSong_GB2312" w:cs="FangSong_GB2312"/>
          <w:sz w:val="20"/>
          <w:szCs w:val="20"/>
        </w:rPr>
      </w:pPr>
      <w:r>
        <w:rPr>
          <w:rFonts w:ascii="FangSong_GB2312" w:hAnsi="FangSong_GB2312" w:eastAsia="FangSong_GB2312" w:cs="FangSong_GB2312"/>
          <w:b/>
          <w:bCs/>
          <w:spacing w:val="2"/>
          <w:sz w:val="20"/>
          <w:szCs w:val="20"/>
        </w:rPr>
        <w:t>表</w:t>
      </w:r>
      <w:r>
        <w:rPr>
          <w:rFonts w:ascii="FangSong_GB2312" w:hAnsi="FangSong_GB2312" w:eastAsia="FangSong_GB2312" w:cs="FangSong_GB2312"/>
          <w:spacing w:val="-26"/>
          <w:sz w:val="20"/>
          <w:szCs w:val="20"/>
        </w:rPr>
        <w:t xml:space="preserve"> </w:t>
      </w:r>
      <w:r>
        <w:rPr>
          <w:rFonts w:ascii="Times New Roman" w:hAnsi="Times New Roman" w:eastAsia="Times New Roman" w:cs="Times New Roman"/>
          <w:b/>
          <w:bCs/>
          <w:spacing w:val="2"/>
          <w:sz w:val="20"/>
          <w:szCs w:val="20"/>
        </w:rPr>
        <w:t xml:space="preserve">2.7-1    </w:t>
      </w:r>
      <w:r>
        <w:rPr>
          <w:rFonts w:ascii="FangSong_GB2312" w:hAnsi="FangSong_GB2312" w:eastAsia="FangSong_GB2312" w:cs="FangSong_GB2312"/>
          <w:b/>
          <w:bCs/>
          <w:spacing w:val="2"/>
          <w:sz w:val="20"/>
          <w:szCs w:val="20"/>
        </w:rPr>
        <w:t>项</w:t>
      </w:r>
      <w:r>
        <w:rPr>
          <w:rFonts w:ascii="FangSong_GB2312" w:hAnsi="FangSong_GB2312" w:eastAsia="FangSong_GB2312" w:cs="FangSong_GB2312"/>
          <w:spacing w:val="-52"/>
          <w:sz w:val="20"/>
          <w:szCs w:val="20"/>
        </w:rPr>
        <w:t xml:space="preserve"> </w:t>
      </w:r>
      <w:r>
        <w:rPr>
          <w:rFonts w:ascii="FangSong_GB2312" w:hAnsi="FangSong_GB2312" w:eastAsia="FangSong_GB2312" w:cs="FangSong_GB2312"/>
          <w:b/>
          <w:bCs/>
          <w:spacing w:val="2"/>
          <w:sz w:val="20"/>
          <w:szCs w:val="20"/>
        </w:rPr>
        <w:t>目区域气象特征值</w:t>
      </w:r>
    </w:p>
    <w:tbl>
      <w:tblPr>
        <w:tblStyle w:val="6"/>
        <w:tblW w:w="92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381"/>
        <w:gridCol w:w="2383"/>
        <w:gridCol w:w="2395"/>
      </w:tblGrid>
      <w:tr w14:paraId="0BAD9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4511" w:type="dxa"/>
            <w:gridSpan w:val="2"/>
            <w:tcBorders>
              <w:top w:val="single" w:color="000000" w:sz="10" w:space="0"/>
              <w:left w:val="single" w:color="000000" w:sz="10" w:space="0"/>
            </w:tcBorders>
            <w:vAlign w:val="top"/>
          </w:tcPr>
          <w:p w14:paraId="7003663F">
            <w:pPr>
              <w:spacing w:before="32" w:line="197" w:lineRule="auto"/>
              <w:ind w:left="189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气象要素</w:t>
            </w:r>
          </w:p>
        </w:tc>
        <w:tc>
          <w:tcPr>
            <w:tcW w:w="2383" w:type="dxa"/>
            <w:tcBorders>
              <w:top w:val="single" w:color="000000" w:sz="10" w:space="0"/>
            </w:tcBorders>
            <w:vAlign w:val="top"/>
          </w:tcPr>
          <w:p w14:paraId="5FB97611">
            <w:pPr>
              <w:spacing w:before="32" w:line="197" w:lineRule="auto"/>
              <w:ind w:left="102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2395" w:type="dxa"/>
            <w:tcBorders>
              <w:top w:val="single" w:color="000000" w:sz="10" w:space="0"/>
              <w:right w:val="single" w:color="000000" w:sz="10" w:space="0"/>
            </w:tcBorders>
            <w:vAlign w:val="top"/>
          </w:tcPr>
          <w:p w14:paraId="56571090">
            <w:pPr>
              <w:spacing w:before="32" w:line="197" w:lineRule="auto"/>
              <w:ind w:left="9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剑阁县</w:t>
            </w:r>
          </w:p>
        </w:tc>
      </w:tr>
      <w:tr w14:paraId="66807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30" w:type="dxa"/>
            <w:vMerge w:val="restart"/>
            <w:tcBorders>
              <w:left w:val="single" w:color="000000" w:sz="10" w:space="0"/>
              <w:bottom w:val="nil"/>
            </w:tcBorders>
            <w:vAlign w:val="top"/>
          </w:tcPr>
          <w:p w14:paraId="310E0931">
            <w:pPr>
              <w:spacing w:line="351" w:lineRule="auto"/>
              <w:rPr>
                <w:rFonts w:ascii="Arial"/>
                <w:sz w:val="21"/>
              </w:rPr>
            </w:pPr>
          </w:p>
          <w:p w14:paraId="7E88C589">
            <w:pPr>
              <w:spacing w:before="58" w:line="218" w:lineRule="auto"/>
              <w:ind w:left="882"/>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气温</w:t>
            </w:r>
          </w:p>
        </w:tc>
        <w:tc>
          <w:tcPr>
            <w:tcW w:w="2381" w:type="dxa"/>
            <w:vAlign w:val="top"/>
          </w:tcPr>
          <w:p w14:paraId="1A667657">
            <w:pPr>
              <w:spacing w:before="30" w:line="207" w:lineRule="auto"/>
              <w:ind w:left="83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多年平均</w:t>
            </w:r>
          </w:p>
        </w:tc>
        <w:tc>
          <w:tcPr>
            <w:tcW w:w="2383" w:type="dxa"/>
            <w:vAlign w:val="top"/>
          </w:tcPr>
          <w:p w14:paraId="2CF9A0F6">
            <w:pPr>
              <w:spacing w:before="60" w:line="188" w:lineRule="auto"/>
              <w:ind w:left="1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95" w:type="dxa"/>
            <w:tcBorders>
              <w:right w:val="single" w:color="000000" w:sz="10" w:space="0"/>
            </w:tcBorders>
            <w:vAlign w:val="top"/>
          </w:tcPr>
          <w:p w14:paraId="5D5B8C68">
            <w:pPr>
              <w:spacing w:before="61" w:line="188" w:lineRule="auto"/>
              <w:ind w:left="105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16.7</w:t>
            </w:r>
          </w:p>
        </w:tc>
      </w:tr>
      <w:tr w14:paraId="24CFB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30" w:type="dxa"/>
            <w:vMerge w:val="continue"/>
            <w:tcBorders>
              <w:top w:val="nil"/>
              <w:left w:val="single" w:color="000000" w:sz="10" w:space="0"/>
              <w:bottom w:val="nil"/>
            </w:tcBorders>
            <w:vAlign w:val="top"/>
          </w:tcPr>
          <w:p w14:paraId="775C0F52">
            <w:pPr>
              <w:rPr>
                <w:rFonts w:ascii="Arial"/>
                <w:sz w:val="21"/>
              </w:rPr>
            </w:pPr>
          </w:p>
        </w:tc>
        <w:tc>
          <w:tcPr>
            <w:tcW w:w="2381" w:type="dxa"/>
            <w:vAlign w:val="top"/>
          </w:tcPr>
          <w:p w14:paraId="1398CCC6">
            <w:pPr>
              <w:spacing w:before="33" w:line="204" w:lineRule="auto"/>
              <w:ind w:left="82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极端最高</w:t>
            </w:r>
          </w:p>
        </w:tc>
        <w:tc>
          <w:tcPr>
            <w:tcW w:w="2383" w:type="dxa"/>
            <w:vAlign w:val="top"/>
          </w:tcPr>
          <w:p w14:paraId="75342E7F">
            <w:pPr>
              <w:spacing w:before="63" w:line="188" w:lineRule="auto"/>
              <w:ind w:left="1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95" w:type="dxa"/>
            <w:tcBorders>
              <w:right w:val="single" w:color="000000" w:sz="10" w:space="0"/>
            </w:tcBorders>
            <w:vAlign w:val="top"/>
          </w:tcPr>
          <w:p w14:paraId="19C70CA3">
            <w:pPr>
              <w:spacing w:before="63" w:line="188" w:lineRule="auto"/>
              <w:ind w:left="9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40.09</w:t>
            </w:r>
          </w:p>
        </w:tc>
      </w:tr>
      <w:tr w14:paraId="54B0F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30" w:type="dxa"/>
            <w:vMerge w:val="continue"/>
            <w:tcBorders>
              <w:top w:val="nil"/>
              <w:left w:val="single" w:color="000000" w:sz="10" w:space="0"/>
              <w:bottom w:val="nil"/>
            </w:tcBorders>
            <w:vAlign w:val="top"/>
          </w:tcPr>
          <w:p w14:paraId="5F431AB0">
            <w:pPr>
              <w:rPr>
                <w:rFonts w:ascii="Arial"/>
                <w:sz w:val="21"/>
              </w:rPr>
            </w:pPr>
          </w:p>
        </w:tc>
        <w:tc>
          <w:tcPr>
            <w:tcW w:w="2381" w:type="dxa"/>
            <w:vAlign w:val="top"/>
          </w:tcPr>
          <w:p w14:paraId="71C1B052">
            <w:pPr>
              <w:spacing w:before="37" w:line="199" w:lineRule="auto"/>
              <w:ind w:left="82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极端最低</w:t>
            </w:r>
          </w:p>
        </w:tc>
        <w:tc>
          <w:tcPr>
            <w:tcW w:w="2383" w:type="dxa"/>
            <w:vAlign w:val="top"/>
          </w:tcPr>
          <w:p w14:paraId="4EF7F7FF">
            <w:pPr>
              <w:spacing w:before="65" w:line="188" w:lineRule="auto"/>
              <w:ind w:left="1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95" w:type="dxa"/>
            <w:tcBorders>
              <w:right w:val="single" w:color="000000" w:sz="10" w:space="0"/>
            </w:tcBorders>
            <w:vAlign w:val="top"/>
          </w:tcPr>
          <w:p w14:paraId="4F55121E">
            <w:pPr>
              <w:spacing w:before="65" w:line="188" w:lineRule="auto"/>
              <w:ind w:left="10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w:t>
            </w:r>
          </w:p>
        </w:tc>
      </w:tr>
      <w:tr w14:paraId="1C5CA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2130" w:type="dxa"/>
            <w:vMerge w:val="continue"/>
            <w:tcBorders>
              <w:top w:val="nil"/>
              <w:left w:val="single" w:color="000000" w:sz="10" w:space="0"/>
            </w:tcBorders>
            <w:vAlign w:val="top"/>
          </w:tcPr>
          <w:p w14:paraId="4D24BFAB">
            <w:pPr>
              <w:rPr>
                <w:rFonts w:ascii="Arial"/>
                <w:sz w:val="21"/>
              </w:rPr>
            </w:pPr>
          </w:p>
        </w:tc>
        <w:tc>
          <w:tcPr>
            <w:tcW w:w="2381" w:type="dxa"/>
            <w:vAlign w:val="top"/>
          </w:tcPr>
          <w:p w14:paraId="6DBB34D7">
            <w:pPr>
              <w:spacing w:before="6" w:line="231" w:lineRule="auto"/>
              <w:ind w:left="680"/>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w:t>
            </w:r>
            <w:r>
              <w:rPr>
                <w:rFonts w:ascii="Times New Roman" w:hAnsi="Times New Roman" w:eastAsia="Times New Roman" w:cs="Times New Roman"/>
                <w:spacing w:val="-22"/>
                <w:sz w:val="18"/>
                <w:szCs w:val="18"/>
              </w:rPr>
              <w:t xml:space="preserve"> </w:t>
            </w:r>
            <w:r>
              <w:rPr>
                <w:rFonts w:ascii="Times New Roman" w:hAnsi="Times New Roman" w:eastAsia="Times New Roman" w:cs="Times New Roman"/>
                <w:spacing w:val="-4"/>
                <w:sz w:val="18"/>
                <w:szCs w:val="18"/>
              </w:rPr>
              <w:t>10℃</w:t>
            </w:r>
            <w:r>
              <w:rPr>
                <w:rFonts w:ascii="FangSong_GB2312" w:hAnsi="FangSong_GB2312" w:eastAsia="FangSong_GB2312" w:cs="FangSong_GB2312"/>
                <w:spacing w:val="-4"/>
                <w:sz w:val="18"/>
                <w:szCs w:val="18"/>
              </w:rPr>
              <w:t>积温值</w:t>
            </w:r>
          </w:p>
        </w:tc>
        <w:tc>
          <w:tcPr>
            <w:tcW w:w="2383" w:type="dxa"/>
            <w:vAlign w:val="top"/>
          </w:tcPr>
          <w:p w14:paraId="11C71AF6">
            <w:pPr>
              <w:spacing w:before="70" w:line="187" w:lineRule="auto"/>
              <w:ind w:left="1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95" w:type="dxa"/>
            <w:tcBorders>
              <w:right w:val="single" w:color="000000" w:sz="10" w:space="0"/>
            </w:tcBorders>
            <w:vAlign w:val="top"/>
          </w:tcPr>
          <w:p w14:paraId="03EBFD57">
            <w:pPr>
              <w:spacing w:before="70" w:line="187" w:lineRule="auto"/>
              <w:ind w:left="10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5514</w:t>
            </w:r>
          </w:p>
        </w:tc>
      </w:tr>
      <w:tr w14:paraId="71BD6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511" w:type="dxa"/>
            <w:gridSpan w:val="2"/>
            <w:tcBorders>
              <w:left w:val="single" w:color="000000" w:sz="10" w:space="0"/>
            </w:tcBorders>
            <w:vAlign w:val="top"/>
          </w:tcPr>
          <w:p w14:paraId="1699C5E6">
            <w:pPr>
              <w:spacing w:before="42" w:line="194" w:lineRule="auto"/>
              <w:ind w:left="171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多年平均风速</w:t>
            </w:r>
          </w:p>
        </w:tc>
        <w:tc>
          <w:tcPr>
            <w:tcW w:w="2383" w:type="dxa"/>
            <w:vAlign w:val="top"/>
          </w:tcPr>
          <w:p w14:paraId="518F4BBE">
            <w:pPr>
              <w:spacing w:before="69" w:line="188" w:lineRule="auto"/>
              <w:ind w:left="10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m/s</w:t>
            </w:r>
          </w:p>
        </w:tc>
        <w:tc>
          <w:tcPr>
            <w:tcW w:w="2395" w:type="dxa"/>
            <w:tcBorders>
              <w:right w:val="single" w:color="000000" w:sz="10" w:space="0"/>
            </w:tcBorders>
            <w:vAlign w:val="top"/>
          </w:tcPr>
          <w:p w14:paraId="2FBCAF10">
            <w:pPr>
              <w:spacing w:before="73" w:line="184" w:lineRule="auto"/>
              <w:ind w:left="11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1.8</w:t>
            </w:r>
          </w:p>
        </w:tc>
      </w:tr>
      <w:tr w14:paraId="7A946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511" w:type="dxa"/>
            <w:gridSpan w:val="2"/>
            <w:tcBorders>
              <w:left w:val="single" w:color="000000" w:sz="10" w:space="0"/>
            </w:tcBorders>
            <w:vAlign w:val="top"/>
          </w:tcPr>
          <w:p w14:paraId="24FBAE39">
            <w:pPr>
              <w:spacing w:before="44" w:line="192" w:lineRule="auto"/>
              <w:ind w:left="162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多年平均无霜期</w:t>
            </w:r>
          </w:p>
        </w:tc>
        <w:tc>
          <w:tcPr>
            <w:tcW w:w="2383" w:type="dxa"/>
            <w:vAlign w:val="top"/>
          </w:tcPr>
          <w:p w14:paraId="1A727020">
            <w:pPr>
              <w:spacing w:before="72" w:line="185" w:lineRule="auto"/>
              <w:ind w:left="1151"/>
              <w:rPr>
                <w:rFonts w:ascii="Times New Roman" w:hAnsi="Times New Roman" w:eastAsia="Times New Roman" w:cs="Times New Roman"/>
                <w:sz w:val="18"/>
                <w:szCs w:val="18"/>
              </w:rPr>
            </w:pPr>
            <w:r>
              <w:rPr>
                <w:rFonts w:ascii="Times New Roman" w:hAnsi="Times New Roman" w:eastAsia="Times New Roman" w:cs="Times New Roman"/>
                <w:sz w:val="18"/>
                <w:szCs w:val="18"/>
              </w:rPr>
              <w:t>d</w:t>
            </w:r>
          </w:p>
        </w:tc>
        <w:tc>
          <w:tcPr>
            <w:tcW w:w="2395" w:type="dxa"/>
            <w:tcBorders>
              <w:right w:val="single" w:color="000000" w:sz="10" w:space="0"/>
            </w:tcBorders>
            <w:vAlign w:val="top"/>
          </w:tcPr>
          <w:p w14:paraId="6E8B56C5">
            <w:pPr>
              <w:spacing w:before="75" w:line="182" w:lineRule="auto"/>
              <w:ind w:left="10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270</w:t>
            </w:r>
          </w:p>
        </w:tc>
      </w:tr>
      <w:tr w14:paraId="01004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511" w:type="dxa"/>
            <w:gridSpan w:val="2"/>
            <w:tcBorders>
              <w:left w:val="single" w:color="000000" w:sz="10" w:space="0"/>
            </w:tcBorders>
            <w:vAlign w:val="top"/>
          </w:tcPr>
          <w:p w14:paraId="05ECA1B9">
            <w:pPr>
              <w:spacing w:before="49" w:line="187" w:lineRule="auto"/>
              <w:ind w:left="162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多年平均蒸发量</w:t>
            </w:r>
          </w:p>
        </w:tc>
        <w:tc>
          <w:tcPr>
            <w:tcW w:w="2383" w:type="dxa"/>
            <w:vAlign w:val="top"/>
          </w:tcPr>
          <w:p w14:paraId="57745ACC">
            <w:pPr>
              <w:spacing w:before="117" w:line="115" w:lineRule="exact"/>
              <w:ind w:left="10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mm</w:t>
            </w:r>
          </w:p>
        </w:tc>
        <w:tc>
          <w:tcPr>
            <w:tcW w:w="2395" w:type="dxa"/>
            <w:tcBorders>
              <w:right w:val="single" w:color="000000" w:sz="10" w:space="0"/>
            </w:tcBorders>
            <w:vAlign w:val="top"/>
          </w:tcPr>
          <w:p w14:paraId="57F49982">
            <w:pPr>
              <w:spacing w:before="77" w:line="179" w:lineRule="auto"/>
              <w:ind w:left="1034"/>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1002</w:t>
            </w:r>
          </w:p>
        </w:tc>
      </w:tr>
      <w:tr w14:paraId="3DF9E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4511" w:type="dxa"/>
            <w:gridSpan w:val="2"/>
            <w:tcBorders>
              <w:left w:val="single" w:color="000000" w:sz="10" w:space="0"/>
              <w:bottom w:val="single" w:color="000000" w:sz="10" w:space="0"/>
            </w:tcBorders>
            <w:vAlign w:val="top"/>
          </w:tcPr>
          <w:p w14:paraId="1D9B3542">
            <w:pPr>
              <w:spacing w:before="52" w:line="207" w:lineRule="auto"/>
              <w:ind w:left="153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多年平均相对湿度</w:t>
            </w:r>
          </w:p>
        </w:tc>
        <w:tc>
          <w:tcPr>
            <w:tcW w:w="2383" w:type="dxa"/>
            <w:tcBorders>
              <w:bottom w:val="single" w:color="000000" w:sz="10" w:space="0"/>
            </w:tcBorders>
            <w:vAlign w:val="top"/>
          </w:tcPr>
          <w:p w14:paraId="2CDC0A39">
            <w:pPr>
              <w:spacing w:before="82" w:line="188" w:lineRule="auto"/>
              <w:ind w:left="112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395" w:type="dxa"/>
            <w:tcBorders>
              <w:bottom w:val="single" w:color="000000" w:sz="10" w:space="0"/>
              <w:right w:val="single" w:color="000000" w:sz="10" w:space="0"/>
            </w:tcBorders>
            <w:vAlign w:val="top"/>
          </w:tcPr>
          <w:p w14:paraId="1C8FE974">
            <w:pPr>
              <w:spacing w:before="82" w:line="188" w:lineRule="auto"/>
              <w:ind w:left="11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tc>
      </w:tr>
    </w:tbl>
    <w:p w14:paraId="51AB1F71">
      <w:pPr>
        <w:spacing w:before="36" w:line="214" w:lineRule="auto"/>
        <w:ind w:left="607"/>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3"/>
          <w:sz w:val="24"/>
          <w:szCs w:val="24"/>
        </w:rPr>
        <w:t>、项目区灾害性气候气象条件</w:t>
      </w:r>
    </w:p>
    <w:p w14:paraId="02C2833C">
      <w:pPr>
        <w:spacing w:before="190" w:line="359" w:lineRule="auto"/>
        <w:ind w:left="142" w:right="314" w:firstLine="466"/>
        <w:rPr>
          <w:rFonts w:ascii="FangSong_GB2312" w:hAnsi="FangSong_GB2312" w:eastAsia="FangSong_GB2312" w:cs="FangSong_GB2312"/>
          <w:sz w:val="24"/>
          <w:szCs w:val="24"/>
        </w:rPr>
      </w:pPr>
      <w:r>
        <w:rPr>
          <w:rFonts w:ascii="FangSong_GB2312" w:hAnsi="FangSong_GB2312" w:eastAsia="FangSong_GB2312" w:cs="FangSong_GB2312"/>
          <w:sz w:val="24"/>
          <w:szCs w:val="24"/>
        </w:rPr>
        <w:t>根据项目区有关气象资料可知，区内主要的气象灾害有：</w:t>
      </w:r>
      <w:r>
        <w:rPr>
          <w:rFonts w:ascii="FangSong_GB2312" w:hAnsi="FangSong_GB2312" w:eastAsia="FangSong_GB2312" w:cs="FangSong_GB2312"/>
          <w:spacing w:val="-1"/>
          <w:sz w:val="24"/>
          <w:szCs w:val="24"/>
        </w:rPr>
        <w:t>干旱、暴雨和洪涝、寒潮、冰雹、大风。在暴雨季节，部分溪沟洪水泛滥，造成山洪爆发，淹没田园，冲毁</w:t>
      </w:r>
      <w:r>
        <w:rPr>
          <w:rFonts w:ascii="FangSong_GB2312" w:hAnsi="FangSong_GB2312" w:eastAsia="FangSong_GB2312" w:cs="FangSong_GB2312"/>
          <w:spacing w:val="-2"/>
          <w:sz w:val="24"/>
          <w:szCs w:val="24"/>
        </w:rPr>
        <w:t>良田而成涝灾。伏旱也是区内主要的灾害性天气，对夏粮作物生长产生影响。在</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2"/>
          <w:sz w:val="24"/>
          <w:szCs w:val="24"/>
        </w:rPr>
        <w:t>月</w:t>
      </w:r>
      <w:r>
        <w:rPr>
          <w:rFonts w:ascii="FangSong_GB2312" w:hAnsi="FangSong_GB2312" w:eastAsia="FangSong_GB2312" w:cs="FangSong_GB2312"/>
          <w:spacing w:val="-5"/>
          <w:sz w:val="24"/>
          <w:szCs w:val="24"/>
        </w:rPr>
        <w:t>下旬至</w:t>
      </w:r>
      <w:r>
        <w:rPr>
          <w:rFonts w:ascii="FangSong_GB2312" w:hAnsi="FangSong_GB2312" w:eastAsia="FangSong_GB2312" w:cs="FangSong_GB2312"/>
          <w:spacing w:val="-30"/>
          <w:sz w:val="24"/>
          <w:szCs w:val="24"/>
        </w:rPr>
        <w:t xml:space="preserve"> </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16"/>
          <w:w w:val="101"/>
          <w:sz w:val="24"/>
          <w:szCs w:val="24"/>
        </w:rPr>
        <w:t xml:space="preserve"> </w:t>
      </w:r>
      <w:r>
        <w:rPr>
          <w:rFonts w:ascii="FangSong_GB2312" w:hAnsi="FangSong_GB2312" w:eastAsia="FangSong_GB2312" w:cs="FangSong_GB2312"/>
          <w:spacing w:val="-5"/>
          <w:sz w:val="24"/>
          <w:szCs w:val="24"/>
        </w:rPr>
        <w:t>月中旬出现的秋绵雨对农业产生的影响极大，区内的大风一般为冬季的寒潮</w:t>
      </w:r>
      <w:r>
        <w:rPr>
          <w:rFonts w:ascii="FangSong_GB2312" w:hAnsi="FangSong_GB2312" w:eastAsia="FangSong_GB2312" w:cs="FangSong_GB2312"/>
          <w:spacing w:val="-2"/>
          <w:sz w:val="24"/>
          <w:szCs w:val="24"/>
        </w:rPr>
        <w:t>大风和夏季的雷雨大风。</w:t>
      </w:r>
    </w:p>
    <w:p w14:paraId="553D1289">
      <w:pPr>
        <w:spacing w:before="6" w:line="220" w:lineRule="auto"/>
        <w:ind w:left="12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2.7.4 </w:t>
      </w:r>
      <w:r>
        <w:rPr>
          <w:rFonts w:ascii="FangSong_GB2312" w:hAnsi="FangSong_GB2312" w:eastAsia="FangSong_GB2312" w:cs="FangSong_GB2312"/>
          <w:b/>
          <w:bCs/>
          <w:spacing w:val="-2"/>
          <w:sz w:val="28"/>
          <w:szCs w:val="28"/>
        </w:rPr>
        <w:t>水文</w:t>
      </w:r>
    </w:p>
    <w:p w14:paraId="248F035A">
      <w:pPr>
        <w:spacing w:before="204" w:line="360" w:lineRule="auto"/>
        <w:ind w:left="135" w:right="314"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项目所在地区的地表水系为嘉陵江水系，主</w:t>
      </w:r>
      <w:r>
        <w:rPr>
          <w:rFonts w:ascii="FangSong_GB2312" w:hAnsi="FangSong_GB2312" w:eastAsia="FangSong_GB2312" w:cs="FangSong_GB2312"/>
          <w:spacing w:val="-1"/>
          <w:sz w:val="24"/>
          <w:szCs w:val="24"/>
        </w:rPr>
        <w:t>要为闻溪河的源头支流沟谷，呈树枝</w:t>
      </w:r>
      <w:r>
        <w:rPr>
          <w:rFonts w:ascii="FangSong_GB2312" w:hAnsi="FangSong_GB2312" w:eastAsia="FangSong_GB2312" w:cs="FangSong_GB2312"/>
          <w:sz w:val="24"/>
          <w:szCs w:val="24"/>
        </w:rPr>
        <w:t>状广泛分布，为典型的山区雨洪型性沟谷河流，</w:t>
      </w:r>
      <w:r>
        <w:rPr>
          <w:rFonts w:ascii="FangSong_GB2312" w:hAnsi="FangSong_GB2312" w:eastAsia="FangSong_GB2312" w:cs="FangSong_GB2312"/>
          <w:spacing w:val="-1"/>
          <w:sz w:val="24"/>
          <w:szCs w:val="24"/>
        </w:rPr>
        <w:t>流量及水位随季节变化大，洪水易涨易消，搬运和冲刷能力强，河床比降大，糙率高，暴雨季节易诱发山洪。</w:t>
      </w:r>
    </w:p>
    <w:p w14:paraId="5E7955F6">
      <w:pPr>
        <w:spacing w:before="283" w:line="229" w:lineRule="auto"/>
        <w:ind w:left="5507"/>
        <w:rPr>
          <w:rFonts w:ascii="FangSong_GB2312" w:hAnsi="FangSong_GB2312" w:eastAsia="FangSong_GB2312" w:cs="FangSong_GB2312"/>
          <w:sz w:val="20"/>
          <w:szCs w:val="20"/>
        </w:rPr>
      </w:pPr>
      <w:r>
        <w:pict>
          <v:shape id="_x0000_s1054" o:spid="_x0000_s1054" o:spt="202" type="#_x0000_t202" style="position:absolute;left:0pt;margin-left:222.75pt;margin-top:13.9pt;height:10.15pt;width:10.9pt;z-index:251722752;mso-width-relative:page;mso-height-relative:page;" filled="f" stroked="f" coordsize="21600,21600">
            <v:path/>
            <v:fill on="f" focussize="0,0"/>
            <v:stroke on="f"/>
            <v:imagedata o:title=""/>
            <o:lock v:ext="edit" aspectratio="f"/>
            <v:textbox inset="0mm,0mm,0mm,0mm">
              <w:txbxContent>
                <w:p w14:paraId="2BC12460">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txbxContent>
            </v:textbox>
          </v:shape>
        </w:pict>
      </w:r>
      <w:r>
        <w:rPr>
          <w:rFonts w:ascii="FangSong_GB2312" w:hAnsi="FangSong_GB2312" w:eastAsia="FangSong_GB2312" w:cs="FangSong_GB2312"/>
          <w:spacing w:val="8"/>
          <w:sz w:val="20"/>
          <w:szCs w:val="20"/>
        </w:rPr>
        <w:t>剑阁县绿森林业勘察设计有限公司</w:t>
      </w:r>
    </w:p>
    <w:p w14:paraId="728996AD">
      <w:pPr>
        <w:spacing w:line="229" w:lineRule="auto"/>
        <w:rPr>
          <w:rFonts w:ascii="FangSong_GB2312" w:hAnsi="FangSong_GB2312" w:eastAsia="FangSong_GB2312" w:cs="FangSong_GB2312"/>
          <w:sz w:val="20"/>
          <w:szCs w:val="20"/>
        </w:rPr>
        <w:sectPr>
          <w:headerReference r:id="rId40" w:type="default"/>
          <w:pgSz w:w="11906" w:h="16839"/>
          <w:pgMar w:top="1164" w:right="1199" w:bottom="400" w:left="1391" w:header="831" w:footer="0" w:gutter="0"/>
          <w:cols w:space="720" w:num="1"/>
        </w:sectPr>
      </w:pPr>
    </w:p>
    <w:p w14:paraId="131FE69B">
      <w:pPr>
        <w:spacing w:before="197" w:line="357" w:lineRule="auto"/>
        <w:ind w:left="131" w:right="117" w:firstLine="509"/>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闻溪河是流经剑阁县的最大河流，是嘉陵江的重要支流，发源于盐</w:t>
      </w:r>
      <w:r>
        <w:rPr>
          <w:rFonts w:ascii="FangSong_GB2312" w:hAnsi="FangSong_GB2312" w:eastAsia="FangSong_GB2312" w:cs="FangSong_GB2312"/>
          <w:spacing w:val="-2"/>
          <w:sz w:val="24"/>
          <w:szCs w:val="24"/>
        </w:rPr>
        <w:t>店镇五指山，</w:t>
      </w:r>
      <w:r>
        <w:rPr>
          <w:rFonts w:ascii="FangSong_GB2312" w:hAnsi="FangSong_GB2312" w:eastAsia="FangSong_GB2312" w:cs="FangSong_GB2312"/>
          <w:spacing w:val="1"/>
          <w:sz w:val="24"/>
          <w:szCs w:val="24"/>
        </w:rPr>
        <w:t>分南北两支，南支始于盐店镇，北支源于姚家乡</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也称为刘家河</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1"/>
          <w:sz w:val="24"/>
          <w:szCs w:val="24"/>
        </w:rPr>
        <w:t>，两</w:t>
      </w:r>
      <w:r>
        <w:rPr>
          <w:rFonts w:ascii="FangSong_GB2312" w:hAnsi="FangSong_GB2312" w:eastAsia="FangSong_GB2312" w:cs="FangSong_GB2312"/>
          <w:sz w:val="24"/>
          <w:szCs w:val="24"/>
        </w:rPr>
        <w:t>支流在城北镇三</w:t>
      </w:r>
      <w:r>
        <w:rPr>
          <w:rFonts w:ascii="FangSong_GB2312" w:hAnsi="FangSong_GB2312" w:eastAsia="FangSong_GB2312" w:cs="FangSong_GB2312"/>
          <w:spacing w:val="3"/>
          <w:sz w:val="24"/>
          <w:szCs w:val="24"/>
        </w:rPr>
        <w:t>江大桥</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三江口</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汇合，再流经普安镇、闻溪乡、在江口与嘉陵江汇合，流</w:t>
      </w:r>
      <w:r>
        <w:rPr>
          <w:rFonts w:ascii="FangSong_GB2312" w:hAnsi="FangSong_GB2312" w:eastAsia="FangSong_GB2312" w:cs="FangSong_GB2312"/>
          <w:spacing w:val="2"/>
          <w:sz w:val="24"/>
          <w:szCs w:val="24"/>
        </w:rPr>
        <w:t>域面积</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536</w:t>
      </w:r>
      <w:r>
        <w:rPr>
          <w:rFonts w:ascii="FangSong_GB2312" w:hAnsi="FangSong_GB2312" w:eastAsia="FangSong_GB2312" w:cs="FangSong_GB2312"/>
          <w:spacing w:val="2"/>
          <w:sz w:val="24"/>
          <w:szCs w:val="24"/>
        </w:rPr>
        <w:t>平方公里，河流全长</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 xml:space="preserve">59 </w:t>
      </w:r>
      <w:r>
        <w:rPr>
          <w:rFonts w:ascii="FangSong_GB2312" w:hAnsi="FangSong_GB2312" w:eastAsia="FangSong_GB2312" w:cs="FangSong_GB2312"/>
          <w:spacing w:val="2"/>
          <w:sz w:val="24"/>
          <w:szCs w:val="24"/>
        </w:rPr>
        <w:t>公里。年平均流量</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2"/>
          <w:sz w:val="24"/>
          <w:szCs w:val="24"/>
        </w:rPr>
        <w:t>7.41m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FangSong_GB2312" w:hAnsi="FangSong_GB2312" w:eastAsia="FangSong_GB2312" w:cs="FangSong_GB2312"/>
          <w:spacing w:val="2"/>
          <w:sz w:val="24"/>
          <w:szCs w:val="24"/>
        </w:rPr>
        <w:t>是流域内</w:t>
      </w:r>
      <w:r>
        <w:rPr>
          <w:rFonts w:ascii="FangSong_GB2312" w:hAnsi="FangSong_GB2312" w:eastAsia="FangSong_GB2312" w:cs="FangSong_GB2312"/>
          <w:spacing w:val="1"/>
          <w:sz w:val="24"/>
          <w:szCs w:val="24"/>
        </w:rPr>
        <w:t>城市和农村主要的饮用</w:t>
      </w:r>
      <w:r>
        <w:rPr>
          <w:rFonts w:ascii="FangSong_GB2312" w:hAnsi="FangSong_GB2312" w:eastAsia="FangSong_GB2312" w:cs="FangSong_GB2312"/>
          <w:spacing w:val="-3"/>
          <w:sz w:val="24"/>
          <w:szCs w:val="24"/>
        </w:rPr>
        <w:t>水源。</w:t>
      </w:r>
    </w:p>
    <w:p w14:paraId="67411FFD">
      <w:pPr>
        <w:spacing w:before="21" w:line="217" w:lineRule="auto"/>
        <w:ind w:left="129"/>
        <w:outlineLvl w:val="2"/>
        <w:rPr>
          <w:rFonts w:ascii="FangSong_GB2312" w:hAnsi="FangSong_GB2312" w:eastAsia="FangSong_GB2312" w:cs="FangSong_GB2312"/>
          <w:sz w:val="28"/>
          <w:szCs w:val="28"/>
        </w:rPr>
      </w:pPr>
      <w:bookmarkStart w:id="54" w:name="bookmark103"/>
      <w:bookmarkEnd w:id="54"/>
      <w:r>
        <w:rPr>
          <w:rFonts w:ascii="Times New Roman" w:hAnsi="Times New Roman" w:eastAsia="Times New Roman" w:cs="Times New Roman"/>
          <w:b/>
          <w:bCs/>
          <w:spacing w:val="-4"/>
          <w:sz w:val="28"/>
          <w:szCs w:val="28"/>
        </w:rPr>
        <w:t>2.7.5</w:t>
      </w:r>
      <w:r>
        <w:rPr>
          <w:rFonts w:ascii="Times New Roman" w:hAnsi="Times New Roman" w:eastAsia="Times New Roman" w:cs="Times New Roman"/>
          <w:b/>
          <w:bCs/>
          <w:spacing w:val="14"/>
          <w:sz w:val="28"/>
          <w:szCs w:val="28"/>
        </w:rPr>
        <w:t xml:space="preserve"> </w:t>
      </w:r>
      <w:r>
        <w:rPr>
          <w:rFonts w:ascii="FangSong_GB2312" w:hAnsi="FangSong_GB2312" w:eastAsia="FangSong_GB2312" w:cs="FangSong_GB2312"/>
          <w:b/>
          <w:bCs/>
          <w:spacing w:val="-4"/>
          <w:sz w:val="28"/>
          <w:szCs w:val="28"/>
        </w:rPr>
        <w:t>土壤</w:t>
      </w:r>
    </w:p>
    <w:p w14:paraId="577C016F">
      <w:pPr>
        <w:spacing w:before="211" w:line="359" w:lineRule="auto"/>
        <w:ind w:left="126" w:right="46" w:firstLine="49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剑阁县土壤分</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2"/>
          <w:sz w:val="24"/>
          <w:szCs w:val="24"/>
        </w:rPr>
        <w:t xml:space="preserve">4 </w:t>
      </w:r>
      <w:r>
        <w:rPr>
          <w:rFonts w:ascii="FangSong_GB2312" w:hAnsi="FangSong_GB2312" w:eastAsia="FangSong_GB2312" w:cs="FangSong_GB2312"/>
          <w:spacing w:val="-2"/>
          <w:sz w:val="24"/>
          <w:szCs w:val="24"/>
        </w:rPr>
        <w:t>个土类，</w:t>
      </w:r>
      <w:r>
        <w:rPr>
          <w:rFonts w:ascii="Times New Roman" w:hAnsi="Times New Roman" w:eastAsia="Times New Roman" w:cs="Times New Roman"/>
          <w:spacing w:val="-2"/>
          <w:sz w:val="24"/>
          <w:szCs w:val="24"/>
        </w:rPr>
        <w:t xml:space="preserve">6 </w:t>
      </w:r>
      <w:r>
        <w:rPr>
          <w:rFonts w:ascii="FangSong_GB2312" w:hAnsi="FangSong_GB2312" w:eastAsia="FangSong_GB2312" w:cs="FangSong_GB2312"/>
          <w:spacing w:val="-2"/>
          <w:sz w:val="24"/>
          <w:szCs w:val="24"/>
        </w:rPr>
        <w:t>个亚类，</w:t>
      </w:r>
      <w:r>
        <w:rPr>
          <w:rFonts w:ascii="Times New Roman" w:hAnsi="Times New Roman" w:eastAsia="Times New Roman" w:cs="Times New Roman"/>
          <w:spacing w:val="-2"/>
          <w:sz w:val="24"/>
          <w:szCs w:val="24"/>
        </w:rPr>
        <w:t xml:space="preserve">11 </w:t>
      </w:r>
      <w:r>
        <w:rPr>
          <w:rFonts w:ascii="FangSong_GB2312" w:hAnsi="FangSong_GB2312" w:eastAsia="FangSong_GB2312" w:cs="FangSong_GB2312"/>
          <w:spacing w:val="-2"/>
          <w:sz w:val="24"/>
          <w:szCs w:val="24"/>
        </w:rPr>
        <w:t>个土属，</w:t>
      </w:r>
      <w:r>
        <w:rPr>
          <w:rFonts w:ascii="Times New Roman" w:hAnsi="Times New Roman" w:eastAsia="Times New Roman" w:cs="Times New Roman"/>
          <w:spacing w:val="-3"/>
          <w:sz w:val="24"/>
          <w:szCs w:val="24"/>
        </w:rPr>
        <w:t xml:space="preserve">34 </w:t>
      </w:r>
      <w:r>
        <w:rPr>
          <w:rFonts w:ascii="FangSong_GB2312" w:hAnsi="FangSong_GB2312" w:eastAsia="FangSong_GB2312" w:cs="FangSong_GB2312"/>
          <w:spacing w:val="-3"/>
          <w:sz w:val="24"/>
          <w:szCs w:val="24"/>
        </w:rPr>
        <w:t>个土种及</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1"/>
          <w:sz w:val="24"/>
          <w:szCs w:val="24"/>
        </w:rPr>
        <w:t xml:space="preserve"> </w:t>
      </w:r>
      <w:r>
        <w:rPr>
          <w:rFonts w:ascii="FangSong_GB2312" w:hAnsi="FangSong_GB2312" w:eastAsia="FangSong_GB2312" w:cs="FangSong_GB2312"/>
          <w:spacing w:val="-3"/>
          <w:sz w:val="24"/>
          <w:szCs w:val="24"/>
        </w:rPr>
        <w:t>个变种，只农耕地</w:t>
      </w:r>
      <w:r>
        <w:rPr>
          <w:rFonts w:ascii="FangSong_GB2312" w:hAnsi="FangSong_GB2312" w:eastAsia="FangSong_GB2312" w:cs="FangSong_GB2312"/>
          <w:spacing w:val="-6"/>
          <w:sz w:val="24"/>
          <w:szCs w:val="24"/>
        </w:rPr>
        <w:t>中，紫色土类为主，占</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6"/>
          <w:sz w:val="24"/>
          <w:szCs w:val="24"/>
        </w:rPr>
        <w:t>54%</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6"/>
          <w:sz w:val="24"/>
          <w:szCs w:val="24"/>
        </w:rPr>
        <w:t>，由紫色泥岩、砂岩、砂页岩发育而成，质</w:t>
      </w:r>
      <w:r>
        <w:rPr>
          <w:rFonts w:ascii="FangSong_GB2312" w:hAnsi="FangSong_GB2312" w:eastAsia="FangSong_GB2312" w:cs="FangSong_GB2312"/>
          <w:spacing w:val="-7"/>
          <w:sz w:val="24"/>
          <w:szCs w:val="24"/>
        </w:rPr>
        <w:t>地砂壤至中粘，</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3"/>
          <w:sz w:val="24"/>
          <w:szCs w:val="24"/>
        </w:rPr>
        <w:t xml:space="preserve">PH </w:t>
      </w:r>
      <w:r>
        <w:rPr>
          <w:rFonts w:ascii="FangSong_GB2312" w:hAnsi="FangSong_GB2312" w:eastAsia="FangSong_GB2312" w:cs="FangSong_GB2312"/>
          <w:spacing w:val="-3"/>
          <w:sz w:val="24"/>
          <w:szCs w:val="24"/>
        </w:rPr>
        <w:t>值</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6-8</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，土层厚</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0.4-1.0m</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3"/>
          <w:sz w:val="24"/>
          <w:szCs w:val="24"/>
        </w:rPr>
        <w:t>，有机质含量丰富</w:t>
      </w:r>
      <w:r>
        <w:rPr>
          <w:rFonts w:ascii="FangSong_GB2312" w:hAnsi="FangSong_GB2312" w:eastAsia="FangSong_GB2312" w:cs="FangSong_GB2312"/>
          <w:spacing w:val="-4"/>
          <w:sz w:val="24"/>
          <w:szCs w:val="24"/>
        </w:rPr>
        <w:t>，较肥沃。中南部山顶上部至同顶，</w:t>
      </w:r>
      <w:r>
        <w:rPr>
          <w:rFonts w:ascii="Times New Roman" w:hAnsi="Times New Roman" w:eastAsia="Times New Roman" w:cs="Times New Roman"/>
          <w:spacing w:val="-4"/>
          <w:sz w:val="24"/>
          <w:szCs w:val="24"/>
        </w:rPr>
        <w:t>PH</w:t>
      </w:r>
      <w:r>
        <w:rPr>
          <w:rFonts w:ascii="FangSong_GB2312" w:hAnsi="FangSong_GB2312" w:eastAsia="FangSong_GB2312" w:cs="FangSong_GB2312"/>
          <w:spacing w:val="-2"/>
          <w:sz w:val="24"/>
          <w:szCs w:val="24"/>
        </w:rPr>
        <w:t>值</w:t>
      </w:r>
      <w:r>
        <w:rPr>
          <w:rFonts w:ascii="FangSong_GB2312" w:hAnsi="FangSong_GB2312" w:eastAsia="FangSong_GB2312" w:cs="FangSong_GB2312"/>
          <w:spacing w:val="-42"/>
          <w:sz w:val="24"/>
          <w:szCs w:val="24"/>
        </w:rPr>
        <w:t xml:space="preserve"> </w:t>
      </w:r>
      <w:r>
        <w:rPr>
          <w:rFonts w:ascii="Times New Roman" w:hAnsi="Times New Roman" w:eastAsia="Times New Roman" w:cs="Times New Roman"/>
          <w:spacing w:val="-2"/>
          <w:sz w:val="24"/>
          <w:szCs w:val="24"/>
        </w:rPr>
        <w:t>7.5-8.5</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，土层厚</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0.3-0.6m</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2"/>
          <w:sz w:val="24"/>
          <w:szCs w:val="24"/>
        </w:rPr>
        <w:t>，有机质含量少，肥力差，亚类为石灰性紫色土，黄紫泥土属中包括石骨子土、黑砂土、红石骨子土四个土种；水稻土类居其次，占</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，质</w:t>
      </w:r>
      <w:r>
        <w:rPr>
          <w:rFonts w:ascii="FangSong_GB2312" w:hAnsi="FangSong_GB2312" w:eastAsia="FangSong_GB2312" w:cs="FangSong_GB2312"/>
          <w:spacing w:val="-1"/>
          <w:sz w:val="24"/>
          <w:szCs w:val="24"/>
        </w:rPr>
        <w:t>地砂壤至中壤，土层厚</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pacing w:val="-1"/>
          <w:sz w:val="24"/>
          <w:szCs w:val="24"/>
        </w:rPr>
        <w:t>0.6m</w:t>
      </w:r>
      <w:r>
        <w:rPr>
          <w:rFonts w:ascii="Times New Roman" w:hAnsi="Times New Roman" w:eastAsia="Times New Roman" w:cs="Times New Roman"/>
          <w:spacing w:val="46"/>
          <w:sz w:val="24"/>
          <w:szCs w:val="24"/>
        </w:rPr>
        <w:t xml:space="preserve"> </w:t>
      </w:r>
      <w:r>
        <w:rPr>
          <w:rFonts w:ascii="FangSong_GB2312" w:hAnsi="FangSong_GB2312" w:eastAsia="FangSong_GB2312" w:cs="FangSong_GB2312"/>
          <w:spacing w:val="-1"/>
          <w:sz w:val="24"/>
          <w:szCs w:val="24"/>
        </w:rPr>
        <w:t>以上，</w:t>
      </w:r>
      <w:r>
        <w:rPr>
          <w:rFonts w:ascii="Times New Roman" w:hAnsi="Times New Roman" w:eastAsia="Times New Roman" w:cs="Times New Roman"/>
          <w:spacing w:val="-1"/>
          <w:sz w:val="24"/>
          <w:szCs w:val="24"/>
        </w:rPr>
        <w:t xml:space="preserve">PH </w:t>
      </w:r>
      <w:r>
        <w:rPr>
          <w:rFonts w:ascii="FangSong_GB2312" w:hAnsi="FangSong_GB2312" w:eastAsia="FangSong_GB2312" w:cs="FangSong_GB2312"/>
          <w:spacing w:val="-1"/>
          <w:sz w:val="24"/>
          <w:szCs w:val="24"/>
        </w:rPr>
        <w:t>值</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
          <w:sz w:val="24"/>
          <w:szCs w:val="24"/>
        </w:rPr>
        <w:t>7-8</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1"/>
          <w:sz w:val="24"/>
          <w:szCs w:val="24"/>
        </w:rPr>
        <w:t>，有</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1"/>
          <w:sz w:val="24"/>
          <w:szCs w:val="24"/>
        </w:rPr>
        <w:t xml:space="preserve">3 </w:t>
      </w:r>
      <w:r>
        <w:rPr>
          <w:rFonts w:ascii="FangSong_GB2312" w:hAnsi="FangSong_GB2312" w:eastAsia="FangSong_GB2312" w:cs="FangSong_GB2312"/>
          <w:spacing w:val="-1"/>
          <w:sz w:val="24"/>
          <w:szCs w:val="24"/>
        </w:rPr>
        <w:t>个亚类潮土性水稻，紫色性水稻</w:t>
      </w:r>
      <w:r>
        <w:rPr>
          <w:rFonts w:ascii="FangSong_GB2312" w:hAnsi="FangSong_GB2312" w:eastAsia="FangSong_GB2312" w:cs="FangSong_GB2312"/>
          <w:spacing w:val="2"/>
          <w:sz w:val="24"/>
          <w:szCs w:val="24"/>
        </w:rPr>
        <w:t>土，黄壤性水稻土，</w:t>
      </w:r>
      <w:r>
        <w:rPr>
          <w:rFonts w:ascii="Times New Roman" w:hAnsi="Times New Roman" w:eastAsia="Times New Roman" w:cs="Times New Roman"/>
          <w:spacing w:val="2"/>
          <w:sz w:val="24"/>
          <w:szCs w:val="24"/>
        </w:rPr>
        <w:t xml:space="preserve">5 </w:t>
      </w:r>
      <w:r>
        <w:rPr>
          <w:rFonts w:ascii="FangSong_GB2312" w:hAnsi="FangSong_GB2312" w:eastAsia="FangSong_GB2312" w:cs="FangSong_GB2312"/>
          <w:spacing w:val="2"/>
          <w:sz w:val="24"/>
          <w:szCs w:val="24"/>
        </w:rPr>
        <w:t>个土属性紫色潮土、黄红紫田泥、沙黄田泥。有砂田夹砂田、</w:t>
      </w:r>
      <w:r>
        <w:rPr>
          <w:rFonts w:ascii="FangSong_GB2312" w:hAnsi="FangSong_GB2312" w:eastAsia="FangSong_GB2312" w:cs="FangSong_GB2312"/>
          <w:sz w:val="24"/>
          <w:szCs w:val="24"/>
        </w:rPr>
        <w:t>石骨子田、黄紫泥田、死黄泥田、砾质黄紫泥田、白鳝泥田、冷侵</w:t>
      </w:r>
      <w:r>
        <w:rPr>
          <w:rFonts w:ascii="FangSong_GB2312" w:hAnsi="FangSong_GB2312" w:eastAsia="FangSong_GB2312" w:cs="FangSong_GB2312"/>
          <w:spacing w:val="-1"/>
          <w:sz w:val="24"/>
          <w:szCs w:val="24"/>
        </w:rPr>
        <w:t>下湿田、砾质夹砂</w:t>
      </w:r>
      <w:r>
        <w:rPr>
          <w:rFonts w:ascii="FangSong_GB2312" w:hAnsi="FangSong_GB2312" w:eastAsia="FangSong_GB2312" w:cs="FangSong_GB2312"/>
          <w:spacing w:val="4"/>
          <w:sz w:val="24"/>
          <w:szCs w:val="24"/>
        </w:rPr>
        <w:t>田、黑砂田、砂泥田、砂黄泥田等</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4"/>
          <w:sz w:val="24"/>
          <w:szCs w:val="24"/>
        </w:rPr>
        <w:t xml:space="preserve">15 </w:t>
      </w:r>
      <w:r>
        <w:rPr>
          <w:rFonts w:ascii="FangSong_GB2312" w:hAnsi="FangSong_GB2312" w:eastAsia="FangSong_GB2312" w:cs="FangSong_GB2312"/>
          <w:spacing w:val="4"/>
          <w:sz w:val="24"/>
          <w:szCs w:val="24"/>
        </w:rPr>
        <w:t>个土种及漏沙</w:t>
      </w:r>
      <w:r>
        <w:rPr>
          <w:rFonts w:ascii="FangSong_GB2312" w:hAnsi="FangSong_GB2312" w:eastAsia="FangSong_GB2312" w:cs="FangSong_GB2312"/>
          <w:spacing w:val="3"/>
          <w:sz w:val="24"/>
          <w:szCs w:val="24"/>
        </w:rPr>
        <w:t>田、黑沙田</w:t>
      </w:r>
      <w:r>
        <w:rPr>
          <w:rFonts w:ascii="Times New Roman" w:hAnsi="Times New Roman" w:eastAsia="Times New Roman" w:cs="Times New Roman"/>
          <w:spacing w:val="3"/>
          <w:sz w:val="24"/>
          <w:szCs w:val="24"/>
        </w:rPr>
        <w:t xml:space="preserve">2 </w:t>
      </w:r>
      <w:r>
        <w:rPr>
          <w:rFonts w:ascii="FangSong_GB2312" w:hAnsi="FangSong_GB2312" w:eastAsia="FangSong_GB2312" w:cs="FangSong_GB2312"/>
          <w:spacing w:val="3"/>
          <w:sz w:val="24"/>
          <w:szCs w:val="24"/>
        </w:rPr>
        <w:t>个变种；黄壤土类</w:t>
      </w:r>
      <w:r>
        <w:rPr>
          <w:rFonts w:ascii="FangSong_GB2312" w:hAnsi="FangSong_GB2312" w:eastAsia="FangSong_GB2312" w:cs="FangSong_GB2312"/>
          <w:spacing w:val="-6"/>
          <w:sz w:val="24"/>
          <w:szCs w:val="24"/>
        </w:rPr>
        <w:t>位居其三，占</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6"/>
          <w:sz w:val="24"/>
          <w:szCs w:val="24"/>
        </w:rPr>
        <w:t>0.6%</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6"/>
          <w:sz w:val="24"/>
          <w:szCs w:val="24"/>
        </w:rPr>
        <w:t>，自然土层被淋溶呈黄灰色，质地清壤互清粘，酸性</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6"/>
          <w:sz w:val="24"/>
          <w:szCs w:val="24"/>
        </w:rPr>
        <w:t xml:space="preserve">PH </w:t>
      </w:r>
      <w:r>
        <w:rPr>
          <w:rFonts w:ascii="FangSong_GB2312" w:hAnsi="FangSong_GB2312" w:eastAsia="FangSong_GB2312" w:cs="FangSong_GB2312"/>
          <w:spacing w:val="-6"/>
          <w:sz w:val="24"/>
          <w:szCs w:val="24"/>
        </w:rPr>
        <w:t>值</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6"/>
          <w:sz w:val="24"/>
          <w:szCs w:val="24"/>
        </w:rPr>
        <w:t>4.5-6</w:t>
      </w:r>
      <w:r>
        <w:rPr>
          <w:rFonts w:ascii="Times New Roman" w:hAnsi="Times New Roman" w:eastAsia="Times New Roman" w:cs="Times New Roman"/>
          <w:spacing w:val="-7"/>
          <w:sz w:val="24"/>
          <w:szCs w:val="24"/>
        </w:rPr>
        <w:t>.5</w:t>
      </w:r>
      <w:r>
        <w:rPr>
          <w:rFonts w:ascii="FangSong_GB2312" w:hAnsi="FangSong_GB2312" w:eastAsia="FangSong_GB2312" w:cs="FangSong_GB2312"/>
          <w:spacing w:val="-7"/>
          <w:sz w:val="24"/>
          <w:szCs w:val="24"/>
        </w:rPr>
        <w:t>，</w:t>
      </w:r>
      <w:r>
        <w:rPr>
          <w:rFonts w:ascii="FangSong_GB2312" w:hAnsi="FangSong_GB2312" w:eastAsia="FangSong_GB2312" w:cs="FangSong_GB2312"/>
          <w:spacing w:val="-1"/>
          <w:sz w:val="24"/>
          <w:szCs w:val="24"/>
        </w:rPr>
        <w:t>土层后</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0.3-1.0m</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
          <w:sz w:val="24"/>
          <w:szCs w:val="24"/>
        </w:rPr>
        <w:t>，有机质含量丰富，较肥沃；有黄壤土</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1"/>
          <w:sz w:val="24"/>
          <w:szCs w:val="24"/>
        </w:rPr>
        <w:t xml:space="preserve">1 </w:t>
      </w:r>
      <w:r>
        <w:rPr>
          <w:rFonts w:ascii="FangSong_GB2312" w:hAnsi="FangSong_GB2312" w:eastAsia="FangSong_GB2312" w:cs="FangSong_GB2312"/>
          <w:spacing w:val="-1"/>
          <w:sz w:val="24"/>
          <w:szCs w:val="24"/>
        </w:rPr>
        <w:t>个亚类，</w:t>
      </w:r>
      <w:r>
        <w:rPr>
          <w:rFonts w:ascii="FangSong_GB2312" w:hAnsi="FangSong_GB2312" w:eastAsia="FangSong_GB2312" w:cs="FangSong_GB2312"/>
          <w:spacing w:val="-2"/>
          <w:sz w:val="24"/>
          <w:szCs w:val="24"/>
        </w:rPr>
        <w:t>沙黄泥土，姜黄泥</w:t>
      </w:r>
      <w:r>
        <w:rPr>
          <w:rFonts w:ascii="FangSong_GB2312" w:hAnsi="FangSong_GB2312" w:eastAsia="FangSong_GB2312" w:cs="FangSong_GB2312"/>
          <w:spacing w:val="-1"/>
          <w:sz w:val="24"/>
          <w:szCs w:val="24"/>
        </w:rPr>
        <w:t>土两个土属包括黄紫泥土，黄沙泥土，姜黄泥土</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1"/>
          <w:sz w:val="24"/>
          <w:szCs w:val="24"/>
        </w:rPr>
        <w:t xml:space="preserve">3 </w:t>
      </w:r>
      <w:r>
        <w:rPr>
          <w:rFonts w:ascii="FangSong_GB2312" w:hAnsi="FangSong_GB2312" w:eastAsia="FangSong_GB2312" w:cs="FangSong_GB2312"/>
          <w:spacing w:val="-1"/>
          <w:sz w:val="24"/>
          <w:szCs w:val="24"/>
        </w:rPr>
        <w:t>个土种及基土</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 xml:space="preserve">1 </w:t>
      </w:r>
      <w:r>
        <w:rPr>
          <w:rFonts w:ascii="FangSong_GB2312" w:hAnsi="FangSong_GB2312" w:eastAsia="FangSong_GB2312" w:cs="FangSong_GB2312"/>
          <w:spacing w:val="-1"/>
          <w:sz w:val="24"/>
          <w:szCs w:val="24"/>
        </w:rPr>
        <w:t>个</w:t>
      </w:r>
      <w:r>
        <w:rPr>
          <w:rFonts w:ascii="FangSong_GB2312" w:hAnsi="FangSong_GB2312" w:eastAsia="FangSong_GB2312" w:cs="FangSong_GB2312"/>
          <w:spacing w:val="-2"/>
          <w:sz w:val="24"/>
          <w:szCs w:val="24"/>
        </w:rPr>
        <w:t>变种，潮土类最</w:t>
      </w:r>
      <w:r>
        <w:rPr>
          <w:rFonts w:ascii="FangSong_GB2312" w:hAnsi="FangSong_GB2312" w:eastAsia="FangSong_GB2312" w:cs="FangSong_GB2312"/>
          <w:spacing w:val="-7"/>
          <w:sz w:val="24"/>
          <w:szCs w:val="24"/>
        </w:rPr>
        <w:t>少，占</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7"/>
          <w:sz w:val="24"/>
          <w:szCs w:val="24"/>
        </w:rPr>
        <w:t>0.4%</w:t>
      </w:r>
      <w:r>
        <w:rPr>
          <w:rFonts w:ascii="FangSong_GB2312" w:hAnsi="FangSong_GB2312" w:eastAsia="FangSong_GB2312" w:cs="FangSong_GB2312"/>
          <w:spacing w:val="-7"/>
          <w:sz w:val="24"/>
          <w:szCs w:val="24"/>
        </w:rPr>
        <w:t>，有潮土</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7"/>
          <w:sz w:val="24"/>
          <w:szCs w:val="24"/>
        </w:rPr>
        <w:t xml:space="preserve">1 </w:t>
      </w:r>
      <w:r>
        <w:rPr>
          <w:rFonts w:ascii="FangSong_GB2312" w:hAnsi="FangSong_GB2312" w:eastAsia="FangSong_GB2312" w:cs="FangSong_GB2312"/>
          <w:spacing w:val="-7"/>
          <w:sz w:val="24"/>
          <w:szCs w:val="24"/>
        </w:rPr>
        <w:t>个亚类，灰棕潮土、紫色潮土</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7"/>
          <w:sz w:val="24"/>
          <w:szCs w:val="24"/>
        </w:rPr>
        <w:t xml:space="preserve">2 </w:t>
      </w:r>
      <w:r>
        <w:rPr>
          <w:rFonts w:ascii="FangSong_GB2312" w:hAnsi="FangSong_GB2312" w:eastAsia="FangSong_GB2312" w:cs="FangSong_GB2312"/>
          <w:spacing w:val="-7"/>
          <w:sz w:val="24"/>
          <w:szCs w:val="24"/>
        </w:rPr>
        <w:t>个土属，包括响沙土</w:t>
      </w:r>
      <w:r>
        <w:rPr>
          <w:rFonts w:ascii="FangSong_GB2312" w:hAnsi="FangSong_GB2312" w:eastAsia="FangSong_GB2312" w:cs="FangSong_GB2312"/>
          <w:spacing w:val="-8"/>
          <w:sz w:val="24"/>
          <w:szCs w:val="24"/>
        </w:rPr>
        <w:t>、油沙土、</w:t>
      </w:r>
      <w:r>
        <w:rPr>
          <w:rFonts w:ascii="FangSong_GB2312" w:hAnsi="FangSong_GB2312" w:eastAsia="FangSong_GB2312" w:cs="FangSong_GB2312"/>
          <w:spacing w:val="-1"/>
          <w:sz w:val="24"/>
          <w:szCs w:val="24"/>
        </w:rPr>
        <w:t>沙土和夹沙土</w:t>
      </w:r>
      <w:r>
        <w:rPr>
          <w:rFonts w:ascii="FangSong_GB2312" w:hAnsi="FangSong_GB2312" w:eastAsia="FangSong_GB2312" w:cs="FangSong_GB2312"/>
          <w:spacing w:val="-54"/>
          <w:sz w:val="24"/>
          <w:szCs w:val="24"/>
        </w:rPr>
        <w:t xml:space="preserve"> </w:t>
      </w:r>
      <w:r>
        <w:rPr>
          <w:rFonts w:ascii="Times New Roman" w:hAnsi="Times New Roman" w:eastAsia="Times New Roman" w:cs="Times New Roman"/>
          <w:spacing w:val="-1"/>
          <w:sz w:val="24"/>
          <w:szCs w:val="24"/>
        </w:rPr>
        <w:t xml:space="preserve">4 </w:t>
      </w:r>
      <w:r>
        <w:rPr>
          <w:rFonts w:ascii="FangSong_GB2312" w:hAnsi="FangSong_GB2312" w:eastAsia="FangSong_GB2312" w:cs="FangSong_GB2312"/>
          <w:spacing w:val="-1"/>
          <w:sz w:val="24"/>
          <w:szCs w:val="24"/>
        </w:rPr>
        <w:t>个土种。</w:t>
      </w:r>
    </w:p>
    <w:p w14:paraId="5BFDDA91">
      <w:pPr>
        <w:spacing w:line="357" w:lineRule="auto"/>
        <w:ind w:left="130" w:right="79" w:firstLine="511"/>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项目区主要分布的土壤类型为黄壤土。施工前</w:t>
      </w:r>
      <w:r>
        <w:rPr>
          <w:rFonts w:ascii="FangSong_GB2312" w:hAnsi="FangSong_GB2312" w:eastAsia="FangSong_GB2312" w:cs="FangSong_GB2312"/>
          <w:spacing w:val="-1"/>
          <w:sz w:val="24"/>
          <w:szCs w:val="24"/>
        </w:rPr>
        <w:t>已对项目区所占</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1"/>
          <w:sz w:val="24"/>
          <w:szCs w:val="24"/>
        </w:rPr>
        <w:t>0.03hm</w:t>
      </w:r>
      <w:r>
        <w:rPr>
          <w:rFonts w:ascii="Times New Roman" w:hAnsi="Times New Roman" w:eastAsia="Times New Roman" w:cs="Times New Roman"/>
          <w:spacing w:val="-1"/>
          <w:position w:val="8"/>
          <w:sz w:val="15"/>
          <w:szCs w:val="15"/>
        </w:rPr>
        <w:t xml:space="preserve">2 </w:t>
      </w:r>
      <w:r>
        <w:rPr>
          <w:rFonts w:ascii="FangSong_GB2312" w:hAnsi="FangSong_GB2312" w:eastAsia="FangSong_GB2312" w:cs="FangSong_GB2312"/>
          <w:spacing w:val="-1"/>
          <w:sz w:val="24"/>
          <w:szCs w:val="24"/>
        </w:rPr>
        <w:t>林地进行</w:t>
      </w:r>
      <w:r>
        <w:rPr>
          <w:rFonts w:ascii="FangSong_GB2312" w:hAnsi="FangSong_GB2312" w:eastAsia="FangSong_GB2312" w:cs="FangSong_GB2312"/>
          <w:spacing w:val="-4"/>
          <w:sz w:val="24"/>
          <w:szCs w:val="24"/>
        </w:rPr>
        <w:t>表土剥离，剥离厚度为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0.20m</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4"/>
          <w:sz w:val="24"/>
          <w:szCs w:val="24"/>
        </w:rPr>
        <w:t>，剥离量为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 xml:space="preserve">3 </w:t>
      </w:r>
      <w:r>
        <w:rPr>
          <w:rFonts w:ascii="FangSong_GB2312" w:hAnsi="FangSong_GB2312" w:eastAsia="FangSong_GB2312" w:cs="FangSong_GB2312"/>
          <w:spacing w:val="-4"/>
          <w:sz w:val="24"/>
          <w:szCs w:val="24"/>
        </w:rPr>
        <w:t>，全部用于后期项目区绿化覆土。</w:t>
      </w:r>
    </w:p>
    <w:p w14:paraId="139E7C30">
      <w:pPr>
        <w:spacing w:before="1" w:line="223" w:lineRule="auto"/>
        <w:ind w:left="3172"/>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5"/>
          <w:sz w:val="20"/>
          <w:szCs w:val="20"/>
        </w:rPr>
        <w:t xml:space="preserve"> </w:t>
      </w:r>
      <w:r>
        <w:rPr>
          <w:rFonts w:ascii="Times New Roman" w:hAnsi="Times New Roman" w:eastAsia="Times New Roman" w:cs="Times New Roman"/>
          <w:b/>
          <w:bCs/>
          <w:spacing w:val="5"/>
          <w:sz w:val="20"/>
          <w:szCs w:val="20"/>
        </w:rPr>
        <w:t xml:space="preserve">2.7.2    </w:t>
      </w:r>
      <w:r>
        <w:rPr>
          <w:rFonts w:ascii="FangSong_GB2312" w:hAnsi="FangSong_GB2312" w:eastAsia="FangSong_GB2312" w:cs="FangSong_GB2312"/>
          <w:b/>
          <w:bCs/>
          <w:spacing w:val="5"/>
          <w:sz w:val="20"/>
          <w:szCs w:val="20"/>
        </w:rPr>
        <w:t>表土厚度分布情况表</w:t>
      </w:r>
    </w:p>
    <w:p w14:paraId="3A6EF439">
      <w:pPr>
        <w:spacing w:line="135" w:lineRule="exact"/>
      </w:pPr>
    </w:p>
    <w:tbl>
      <w:tblPr>
        <w:tblStyle w:val="6"/>
        <w:tblW w:w="90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2"/>
        <w:gridCol w:w="1398"/>
        <w:gridCol w:w="1400"/>
        <w:gridCol w:w="2074"/>
        <w:gridCol w:w="2178"/>
      </w:tblGrid>
      <w:tr w14:paraId="0170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2042" w:type="dxa"/>
            <w:vMerge w:val="restart"/>
            <w:tcBorders>
              <w:top w:val="single" w:color="000000" w:sz="10" w:space="0"/>
              <w:left w:val="single" w:color="000000" w:sz="10" w:space="0"/>
              <w:bottom w:val="nil"/>
            </w:tcBorders>
            <w:vAlign w:val="top"/>
          </w:tcPr>
          <w:p w14:paraId="15B1C38D">
            <w:pPr>
              <w:spacing w:before="277" w:line="217" w:lineRule="auto"/>
              <w:ind w:left="65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项目组成</w:t>
            </w:r>
          </w:p>
        </w:tc>
        <w:tc>
          <w:tcPr>
            <w:tcW w:w="2798" w:type="dxa"/>
            <w:gridSpan w:val="2"/>
            <w:tcBorders>
              <w:top w:val="single" w:color="000000" w:sz="10" w:space="0"/>
            </w:tcBorders>
            <w:vAlign w:val="top"/>
          </w:tcPr>
          <w:p w14:paraId="298EAD7D">
            <w:pPr>
              <w:spacing w:before="87" w:line="213" w:lineRule="auto"/>
              <w:ind w:left="23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可剥离占地类型、面积及厚度</w:t>
            </w:r>
          </w:p>
        </w:tc>
        <w:tc>
          <w:tcPr>
            <w:tcW w:w="2074" w:type="dxa"/>
            <w:tcBorders>
              <w:top w:val="single" w:color="000000" w:sz="10" w:space="0"/>
            </w:tcBorders>
            <w:vAlign w:val="top"/>
          </w:tcPr>
          <w:p w14:paraId="5CDA0178">
            <w:pPr>
              <w:spacing w:before="87" w:line="216" w:lineRule="auto"/>
              <w:ind w:left="50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设计剥离面积</w:t>
            </w:r>
          </w:p>
        </w:tc>
        <w:tc>
          <w:tcPr>
            <w:tcW w:w="2178" w:type="dxa"/>
            <w:tcBorders>
              <w:top w:val="single" w:color="000000" w:sz="10" w:space="0"/>
              <w:right w:val="single" w:color="000000" w:sz="10" w:space="0"/>
            </w:tcBorders>
            <w:vAlign w:val="top"/>
          </w:tcPr>
          <w:p w14:paraId="62AC89F0">
            <w:pPr>
              <w:spacing w:before="87" w:line="216" w:lineRule="auto"/>
              <w:ind w:left="56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实际剥离面积</w:t>
            </w:r>
          </w:p>
        </w:tc>
      </w:tr>
      <w:tr w14:paraId="2B545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2042" w:type="dxa"/>
            <w:vMerge w:val="continue"/>
            <w:tcBorders>
              <w:top w:val="nil"/>
              <w:left w:val="single" w:color="000000" w:sz="10" w:space="0"/>
            </w:tcBorders>
            <w:vAlign w:val="top"/>
          </w:tcPr>
          <w:p w14:paraId="76E3964E">
            <w:pPr>
              <w:rPr>
                <w:rFonts w:ascii="Arial"/>
                <w:sz w:val="21"/>
              </w:rPr>
            </w:pPr>
          </w:p>
        </w:tc>
        <w:tc>
          <w:tcPr>
            <w:tcW w:w="1398" w:type="dxa"/>
            <w:vAlign w:val="top"/>
          </w:tcPr>
          <w:p w14:paraId="07320AC5">
            <w:pPr>
              <w:spacing w:before="41" w:line="217" w:lineRule="auto"/>
              <w:ind w:left="19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林地（</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pacing w:val="-1"/>
                <w:sz w:val="18"/>
                <w:szCs w:val="18"/>
              </w:rPr>
              <w:t>）</w:t>
            </w:r>
          </w:p>
        </w:tc>
        <w:tc>
          <w:tcPr>
            <w:tcW w:w="1400" w:type="dxa"/>
            <w:vAlign w:val="top"/>
          </w:tcPr>
          <w:p w14:paraId="6BF66892">
            <w:pPr>
              <w:spacing w:before="40" w:line="216" w:lineRule="auto"/>
              <w:ind w:left="1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表土厚度（</w:t>
            </w:r>
            <w:r>
              <w:rPr>
                <w:rFonts w:ascii="Times New Roman" w:hAnsi="Times New Roman" w:eastAsia="Times New Roman" w:cs="Times New Roman"/>
                <w:spacing w:val="-1"/>
                <w:sz w:val="18"/>
                <w:szCs w:val="18"/>
              </w:rPr>
              <w:t>m</w:t>
            </w:r>
            <w:r>
              <w:rPr>
                <w:rFonts w:ascii="FangSong_GB2312" w:hAnsi="FangSong_GB2312" w:eastAsia="FangSong_GB2312" w:cs="FangSong_GB2312"/>
                <w:spacing w:val="-1"/>
                <w:sz w:val="18"/>
                <w:szCs w:val="18"/>
              </w:rPr>
              <w:t>）</w:t>
            </w:r>
          </w:p>
        </w:tc>
        <w:tc>
          <w:tcPr>
            <w:tcW w:w="2074" w:type="dxa"/>
            <w:vAlign w:val="top"/>
          </w:tcPr>
          <w:p w14:paraId="39B97E85">
            <w:pPr>
              <w:spacing w:before="41" w:line="227" w:lineRule="auto"/>
              <w:ind w:left="71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pacing w:val="-1"/>
                <w:sz w:val="18"/>
                <w:szCs w:val="18"/>
              </w:rPr>
              <w:t>）</w:t>
            </w:r>
          </w:p>
        </w:tc>
        <w:tc>
          <w:tcPr>
            <w:tcW w:w="2178" w:type="dxa"/>
            <w:tcBorders>
              <w:right w:val="single" w:color="000000" w:sz="10" w:space="0"/>
            </w:tcBorders>
            <w:vAlign w:val="top"/>
          </w:tcPr>
          <w:p w14:paraId="37AB1639">
            <w:pPr>
              <w:spacing w:before="41" w:line="227" w:lineRule="auto"/>
              <w:ind w:left="77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pacing w:val="-1"/>
                <w:sz w:val="18"/>
                <w:szCs w:val="18"/>
              </w:rPr>
              <w:t>）</w:t>
            </w:r>
          </w:p>
        </w:tc>
      </w:tr>
      <w:tr w14:paraId="74273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042" w:type="dxa"/>
            <w:tcBorders>
              <w:left w:val="single" w:color="000000" w:sz="10" w:space="0"/>
            </w:tcBorders>
            <w:vAlign w:val="top"/>
          </w:tcPr>
          <w:p w14:paraId="52CD9017">
            <w:pPr>
              <w:spacing w:before="36" w:line="214" w:lineRule="auto"/>
              <w:ind w:left="47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1398" w:type="dxa"/>
            <w:vAlign w:val="top"/>
          </w:tcPr>
          <w:p w14:paraId="2185714C">
            <w:pPr>
              <w:spacing w:before="72"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400" w:type="dxa"/>
            <w:vMerge w:val="restart"/>
            <w:tcBorders>
              <w:bottom w:val="nil"/>
            </w:tcBorders>
            <w:vAlign w:val="top"/>
          </w:tcPr>
          <w:p w14:paraId="1C8D2F85">
            <w:pPr>
              <w:spacing w:line="378" w:lineRule="auto"/>
              <w:rPr>
                <w:rFonts w:ascii="Arial"/>
                <w:sz w:val="21"/>
              </w:rPr>
            </w:pPr>
          </w:p>
          <w:p w14:paraId="036E3E7D">
            <w:pPr>
              <w:spacing w:before="51" w:line="188" w:lineRule="auto"/>
              <w:ind w:left="5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0.20</w:t>
            </w:r>
          </w:p>
        </w:tc>
        <w:tc>
          <w:tcPr>
            <w:tcW w:w="2074" w:type="dxa"/>
            <w:vAlign w:val="top"/>
          </w:tcPr>
          <w:p w14:paraId="22806023">
            <w:pPr>
              <w:spacing w:before="72" w:line="188" w:lineRule="auto"/>
              <w:ind w:left="8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2178" w:type="dxa"/>
            <w:tcBorders>
              <w:right w:val="single" w:color="000000" w:sz="10" w:space="0"/>
            </w:tcBorders>
            <w:vAlign w:val="top"/>
          </w:tcPr>
          <w:p w14:paraId="0A7EA7DE">
            <w:pPr>
              <w:spacing w:before="72" w:line="188" w:lineRule="auto"/>
              <w:ind w:left="9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378F7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042" w:type="dxa"/>
            <w:tcBorders>
              <w:left w:val="single" w:color="000000" w:sz="10" w:space="0"/>
            </w:tcBorders>
            <w:vAlign w:val="top"/>
          </w:tcPr>
          <w:p w14:paraId="1C52E0CF">
            <w:pPr>
              <w:spacing w:before="40" w:line="216" w:lineRule="auto"/>
              <w:ind w:left="64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c>
        <w:tc>
          <w:tcPr>
            <w:tcW w:w="1398" w:type="dxa"/>
            <w:vAlign w:val="top"/>
          </w:tcPr>
          <w:p w14:paraId="61993629">
            <w:pPr>
              <w:spacing w:before="72" w:line="192" w:lineRule="auto"/>
              <w:ind w:left="6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0" w:type="dxa"/>
            <w:vMerge w:val="continue"/>
            <w:tcBorders>
              <w:top w:val="nil"/>
              <w:bottom w:val="nil"/>
            </w:tcBorders>
            <w:vAlign w:val="top"/>
          </w:tcPr>
          <w:p w14:paraId="044CF3F7">
            <w:pPr>
              <w:rPr>
                <w:rFonts w:ascii="Arial"/>
                <w:sz w:val="21"/>
              </w:rPr>
            </w:pPr>
          </w:p>
        </w:tc>
        <w:tc>
          <w:tcPr>
            <w:tcW w:w="2074" w:type="dxa"/>
            <w:vAlign w:val="top"/>
          </w:tcPr>
          <w:p w14:paraId="2F36302E">
            <w:pPr>
              <w:spacing w:before="72" w:line="192" w:lineRule="auto"/>
              <w:ind w:left="10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178" w:type="dxa"/>
            <w:tcBorders>
              <w:right w:val="single" w:color="000000" w:sz="10" w:space="0"/>
            </w:tcBorders>
            <w:vAlign w:val="top"/>
          </w:tcPr>
          <w:p w14:paraId="5F82C2CE">
            <w:pPr>
              <w:spacing w:before="72" w:line="192" w:lineRule="auto"/>
              <w:ind w:left="106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42AC0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042" w:type="dxa"/>
            <w:tcBorders>
              <w:left w:val="single" w:color="000000" w:sz="10" w:space="0"/>
            </w:tcBorders>
            <w:vAlign w:val="top"/>
          </w:tcPr>
          <w:p w14:paraId="1939D79A">
            <w:pPr>
              <w:spacing w:before="44" w:line="216" w:lineRule="auto"/>
              <w:ind w:left="65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1398" w:type="dxa"/>
            <w:vAlign w:val="top"/>
          </w:tcPr>
          <w:p w14:paraId="3BB4BDAD">
            <w:pPr>
              <w:spacing w:before="76" w:line="192" w:lineRule="auto"/>
              <w:ind w:left="6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400" w:type="dxa"/>
            <w:vMerge w:val="continue"/>
            <w:tcBorders>
              <w:top w:val="nil"/>
            </w:tcBorders>
            <w:vAlign w:val="top"/>
          </w:tcPr>
          <w:p w14:paraId="423B3CF9">
            <w:pPr>
              <w:rPr>
                <w:rFonts w:ascii="Arial"/>
                <w:sz w:val="21"/>
              </w:rPr>
            </w:pPr>
          </w:p>
        </w:tc>
        <w:tc>
          <w:tcPr>
            <w:tcW w:w="2074" w:type="dxa"/>
            <w:vAlign w:val="top"/>
          </w:tcPr>
          <w:p w14:paraId="30D59461">
            <w:pPr>
              <w:spacing w:before="76" w:line="192" w:lineRule="auto"/>
              <w:ind w:left="101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2178" w:type="dxa"/>
            <w:tcBorders>
              <w:right w:val="single" w:color="000000" w:sz="10" w:space="0"/>
            </w:tcBorders>
            <w:vAlign w:val="top"/>
          </w:tcPr>
          <w:p w14:paraId="372A5129">
            <w:pPr>
              <w:spacing w:before="76" w:line="192" w:lineRule="auto"/>
              <w:ind w:left="106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2051E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042" w:type="dxa"/>
            <w:tcBorders>
              <w:left w:val="single" w:color="000000" w:sz="10" w:space="0"/>
              <w:bottom w:val="single" w:color="000000" w:sz="10" w:space="0"/>
            </w:tcBorders>
            <w:vAlign w:val="top"/>
          </w:tcPr>
          <w:p w14:paraId="728D1581">
            <w:pPr>
              <w:spacing w:before="48" w:line="216" w:lineRule="auto"/>
              <w:ind w:left="83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398" w:type="dxa"/>
            <w:tcBorders>
              <w:bottom w:val="single" w:color="000000" w:sz="10" w:space="0"/>
            </w:tcBorders>
            <w:vAlign w:val="top"/>
          </w:tcPr>
          <w:p w14:paraId="6BF99BD5">
            <w:pPr>
              <w:spacing w:before="86"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400" w:type="dxa"/>
            <w:tcBorders>
              <w:bottom w:val="single" w:color="000000" w:sz="10" w:space="0"/>
            </w:tcBorders>
            <w:vAlign w:val="top"/>
          </w:tcPr>
          <w:p w14:paraId="1F618456">
            <w:pPr>
              <w:rPr>
                <w:rFonts w:ascii="Arial"/>
                <w:sz w:val="21"/>
              </w:rPr>
            </w:pPr>
          </w:p>
        </w:tc>
        <w:tc>
          <w:tcPr>
            <w:tcW w:w="2074" w:type="dxa"/>
            <w:tcBorders>
              <w:bottom w:val="single" w:color="000000" w:sz="10" w:space="0"/>
            </w:tcBorders>
            <w:vAlign w:val="top"/>
          </w:tcPr>
          <w:p w14:paraId="20379A36">
            <w:pPr>
              <w:spacing w:before="86" w:line="188" w:lineRule="auto"/>
              <w:ind w:left="88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2178" w:type="dxa"/>
            <w:tcBorders>
              <w:bottom w:val="single" w:color="000000" w:sz="10" w:space="0"/>
              <w:right w:val="single" w:color="000000" w:sz="10" w:space="0"/>
            </w:tcBorders>
            <w:vAlign w:val="top"/>
          </w:tcPr>
          <w:p w14:paraId="6DF347C1">
            <w:pPr>
              <w:spacing w:before="86" w:line="188" w:lineRule="auto"/>
              <w:ind w:left="9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bl>
    <w:p w14:paraId="19AF7D92">
      <w:pPr>
        <w:spacing w:before="44" w:line="216" w:lineRule="auto"/>
        <w:ind w:left="12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2.7.6 </w:t>
      </w:r>
      <w:r>
        <w:rPr>
          <w:rFonts w:ascii="FangSong_GB2312" w:hAnsi="FangSong_GB2312" w:eastAsia="FangSong_GB2312" w:cs="FangSong_GB2312"/>
          <w:b/>
          <w:bCs/>
          <w:spacing w:val="-2"/>
          <w:sz w:val="28"/>
          <w:szCs w:val="28"/>
        </w:rPr>
        <w:t>植被</w:t>
      </w:r>
    </w:p>
    <w:p w14:paraId="3E3ECA1F">
      <w:pPr>
        <w:spacing w:before="208" w:line="214" w:lineRule="auto"/>
        <w:ind w:left="61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剑阁县属亚热带常绿阔叶林区，盆地北部柏林、马尾松疏林小区，全区森林覆盖</w:t>
      </w:r>
    </w:p>
    <w:p w14:paraId="42CEFF12">
      <w:pPr>
        <w:pStyle w:val="2"/>
        <w:spacing w:line="257" w:lineRule="auto"/>
      </w:pPr>
    </w:p>
    <w:p w14:paraId="590D4098">
      <w:pPr>
        <w:spacing w:before="65" w:line="229" w:lineRule="auto"/>
        <w:ind w:left="5507"/>
        <w:rPr>
          <w:rFonts w:ascii="FangSong_GB2312" w:hAnsi="FangSong_GB2312" w:eastAsia="FangSong_GB2312" w:cs="FangSong_GB2312"/>
          <w:sz w:val="20"/>
          <w:szCs w:val="20"/>
        </w:rPr>
      </w:pPr>
      <w:r>
        <w:pict>
          <v:shape id="_x0000_s1055" o:spid="_x0000_s1055" o:spt="202" type="#_x0000_t202" style="position:absolute;left:0pt;margin-left:222.75pt;margin-top:3pt;height:10.15pt;width:10.9pt;z-index:251723776;mso-width-relative:page;mso-height-relative:page;" filled="f" stroked="f" coordsize="21600,21600">
            <v:path/>
            <v:fill on="f" focussize="0,0"/>
            <v:stroke on="f"/>
            <v:imagedata o:title=""/>
            <o:lock v:ext="edit" aspectratio="f"/>
            <v:textbox inset="0mm,0mm,0mm,0mm">
              <w:txbxContent>
                <w:p w14:paraId="6E27B7E7">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xbxContent>
            </v:textbox>
          </v:shape>
        </w:pict>
      </w:r>
      <w:r>
        <w:rPr>
          <w:rFonts w:ascii="FangSong_GB2312" w:hAnsi="FangSong_GB2312" w:eastAsia="FangSong_GB2312" w:cs="FangSong_GB2312"/>
          <w:spacing w:val="8"/>
          <w:sz w:val="20"/>
          <w:szCs w:val="20"/>
        </w:rPr>
        <w:t>剑阁县绿森林业勘察设计有限公司</w:t>
      </w:r>
    </w:p>
    <w:p w14:paraId="798BD7A6">
      <w:pPr>
        <w:spacing w:line="229" w:lineRule="auto"/>
        <w:rPr>
          <w:rFonts w:ascii="FangSong_GB2312" w:hAnsi="FangSong_GB2312" w:eastAsia="FangSong_GB2312" w:cs="FangSong_GB2312"/>
          <w:sz w:val="20"/>
          <w:szCs w:val="20"/>
        </w:rPr>
        <w:sectPr>
          <w:headerReference r:id="rId41" w:type="default"/>
          <w:pgSz w:w="11906" w:h="16839"/>
          <w:pgMar w:top="1164" w:right="1396" w:bottom="400" w:left="1391" w:header="831" w:footer="0" w:gutter="0"/>
          <w:cols w:space="720" w:num="1"/>
        </w:sectPr>
      </w:pPr>
    </w:p>
    <w:p w14:paraId="1D5F5B64">
      <w:pPr>
        <w:spacing w:before="198" w:line="357" w:lineRule="auto"/>
        <w:ind w:left="5" w:right="71" w:firstLine="1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率为</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55.59</w:t>
      </w:r>
      <w:r>
        <w:rPr>
          <w:rFonts w:ascii="FangSong_GB2312" w:hAnsi="FangSong_GB2312" w:eastAsia="FangSong_GB2312" w:cs="FangSong_GB2312"/>
          <w:spacing w:val="27"/>
          <w:sz w:val="24"/>
          <w:szCs w:val="24"/>
        </w:rPr>
        <w:t>％，</w:t>
      </w:r>
      <w:r>
        <w:rPr>
          <w:rFonts w:ascii="FangSong_GB2312" w:hAnsi="FangSong_GB2312" w:eastAsia="FangSong_GB2312" w:cs="FangSong_GB2312"/>
          <w:spacing w:val="1"/>
          <w:sz w:val="24"/>
          <w:szCs w:val="24"/>
        </w:rPr>
        <w:t>以常绿的针叶树柏、松和落叶阔叶树栎及小量的杨、枫</w:t>
      </w:r>
      <w:r>
        <w:rPr>
          <w:rFonts w:ascii="FangSong_GB2312" w:hAnsi="FangSong_GB2312" w:eastAsia="FangSong_GB2312" w:cs="FangSong_GB2312"/>
          <w:sz w:val="24"/>
          <w:szCs w:val="24"/>
        </w:rPr>
        <w:t>、榆、桐等杂树组成森林，珍稀植物有：古柏、松柏长青树（剑阁柏）、</w:t>
      </w:r>
      <w:r>
        <w:rPr>
          <w:rFonts w:ascii="FangSong_GB2312" w:hAnsi="FangSong_GB2312" w:eastAsia="FangSong_GB2312" w:cs="FangSong_GB2312"/>
          <w:spacing w:val="-1"/>
          <w:sz w:val="24"/>
          <w:szCs w:val="24"/>
        </w:rPr>
        <w:t>剑门兰花等。</w:t>
      </w:r>
    </w:p>
    <w:p w14:paraId="101ADC21">
      <w:pPr>
        <w:spacing w:before="1" w:line="216" w:lineRule="auto"/>
        <w:ind w:left="49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项目区林草覆盖率为</w:t>
      </w:r>
      <w:r>
        <w:rPr>
          <w:rFonts w:ascii="FangSong_GB2312" w:hAnsi="FangSong_GB2312" w:eastAsia="FangSong_GB2312" w:cs="FangSong_GB2312"/>
          <w:spacing w:val="-42"/>
          <w:sz w:val="24"/>
          <w:szCs w:val="24"/>
        </w:rPr>
        <w:t xml:space="preserve"> </w:t>
      </w:r>
      <w:r>
        <w:rPr>
          <w:rFonts w:ascii="Times New Roman" w:hAnsi="Times New Roman" w:eastAsia="Times New Roman" w:cs="Times New Roman"/>
          <w:spacing w:val="-2"/>
          <w:sz w:val="24"/>
          <w:szCs w:val="24"/>
        </w:rPr>
        <w:t>75.82%</w:t>
      </w:r>
      <w:r>
        <w:rPr>
          <w:rFonts w:ascii="FangSong_GB2312" w:hAnsi="FangSong_GB2312" w:eastAsia="FangSong_GB2312" w:cs="FangSong_GB2312"/>
          <w:spacing w:val="-2"/>
          <w:sz w:val="24"/>
          <w:szCs w:val="24"/>
        </w:rPr>
        <w:t>。</w:t>
      </w:r>
    </w:p>
    <w:p w14:paraId="42A4F1F9">
      <w:pPr>
        <w:spacing w:before="196" w:line="216" w:lineRule="auto"/>
        <w:ind w:left="7"/>
        <w:outlineLvl w:val="0"/>
        <w:rPr>
          <w:rFonts w:ascii="FangSong_GB2312" w:hAnsi="FangSong_GB2312" w:eastAsia="FangSong_GB2312" w:cs="FangSong_GB2312"/>
          <w:sz w:val="28"/>
          <w:szCs w:val="28"/>
        </w:rPr>
      </w:pPr>
      <w:bookmarkStart w:id="55" w:name="bookmark104"/>
      <w:bookmarkEnd w:id="55"/>
      <w:r>
        <w:rPr>
          <w:rFonts w:ascii="Times New Roman" w:hAnsi="Times New Roman" w:eastAsia="Times New Roman" w:cs="Times New Roman"/>
          <w:b/>
          <w:bCs/>
          <w:spacing w:val="-2"/>
          <w:sz w:val="28"/>
          <w:szCs w:val="28"/>
        </w:rPr>
        <w:t xml:space="preserve">2.7.7 </w:t>
      </w:r>
      <w:r>
        <w:rPr>
          <w:rFonts w:ascii="FangSong_GB2312" w:hAnsi="FangSong_GB2312" w:eastAsia="FangSong_GB2312" w:cs="FangSong_GB2312"/>
          <w:b/>
          <w:bCs/>
          <w:spacing w:val="-2"/>
          <w:sz w:val="28"/>
          <w:szCs w:val="28"/>
        </w:rPr>
        <w:t>其他</w:t>
      </w:r>
    </w:p>
    <w:p w14:paraId="6B8936E5">
      <w:pPr>
        <w:spacing w:before="209" w:line="359" w:lineRule="auto"/>
        <w:ind w:left="7" w:firstLine="481"/>
        <w:jc w:val="both"/>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本项目位于剑阁县义兴镇人民政府西北侧</w:t>
      </w:r>
      <w:r>
        <w:rPr>
          <w:rFonts w:ascii="FangSong_GB2312" w:hAnsi="FangSong_GB2312" w:eastAsia="FangSong_GB2312" w:cs="FangSong_GB2312"/>
          <w:spacing w:val="-4"/>
          <w:sz w:val="20"/>
          <w:szCs w:val="20"/>
        </w:rPr>
        <w:t>，</w:t>
      </w:r>
      <w:r>
        <w:rPr>
          <w:rFonts w:ascii="FangSong_GB2312" w:hAnsi="FangSong_GB2312" w:eastAsia="FangSong_GB2312" w:cs="FangSong_GB2312"/>
          <w:spacing w:val="-4"/>
          <w:sz w:val="24"/>
          <w:szCs w:val="24"/>
        </w:rPr>
        <w:t>工程建设区域不涉及饮水水源保护区，</w:t>
      </w:r>
      <w:r>
        <w:rPr>
          <w:rFonts w:ascii="FangSong_GB2312" w:hAnsi="FangSong_GB2312" w:eastAsia="FangSong_GB2312" w:cs="FangSong_GB2312"/>
          <w:spacing w:val="-5"/>
          <w:sz w:val="24"/>
          <w:szCs w:val="24"/>
        </w:rPr>
        <w:t>水功能一级区的保护区和保留区、自然保护区、世界文化和自然遗产地、风景名胜区、地质公园、森林公园、重要湿地，未在县级以上地方人民政府划定的崩塌、地下洞室、岩溶（洞）、滑坡危险区和泥石流易发区内，不属于水土流失严重、生态脆弱的地区，</w:t>
      </w:r>
      <w:r>
        <w:rPr>
          <w:rFonts w:ascii="FangSong_GB2312" w:hAnsi="FangSong_GB2312" w:eastAsia="FangSong_GB2312" w:cs="FangSong_GB2312"/>
          <w:sz w:val="24"/>
          <w:szCs w:val="24"/>
        </w:rPr>
        <w:t>项目区内没有全国水土保持监测网络中的水土保持监测站点</w:t>
      </w:r>
      <w:r>
        <w:rPr>
          <w:rFonts w:ascii="FangSong_GB2312" w:hAnsi="FangSong_GB2312" w:eastAsia="FangSong_GB2312" w:cs="FangSong_GB2312"/>
          <w:spacing w:val="-1"/>
          <w:sz w:val="24"/>
          <w:szCs w:val="24"/>
        </w:rPr>
        <w:t>、重点试验区及国家规定的水土保持长期定位观察站。</w:t>
      </w:r>
    </w:p>
    <w:p w14:paraId="7557987D">
      <w:pPr>
        <w:spacing w:before="1" w:line="359" w:lineRule="auto"/>
        <w:ind w:left="7" w:right="70" w:firstLine="479"/>
        <w:jc w:val="both"/>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w:t>
      </w:r>
      <w:r>
        <w:rPr>
          <w:rFonts w:ascii="FangSong_GB2312" w:hAnsi="FangSong_GB2312" w:eastAsia="FangSong_GB2312" w:cs="FangSong_GB2312"/>
          <w:spacing w:val="6"/>
          <w:sz w:val="24"/>
          <w:szCs w:val="24"/>
        </w:rPr>
        <w:t>点治理区复核划分成</w:t>
      </w:r>
      <w:r>
        <w:rPr>
          <w:rFonts w:ascii="FangSong_GB2312" w:hAnsi="FangSong_GB2312" w:eastAsia="FangSong_GB2312" w:cs="FangSong_GB2312"/>
          <w:spacing w:val="-2"/>
          <w:sz w:val="24"/>
          <w:szCs w:val="24"/>
        </w:rPr>
        <w:t>果》（办水保〔</w:t>
      </w:r>
      <w:r>
        <w:rPr>
          <w:rFonts w:ascii="Times New Roman" w:hAnsi="Times New Roman" w:eastAsia="Times New Roman" w:cs="Times New Roman"/>
          <w:spacing w:val="-2"/>
          <w:sz w:val="24"/>
          <w:szCs w:val="24"/>
        </w:rPr>
        <w:t>2013</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188</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z w:val="24"/>
          <w:szCs w:val="24"/>
        </w:rPr>
        <w:t>），</w:t>
      </w:r>
      <w:r>
        <w:rPr>
          <w:rFonts w:ascii="FangSong_GB2312" w:hAnsi="FangSong_GB2312" w:eastAsia="FangSong_GB2312" w:cs="FangSong_GB2312"/>
          <w:spacing w:val="-2"/>
          <w:sz w:val="24"/>
          <w:szCs w:val="24"/>
        </w:rPr>
        <w:t>项目区属于国家级水土流失重点治理区</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嘉陵江及沱</w:t>
      </w:r>
      <w:r>
        <w:rPr>
          <w:rFonts w:ascii="FangSong_GB2312" w:hAnsi="FangSong_GB2312" w:eastAsia="FangSong_GB2312" w:cs="FangSong_GB2312"/>
          <w:spacing w:val="-1"/>
          <w:sz w:val="24"/>
          <w:szCs w:val="24"/>
        </w:rPr>
        <w:t>江中下游国家级水土流失重点治理区</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w:t>
      </w:r>
    </w:p>
    <w:p w14:paraId="7DA2A8AB">
      <w:pPr>
        <w:pStyle w:val="2"/>
        <w:spacing w:line="241" w:lineRule="auto"/>
      </w:pPr>
    </w:p>
    <w:p w14:paraId="403E0CFB">
      <w:pPr>
        <w:pStyle w:val="2"/>
        <w:spacing w:line="241" w:lineRule="auto"/>
      </w:pPr>
    </w:p>
    <w:p w14:paraId="10DA774F">
      <w:pPr>
        <w:pStyle w:val="2"/>
        <w:spacing w:line="241" w:lineRule="auto"/>
      </w:pPr>
    </w:p>
    <w:p w14:paraId="0638B3B9">
      <w:pPr>
        <w:pStyle w:val="2"/>
        <w:spacing w:line="241" w:lineRule="auto"/>
      </w:pPr>
    </w:p>
    <w:p w14:paraId="44A9491A">
      <w:pPr>
        <w:pStyle w:val="2"/>
        <w:spacing w:line="242" w:lineRule="auto"/>
      </w:pPr>
    </w:p>
    <w:p w14:paraId="3AB7BA15">
      <w:pPr>
        <w:pStyle w:val="2"/>
        <w:spacing w:line="242" w:lineRule="auto"/>
      </w:pPr>
    </w:p>
    <w:p w14:paraId="1116E222">
      <w:pPr>
        <w:pStyle w:val="2"/>
        <w:spacing w:line="242" w:lineRule="auto"/>
      </w:pPr>
    </w:p>
    <w:p w14:paraId="1A670A9C">
      <w:pPr>
        <w:pStyle w:val="2"/>
        <w:spacing w:line="242" w:lineRule="auto"/>
      </w:pPr>
    </w:p>
    <w:p w14:paraId="242CDF59">
      <w:pPr>
        <w:pStyle w:val="2"/>
        <w:spacing w:line="242" w:lineRule="auto"/>
      </w:pPr>
    </w:p>
    <w:p w14:paraId="773D980C">
      <w:pPr>
        <w:pStyle w:val="2"/>
        <w:spacing w:line="242" w:lineRule="auto"/>
      </w:pPr>
    </w:p>
    <w:p w14:paraId="3A939888">
      <w:pPr>
        <w:pStyle w:val="2"/>
        <w:spacing w:line="242" w:lineRule="auto"/>
      </w:pPr>
    </w:p>
    <w:p w14:paraId="5615B743">
      <w:pPr>
        <w:pStyle w:val="2"/>
        <w:spacing w:line="242" w:lineRule="auto"/>
      </w:pPr>
    </w:p>
    <w:p w14:paraId="4D640109">
      <w:pPr>
        <w:pStyle w:val="2"/>
        <w:spacing w:line="242" w:lineRule="auto"/>
      </w:pPr>
    </w:p>
    <w:p w14:paraId="2C78302B">
      <w:pPr>
        <w:pStyle w:val="2"/>
        <w:spacing w:line="242" w:lineRule="auto"/>
      </w:pPr>
    </w:p>
    <w:p w14:paraId="3A6B6B56">
      <w:pPr>
        <w:pStyle w:val="2"/>
        <w:spacing w:line="242" w:lineRule="auto"/>
      </w:pPr>
    </w:p>
    <w:p w14:paraId="3371FB85">
      <w:pPr>
        <w:pStyle w:val="2"/>
        <w:spacing w:line="242" w:lineRule="auto"/>
      </w:pPr>
    </w:p>
    <w:p w14:paraId="151BE4B2">
      <w:pPr>
        <w:pStyle w:val="2"/>
        <w:spacing w:line="242" w:lineRule="auto"/>
      </w:pPr>
    </w:p>
    <w:p w14:paraId="798F902C">
      <w:pPr>
        <w:pStyle w:val="2"/>
        <w:spacing w:line="242" w:lineRule="auto"/>
      </w:pPr>
    </w:p>
    <w:p w14:paraId="16E4B8C1">
      <w:pPr>
        <w:pStyle w:val="2"/>
        <w:spacing w:line="242" w:lineRule="auto"/>
      </w:pPr>
    </w:p>
    <w:p w14:paraId="761AD0F3">
      <w:pPr>
        <w:pStyle w:val="2"/>
        <w:spacing w:line="242" w:lineRule="auto"/>
      </w:pPr>
    </w:p>
    <w:p w14:paraId="3A4055FC">
      <w:pPr>
        <w:pStyle w:val="2"/>
        <w:spacing w:line="242" w:lineRule="auto"/>
      </w:pPr>
    </w:p>
    <w:p w14:paraId="4B98E070">
      <w:pPr>
        <w:pStyle w:val="2"/>
        <w:spacing w:line="242" w:lineRule="auto"/>
      </w:pPr>
    </w:p>
    <w:p w14:paraId="63C1872B">
      <w:pPr>
        <w:pStyle w:val="2"/>
        <w:spacing w:line="242" w:lineRule="auto"/>
      </w:pPr>
    </w:p>
    <w:p w14:paraId="62C89F6B">
      <w:pPr>
        <w:pStyle w:val="2"/>
        <w:spacing w:line="242" w:lineRule="auto"/>
      </w:pPr>
    </w:p>
    <w:p w14:paraId="4A33AC3E">
      <w:pPr>
        <w:pStyle w:val="2"/>
        <w:spacing w:line="242" w:lineRule="auto"/>
      </w:pPr>
    </w:p>
    <w:p w14:paraId="0F72FF99">
      <w:pPr>
        <w:pStyle w:val="2"/>
        <w:spacing w:line="242" w:lineRule="auto"/>
      </w:pPr>
    </w:p>
    <w:p w14:paraId="28B01A70">
      <w:pPr>
        <w:pStyle w:val="2"/>
        <w:spacing w:line="242" w:lineRule="auto"/>
      </w:pPr>
    </w:p>
    <w:p w14:paraId="18822036">
      <w:pPr>
        <w:pStyle w:val="2"/>
        <w:spacing w:line="242" w:lineRule="auto"/>
      </w:pPr>
    </w:p>
    <w:p w14:paraId="3003D04E">
      <w:pPr>
        <w:pStyle w:val="2"/>
        <w:spacing w:line="242" w:lineRule="auto"/>
      </w:pPr>
    </w:p>
    <w:p w14:paraId="653497A3">
      <w:pPr>
        <w:pStyle w:val="2"/>
        <w:spacing w:line="242" w:lineRule="auto"/>
      </w:pPr>
    </w:p>
    <w:p w14:paraId="0CF757E2">
      <w:pPr>
        <w:pStyle w:val="2"/>
        <w:spacing w:line="242" w:lineRule="auto"/>
      </w:pPr>
    </w:p>
    <w:p w14:paraId="085A8565">
      <w:pPr>
        <w:pStyle w:val="2"/>
        <w:spacing w:line="242" w:lineRule="auto"/>
      </w:pPr>
    </w:p>
    <w:p w14:paraId="09510379">
      <w:pPr>
        <w:pStyle w:val="2"/>
        <w:spacing w:line="242" w:lineRule="auto"/>
      </w:pPr>
    </w:p>
    <w:p w14:paraId="596A579E">
      <w:pPr>
        <w:spacing w:before="66" w:line="229" w:lineRule="auto"/>
        <w:ind w:left="5384"/>
        <w:rPr>
          <w:rFonts w:ascii="FangSong_GB2312" w:hAnsi="FangSong_GB2312" w:eastAsia="FangSong_GB2312" w:cs="FangSong_GB2312"/>
          <w:sz w:val="20"/>
          <w:szCs w:val="20"/>
        </w:rPr>
      </w:pPr>
      <w:r>
        <w:pict>
          <v:shape id="_x0000_s1056" o:spid="_x0000_s1056" o:spt="202" type="#_x0000_t202" style="position:absolute;left:0pt;margin-left:216.6pt;margin-top:3pt;height:10.15pt;width:10.9pt;z-index:251724800;mso-width-relative:page;mso-height-relative:page;" filled="f" stroked="f" coordsize="21600,21600">
            <v:path/>
            <v:fill on="f" focussize="0,0"/>
            <v:stroke on="f"/>
            <v:imagedata o:title=""/>
            <o:lock v:ext="edit" aspectratio="f"/>
            <v:textbox inset="0mm,0mm,0mm,0mm">
              <w:txbxContent>
                <w:p w14:paraId="4BFD1A5C">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txbxContent>
            </v:textbox>
          </v:shape>
        </w:pict>
      </w:r>
      <w:r>
        <w:rPr>
          <w:rFonts w:ascii="FangSong_GB2312" w:hAnsi="FangSong_GB2312" w:eastAsia="FangSong_GB2312" w:cs="FangSong_GB2312"/>
          <w:spacing w:val="8"/>
          <w:sz w:val="20"/>
          <w:szCs w:val="20"/>
        </w:rPr>
        <w:t>剑阁县绿森林业勘察设计有限公司</w:t>
      </w:r>
    </w:p>
    <w:p w14:paraId="10786F49">
      <w:pPr>
        <w:spacing w:line="229" w:lineRule="auto"/>
        <w:rPr>
          <w:rFonts w:ascii="FangSong_GB2312" w:hAnsi="FangSong_GB2312" w:eastAsia="FangSong_GB2312" w:cs="FangSong_GB2312"/>
          <w:sz w:val="20"/>
          <w:szCs w:val="20"/>
        </w:rPr>
        <w:sectPr>
          <w:headerReference r:id="rId42" w:type="default"/>
          <w:pgSz w:w="11906" w:h="16839"/>
          <w:pgMar w:top="1164" w:right="1443" w:bottom="400" w:left="1513" w:header="831" w:footer="0" w:gutter="0"/>
          <w:cols w:space="720" w:num="1"/>
        </w:sectPr>
      </w:pPr>
    </w:p>
    <w:p w14:paraId="2DB389DC">
      <w:pPr>
        <w:pStyle w:val="2"/>
        <w:spacing w:line="349" w:lineRule="auto"/>
      </w:pPr>
    </w:p>
    <w:p w14:paraId="46F5B131">
      <w:pPr>
        <w:spacing w:before="101" w:line="220" w:lineRule="auto"/>
        <w:ind w:left="3091"/>
        <w:outlineLvl w:val="0"/>
        <w:rPr>
          <w:rFonts w:ascii="FangSong_GB2312" w:hAnsi="FangSong_GB2312" w:eastAsia="FangSong_GB2312" w:cs="FangSong_GB2312"/>
          <w:sz w:val="31"/>
          <w:szCs w:val="31"/>
        </w:rPr>
      </w:pPr>
      <w:bookmarkStart w:id="56" w:name="bookmark44"/>
      <w:bookmarkEnd w:id="56"/>
      <w:bookmarkStart w:id="57" w:name="bookmark43"/>
      <w:bookmarkEnd w:id="57"/>
      <w:r>
        <w:rPr>
          <w:rFonts w:ascii="Times New Roman" w:hAnsi="Times New Roman" w:eastAsia="Times New Roman" w:cs="Times New Roman"/>
          <w:b/>
          <w:bCs/>
          <w:spacing w:val="5"/>
          <w:sz w:val="31"/>
          <w:szCs w:val="31"/>
        </w:rPr>
        <w:t xml:space="preserve">3  </w:t>
      </w:r>
      <w:r>
        <w:rPr>
          <w:rFonts w:ascii="FangSong_GB2312" w:hAnsi="FangSong_GB2312" w:eastAsia="FangSong_GB2312" w:cs="FangSong_GB2312"/>
          <w:b/>
          <w:bCs/>
          <w:spacing w:val="5"/>
          <w:sz w:val="31"/>
          <w:szCs w:val="31"/>
        </w:rPr>
        <w:t>项目水土保持评价</w:t>
      </w:r>
    </w:p>
    <w:p w14:paraId="56A2357C">
      <w:pPr>
        <w:pStyle w:val="2"/>
        <w:spacing w:line="407" w:lineRule="auto"/>
      </w:pPr>
    </w:p>
    <w:p w14:paraId="19226D82">
      <w:pPr>
        <w:spacing w:before="98" w:line="215" w:lineRule="auto"/>
        <w:ind w:left="16"/>
        <w:outlineLvl w:val="1"/>
        <w:rPr>
          <w:rFonts w:ascii="FangSong_GB2312" w:hAnsi="FangSong_GB2312" w:eastAsia="FangSong_GB2312" w:cs="FangSong_GB2312"/>
          <w:sz w:val="30"/>
          <w:szCs w:val="30"/>
        </w:rPr>
      </w:pPr>
      <w:bookmarkStart w:id="58" w:name="bookmark46"/>
      <w:bookmarkEnd w:id="58"/>
      <w:bookmarkStart w:id="59" w:name="bookmark45"/>
      <w:bookmarkEnd w:id="59"/>
      <w:r>
        <w:rPr>
          <w:rFonts w:ascii="Times New Roman" w:hAnsi="Times New Roman" w:eastAsia="Times New Roman" w:cs="Times New Roman"/>
          <w:b/>
          <w:bCs/>
          <w:spacing w:val="-4"/>
          <w:sz w:val="30"/>
          <w:szCs w:val="30"/>
        </w:rPr>
        <w:t>3.1</w:t>
      </w:r>
      <w:r>
        <w:rPr>
          <w:rFonts w:ascii="Times New Roman" w:hAnsi="Times New Roman" w:eastAsia="Times New Roman" w:cs="Times New Roman"/>
          <w:b/>
          <w:bCs/>
          <w:spacing w:val="27"/>
          <w:sz w:val="30"/>
          <w:szCs w:val="30"/>
        </w:rPr>
        <w:t xml:space="preserve"> </w:t>
      </w:r>
      <w:r>
        <w:rPr>
          <w:rFonts w:ascii="FangSong_GB2312" w:hAnsi="FangSong_GB2312" w:eastAsia="FangSong_GB2312" w:cs="FangSong_GB2312"/>
          <w:b/>
          <w:bCs/>
          <w:spacing w:val="-4"/>
          <w:sz w:val="30"/>
          <w:szCs w:val="30"/>
        </w:rPr>
        <w:t>主体工程选址水土保持评价</w:t>
      </w:r>
    </w:p>
    <w:p w14:paraId="1F3AAD45">
      <w:pPr>
        <w:pStyle w:val="2"/>
        <w:spacing w:line="354" w:lineRule="auto"/>
      </w:pPr>
    </w:p>
    <w:p w14:paraId="77B14B3A">
      <w:pPr>
        <w:spacing w:before="78" w:line="359" w:lineRule="auto"/>
        <w:ind w:left="18" w:right="11" w:firstLine="480"/>
        <w:jc w:val="both"/>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根据《中华人民共和国水土保持法》（</w:t>
      </w:r>
      <w:r>
        <w:rPr>
          <w:rFonts w:ascii="Times New Roman" w:hAnsi="Times New Roman" w:eastAsia="Times New Roman" w:cs="Times New Roman"/>
          <w:spacing w:val="-5"/>
          <w:sz w:val="24"/>
          <w:szCs w:val="24"/>
        </w:rPr>
        <w:t xml:space="preserve">2011 </w:t>
      </w:r>
      <w:r>
        <w:rPr>
          <w:rFonts w:ascii="FangSong_GB2312" w:hAnsi="FangSong_GB2312" w:eastAsia="FangSong_GB2312" w:cs="FangSong_GB2312"/>
          <w:spacing w:val="-5"/>
          <w:sz w:val="24"/>
          <w:szCs w:val="24"/>
        </w:rPr>
        <w:t>年</w:t>
      </w:r>
      <w:r>
        <w:rPr>
          <w:rFonts w:ascii="FangSong_GB2312" w:hAnsi="FangSong_GB2312" w:eastAsia="FangSong_GB2312" w:cs="FangSong_GB2312"/>
          <w:spacing w:val="-4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5"/>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5"/>
          <w:sz w:val="24"/>
          <w:szCs w:val="24"/>
        </w:rPr>
        <w:t xml:space="preserve">1  </w:t>
      </w:r>
      <w:r>
        <w:rPr>
          <w:rFonts w:ascii="FangSong_GB2312" w:hAnsi="FangSong_GB2312" w:eastAsia="FangSong_GB2312" w:cs="FangSong_GB2312"/>
          <w:spacing w:val="-5"/>
          <w:sz w:val="24"/>
          <w:szCs w:val="24"/>
        </w:rPr>
        <w:t>日）、《生产建设项目水土</w:t>
      </w:r>
      <w:r>
        <w:rPr>
          <w:rFonts w:ascii="FangSong_GB2312" w:hAnsi="FangSong_GB2312" w:eastAsia="FangSong_GB2312" w:cs="FangSong_GB2312"/>
          <w:spacing w:val="-1"/>
          <w:sz w:val="24"/>
          <w:szCs w:val="24"/>
        </w:rPr>
        <w:t>保持技术标准》（</w:t>
      </w:r>
      <w:r>
        <w:rPr>
          <w:rFonts w:ascii="Times New Roman" w:hAnsi="Times New Roman" w:eastAsia="Times New Roman" w:cs="Times New Roman"/>
          <w:spacing w:val="-1"/>
          <w:sz w:val="24"/>
          <w:szCs w:val="24"/>
        </w:rPr>
        <w:t>GB50433-2018</w:t>
      </w:r>
      <w:r>
        <w:rPr>
          <w:rFonts w:ascii="FangSong_GB2312" w:hAnsi="FangSong_GB2312" w:eastAsia="FangSong_GB2312" w:cs="FangSong_GB2312"/>
          <w:spacing w:val="-1"/>
          <w:sz w:val="24"/>
          <w:szCs w:val="24"/>
        </w:rPr>
        <w:t>）关</w:t>
      </w:r>
      <w:r>
        <w:rPr>
          <w:rFonts w:ascii="FangSong_GB2312" w:hAnsi="FangSong_GB2312" w:eastAsia="FangSong_GB2312" w:cs="FangSong_GB2312"/>
          <w:spacing w:val="-2"/>
          <w:sz w:val="24"/>
          <w:szCs w:val="24"/>
        </w:rPr>
        <w:t>于工程选址（线）水土保持限制和约束性规定，</w:t>
      </w:r>
      <w:r>
        <w:rPr>
          <w:rFonts w:ascii="FangSong_GB2312" w:hAnsi="FangSong_GB2312" w:eastAsia="FangSong_GB2312" w:cs="FangSong_GB2312"/>
          <w:sz w:val="24"/>
          <w:szCs w:val="24"/>
        </w:rPr>
        <w:t>经现场勘查，结合工程主体设计，对本工程选</w:t>
      </w:r>
      <w:r>
        <w:rPr>
          <w:rFonts w:ascii="FangSong_GB2312" w:hAnsi="FangSong_GB2312" w:eastAsia="FangSong_GB2312" w:cs="FangSong_GB2312"/>
          <w:spacing w:val="-1"/>
          <w:sz w:val="24"/>
          <w:szCs w:val="24"/>
        </w:rPr>
        <w:t>址逐条进行分析。</w:t>
      </w:r>
    </w:p>
    <w:p w14:paraId="0D926F65">
      <w:pPr>
        <w:spacing w:line="214" w:lineRule="auto"/>
        <w:ind w:left="49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）与《中华人民共和国水土保持法》（</w:t>
      </w:r>
      <w:r>
        <w:rPr>
          <w:rFonts w:ascii="Times New Roman" w:hAnsi="Times New Roman" w:eastAsia="Times New Roman" w:cs="Times New Roman"/>
          <w:spacing w:val="-3"/>
          <w:sz w:val="24"/>
          <w:szCs w:val="24"/>
        </w:rPr>
        <w:t xml:space="preserve">2011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 xml:space="preserve">1  </w:t>
      </w:r>
      <w:r>
        <w:rPr>
          <w:rFonts w:ascii="FangSong_GB2312" w:hAnsi="FangSong_GB2312" w:eastAsia="FangSong_GB2312" w:cs="FangSong_GB2312"/>
          <w:spacing w:val="-3"/>
          <w:sz w:val="24"/>
          <w:szCs w:val="24"/>
        </w:rPr>
        <w:t>日实施）</w:t>
      </w:r>
      <w:r>
        <w:rPr>
          <w:rFonts w:ascii="FangSong_GB2312" w:hAnsi="FangSong_GB2312" w:eastAsia="FangSong_GB2312" w:cs="FangSong_GB2312"/>
          <w:spacing w:val="-4"/>
          <w:sz w:val="24"/>
          <w:szCs w:val="24"/>
        </w:rPr>
        <w:t>的符合性分析</w:t>
      </w:r>
    </w:p>
    <w:p w14:paraId="6E93E0FB">
      <w:pPr>
        <w:spacing w:before="185" w:line="221" w:lineRule="auto"/>
        <w:ind w:left="2118"/>
        <w:rPr>
          <w:rFonts w:ascii="FangSong_GB2312" w:hAnsi="FangSong_GB2312" w:eastAsia="FangSong_GB2312" w:cs="FangSong_GB2312"/>
          <w:sz w:val="20"/>
          <w:szCs w:val="20"/>
        </w:rPr>
      </w:pPr>
      <w:r>
        <w:rPr>
          <w:rFonts w:ascii="FangSong_GB2312" w:hAnsi="FangSong_GB2312" w:eastAsia="FangSong_GB2312" w:cs="FangSong_GB2312"/>
          <w:b/>
          <w:bCs/>
          <w:spacing w:val="7"/>
          <w:sz w:val="20"/>
          <w:szCs w:val="20"/>
        </w:rPr>
        <w:t>表</w:t>
      </w:r>
      <w:r>
        <w:rPr>
          <w:rFonts w:ascii="FangSong_GB2312" w:hAnsi="FangSong_GB2312" w:eastAsia="FangSong_GB2312" w:cs="FangSong_GB2312"/>
          <w:spacing w:val="-45"/>
          <w:sz w:val="20"/>
          <w:szCs w:val="20"/>
        </w:rPr>
        <w:t xml:space="preserve"> </w:t>
      </w:r>
      <w:r>
        <w:rPr>
          <w:rFonts w:ascii="Times New Roman" w:hAnsi="Times New Roman" w:eastAsia="Times New Roman" w:cs="Times New Roman"/>
          <w:b/>
          <w:bCs/>
          <w:spacing w:val="7"/>
          <w:sz w:val="20"/>
          <w:szCs w:val="20"/>
        </w:rPr>
        <w:t xml:space="preserve">3.1-1    </w:t>
      </w:r>
      <w:r>
        <w:rPr>
          <w:rFonts w:ascii="FangSong_GB2312" w:hAnsi="FangSong_GB2312" w:eastAsia="FangSong_GB2312" w:cs="FangSong_GB2312"/>
          <w:b/>
          <w:bCs/>
          <w:spacing w:val="7"/>
          <w:sz w:val="20"/>
          <w:szCs w:val="20"/>
        </w:rPr>
        <w:t>《中华人民共和国水土保持法》符合</w:t>
      </w:r>
      <w:r>
        <w:rPr>
          <w:rFonts w:ascii="FangSong_GB2312" w:hAnsi="FangSong_GB2312" w:eastAsia="FangSong_GB2312" w:cs="FangSong_GB2312"/>
          <w:b/>
          <w:bCs/>
          <w:spacing w:val="6"/>
          <w:sz w:val="20"/>
          <w:szCs w:val="20"/>
        </w:rPr>
        <w:t>性对照分析表</w:t>
      </w:r>
    </w:p>
    <w:p w14:paraId="61C6BDA3">
      <w:pPr>
        <w:spacing w:line="19" w:lineRule="auto"/>
        <w:rPr>
          <w:rFonts w:ascii="Arial"/>
          <w:sz w:val="2"/>
        </w:rPr>
      </w:pPr>
    </w:p>
    <w:tbl>
      <w:tblPr>
        <w:tblStyle w:val="6"/>
        <w:tblW w:w="88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7"/>
        <w:gridCol w:w="3352"/>
        <w:gridCol w:w="996"/>
      </w:tblGrid>
      <w:tr w14:paraId="700E8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527" w:type="dxa"/>
            <w:tcBorders>
              <w:top w:val="single" w:color="000000" w:sz="10" w:space="0"/>
              <w:left w:val="single" w:color="000000" w:sz="10" w:space="0"/>
            </w:tcBorders>
            <w:vAlign w:val="top"/>
          </w:tcPr>
          <w:p w14:paraId="7B6943CA">
            <w:pPr>
              <w:spacing w:before="46" w:line="214" w:lineRule="auto"/>
              <w:ind w:left="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《中华人民共和国水土保持法》第三、四章预防与治理规</w:t>
            </w:r>
          </w:p>
          <w:p w14:paraId="01036B1C">
            <w:pPr>
              <w:spacing w:before="24" w:line="220" w:lineRule="auto"/>
              <w:ind w:left="2170"/>
              <w:rPr>
                <w:rFonts w:ascii="FangSong_GB2312" w:hAnsi="FangSong_GB2312" w:eastAsia="FangSong_GB2312" w:cs="FangSong_GB2312"/>
                <w:sz w:val="18"/>
                <w:szCs w:val="18"/>
              </w:rPr>
            </w:pPr>
            <w:r>
              <w:rPr>
                <w:rFonts w:ascii="FangSong_GB2312" w:hAnsi="FangSong_GB2312" w:eastAsia="FangSong_GB2312" w:cs="FangSong_GB2312"/>
                <w:sz w:val="18"/>
                <w:szCs w:val="18"/>
              </w:rPr>
              <w:t>定</w:t>
            </w:r>
          </w:p>
        </w:tc>
        <w:tc>
          <w:tcPr>
            <w:tcW w:w="3352" w:type="dxa"/>
            <w:tcBorders>
              <w:top w:val="single" w:color="000000" w:sz="10" w:space="0"/>
            </w:tcBorders>
            <w:vAlign w:val="top"/>
          </w:tcPr>
          <w:p w14:paraId="4902105F">
            <w:pPr>
              <w:spacing w:before="161" w:line="216" w:lineRule="auto"/>
              <w:ind w:left="123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本项目情况</w:t>
            </w:r>
          </w:p>
        </w:tc>
        <w:tc>
          <w:tcPr>
            <w:tcW w:w="996" w:type="dxa"/>
            <w:tcBorders>
              <w:top w:val="single" w:color="000000" w:sz="10" w:space="0"/>
              <w:right w:val="single" w:color="000000" w:sz="10" w:space="0"/>
            </w:tcBorders>
            <w:vAlign w:val="top"/>
          </w:tcPr>
          <w:p w14:paraId="1A60D7A4">
            <w:pPr>
              <w:spacing w:before="161" w:line="214" w:lineRule="auto"/>
              <w:ind w:left="6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符合性分析</w:t>
            </w:r>
          </w:p>
        </w:tc>
      </w:tr>
      <w:tr w14:paraId="29EC6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4527" w:type="dxa"/>
            <w:tcBorders>
              <w:left w:val="single" w:color="000000" w:sz="10" w:space="0"/>
            </w:tcBorders>
            <w:vAlign w:val="top"/>
          </w:tcPr>
          <w:p w14:paraId="543A16E8">
            <w:pPr>
              <w:spacing w:before="43" w:line="213" w:lineRule="auto"/>
              <w:ind w:left="1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第十七条：地方各级人民政府应当加强对取土、挖沙、采</w:t>
            </w:r>
          </w:p>
          <w:p w14:paraId="6778235C">
            <w:pPr>
              <w:spacing w:before="25" w:line="213" w:lineRule="auto"/>
              <w:ind w:right="1"/>
              <w:jc w:val="right"/>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石等活动的管理，预防和减轻水土流失。禁止在崩塌、滑</w:t>
            </w:r>
          </w:p>
          <w:p w14:paraId="28AE9687">
            <w:pPr>
              <w:spacing w:before="24" w:line="214" w:lineRule="auto"/>
              <w:ind w:left="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坡危险区和泥石流易发区从事取土、挖沙、采石等可能造</w:t>
            </w:r>
          </w:p>
          <w:p w14:paraId="6BF4F98B">
            <w:pPr>
              <w:spacing w:before="26" w:line="216" w:lineRule="auto"/>
              <w:ind w:left="145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成水土流失的活动。</w:t>
            </w:r>
          </w:p>
        </w:tc>
        <w:tc>
          <w:tcPr>
            <w:tcW w:w="3352" w:type="dxa"/>
            <w:vAlign w:val="top"/>
          </w:tcPr>
          <w:p w14:paraId="2E4D60FD">
            <w:pPr>
              <w:spacing w:line="332" w:lineRule="auto"/>
              <w:rPr>
                <w:rFonts w:ascii="Arial"/>
                <w:sz w:val="21"/>
              </w:rPr>
            </w:pPr>
          </w:p>
          <w:p w14:paraId="0F09F8EC">
            <w:pPr>
              <w:spacing w:before="59" w:line="214" w:lineRule="auto"/>
              <w:ind w:left="6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本项目建设不涉及取土、挖沙、采石活动</w:t>
            </w:r>
          </w:p>
        </w:tc>
        <w:tc>
          <w:tcPr>
            <w:tcW w:w="996" w:type="dxa"/>
            <w:tcBorders>
              <w:right w:val="single" w:color="000000" w:sz="10" w:space="0"/>
            </w:tcBorders>
            <w:vAlign w:val="top"/>
          </w:tcPr>
          <w:p w14:paraId="670D8007">
            <w:pPr>
              <w:spacing w:line="332" w:lineRule="auto"/>
              <w:rPr>
                <w:rFonts w:ascii="Arial"/>
                <w:sz w:val="21"/>
              </w:rPr>
            </w:pPr>
          </w:p>
          <w:p w14:paraId="5D6F733E">
            <w:pPr>
              <w:spacing w:before="59"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5AB0D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527" w:type="dxa"/>
            <w:tcBorders>
              <w:left w:val="single" w:color="000000" w:sz="10" w:space="0"/>
            </w:tcBorders>
            <w:vAlign w:val="top"/>
          </w:tcPr>
          <w:p w14:paraId="4D97A0E1">
            <w:pPr>
              <w:spacing w:before="47" w:line="214" w:lineRule="auto"/>
              <w:ind w:left="1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第十八条：水土流失严重、生态脆弱的地区，应当限制或</w:t>
            </w:r>
          </w:p>
          <w:p w14:paraId="7690B4C5">
            <w:pPr>
              <w:spacing w:before="23" w:line="213" w:lineRule="auto"/>
              <w:ind w:left="10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者禁止可能造成水土流失的生产建设活动，严格保护植</w:t>
            </w:r>
          </w:p>
          <w:p w14:paraId="330DF46D">
            <w:pPr>
              <w:spacing w:before="24" w:line="214" w:lineRule="auto"/>
              <w:ind w:left="118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物、砂壳、结皮、地衣等。</w:t>
            </w:r>
          </w:p>
        </w:tc>
        <w:tc>
          <w:tcPr>
            <w:tcW w:w="3352" w:type="dxa"/>
            <w:vAlign w:val="top"/>
          </w:tcPr>
          <w:p w14:paraId="0B3D968B">
            <w:pPr>
              <w:spacing w:before="163"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本项目不属于水土流失严重、生态脆弱的地</w:t>
            </w:r>
          </w:p>
          <w:p w14:paraId="1B6C583C">
            <w:pPr>
              <w:spacing w:before="26" w:line="225" w:lineRule="auto"/>
              <w:ind w:left="1619"/>
              <w:rPr>
                <w:rFonts w:ascii="FangSong_GB2312" w:hAnsi="FangSong_GB2312" w:eastAsia="FangSong_GB2312" w:cs="FangSong_GB2312"/>
                <w:sz w:val="18"/>
                <w:szCs w:val="18"/>
              </w:rPr>
            </w:pPr>
            <w:r>
              <w:rPr>
                <w:rFonts w:ascii="FangSong_GB2312" w:hAnsi="FangSong_GB2312" w:eastAsia="FangSong_GB2312" w:cs="FangSong_GB2312"/>
                <w:sz w:val="18"/>
                <w:szCs w:val="18"/>
              </w:rPr>
              <w:t>区</w:t>
            </w:r>
          </w:p>
        </w:tc>
        <w:tc>
          <w:tcPr>
            <w:tcW w:w="996" w:type="dxa"/>
            <w:tcBorders>
              <w:right w:val="single" w:color="000000" w:sz="10" w:space="0"/>
            </w:tcBorders>
            <w:vAlign w:val="top"/>
          </w:tcPr>
          <w:p w14:paraId="26CA9980">
            <w:pPr>
              <w:spacing w:before="280"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49A3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4527" w:type="dxa"/>
            <w:tcBorders>
              <w:left w:val="single" w:color="000000" w:sz="10" w:space="0"/>
            </w:tcBorders>
            <w:vAlign w:val="top"/>
          </w:tcPr>
          <w:p w14:paraId="668C75A4">
            <w:pPr>
              <w:spacing w:before="146" w:line="214"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第二十条：在</w:t>
            </w:r>
            <w:r>
              <w:rPr>
                <w:rFonts w:ascii="FangSong_GB2312" w:hAnsi="FangSong_GB2312" w:eastAsia="FangSong_GB2312" w:cs="FangSong_GB2312"/>
                <w:spacing w:val="-38"/>
                <w:sz w:val="18"/>
                <w:szCs w:val="18"/>
              </w:rPr>
              <w:t xml:space="preserve"> </w:t>
            </w:r>
            <w:r>
              <w:rPr>
                <w:rFonts w:ascii="Times New Roman" w:hAnsi="Times New Roman" w:eastAsia="Times New Roman" w:cs="Times New Roman"/>
                <w:spacing w:val="-1"/>
                <w:sz w:val="18"/>
                <w:szCs w:val="18"/>
              </w:rPr>
              <w:t xml:space="preserve">25 </w:t>
            </w:r>
            <w:r>
              <w:rPr>
                <w:rFonts w:ascii="FangSong_GB2312" w:hAnsi="FangSong_GB2312" w:eastAsia="FangSong_GB2312" w:cs="FangSong_GB2312"/>
                <w:spacing w:val="-1"/>
                <w:sz w:val="18"/>
                <w:szCs w:val="18"/>
              </w:rPr>
              <w:t>度以上陡坡地实施的农林开发项目方案</w:t>
            </w:r>
          </w:p>
          <w:p w14:paraId="4935DAB3">
            <w:pPr>
              <w:spacing w:before="23" w:line="215" w:lineRule="auto"/>
              <w:ind w:left="190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不予批准</w:t>
            </w:r>
          </w:p>
        </w:tc>
        <w:tc>
          <w:tcPr>
            <w:tcW w:w="3352" w:type="dxa"/>
            <w:vAlign w:val="top"/>
          </w:tcPr>
          <w:p w14:paraId="4CEE4A5A">
            <w:pPr>
              <w:spacing w:before="146" w:line="214" w:lineRule="auto"/>
              <w:ind w:left="9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该项目不属于在</w:t>
            </w:r>
            <w:r>
              <w:rPr>
                <w:rFonts w:ascii="FangSong_GB2312" w:hAnsi="FangSong_GB2312" w:eastAsia="FangSong_GB2312" w:cs="FangSong_GB2312"/>
                <w:spacing w:val="-35"/>
                <w:sz w:val="18"/>
                <w:szCs w:val="18"/>
              </w:rPr>
              <w:t xml:space="preserve"> </w:t>
            </w:r>
            <w:r>
              <w:rPr>
                <w:rFonts w:ascii="Times New Roman" w:hAnsi="Times New Roman" w:eastAsia="Times New Roman" w:cs="Times New Roman"/>
                <w:spacing w:val="-1"/>
                <w:sz w:val="18"/>
                <w:szCs w:val="18"/>
              </w:rPr>
              <w:t>25°</w:t>
            </w:r>
            <w:r>
              <w:rPr>
                <w:rFonts w:ascii="FangSong_GB2312" w:hAnsi="FangSong_GB2312" w:eastAsia="FangSong_GB2312" w:cs="FangSong_GB2312"/>
                <w:spacing w:val="-1"/>
                <w:sz w:val="18"/>
                <w:szCs w:val="18"/>
              </w:rPr>
              <w:t>以上陡坡地实施的农</w:t>
            </w:r>
          </w:p>
          <w:p w14:paraId="5057A2AF">
            <w:pPr>
              <w:spacing w:before="23" w:line="216" w:lineRule="auto"/>
              <w:ind w:left="123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林开发项目</w:t>
            </w:r>
          </w:p>
        </w:tc>
        <w:tc>
          <w:tcPr>
            <w:tcW w:w="996" w:type="dxa"/>
            <w:tcBorders>
              <w:right w:val="single" w:color="000000" w:sz="10" w:space="0"/>
            </w:tcBorders>
            <w:vAlign w:val="top"/>
          </w:tcPr>
          <w:p w14:paraId="3EFC038F">
            <w:pPr>
              <w:spacing w:before="263" w:line="216" w:lineRule="auto"/>
              <w:ind w:left="24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r>
      <w:tr w14:paraId="7BB93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5" w:hRule="atLeast"/>
        </w:trPr>
        <w:tc>
          <w:tcPr>
            <w:tcW w:w="4527" w:type="dxa"/>
            <w:tcBorders>
              <w:left w:val="single" w:color="000000" w:sz="10" w:space="0"/>
            </w:tcBorders>
            <w:vAlign w:val="top"/>
          </w:tcPr>
          <w:p w14:paraId="629A7E97">
            <w:pPr>
              <w:spacing w:before="50" w:line="214" w:lineRule="auto"/>
              <w:ind w:left="1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第二十四条：生产建设项目选址、选线应当避让水土流失</w:t>
            </w:r>
          </w:p>
          <w:p w14:paraId="165053CF">
            <w:pPr>
              <w:spacing w:before="24" w:line="214" w:lineRule="auto"/>
              <w:ind w:left="1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重点预防区和重点治理区；无法避让的，应当提高防治标</w:t>
            </w:r>
          </w:p>
          <w:p w14:paraId="2E87551B">
            <w:pPr>
              <w:spacing w:before="24" w:line="214" w:lineRule="auto"/>
              <w:ind w:left="1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准，优化施工工艺，减少地表扰动和植被损坏范围，有效</w:t>
            </w:r>
          </w:p>
          <w:p w14:paraId="0860DD93">
            <w:pPr>
              <w:spacing w:before="27" w:line="208" w:lineRule="auto"/>
              <w:ind w:left="127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控制可能造成的水土流失</w:t>
            </w:r>
          </w:p>
        </w:tc>
        <w:tc>
          <w:tcPr>
            <w:tcW w:w="3352" w:type="dxa"/>
            <w:vAlign w:val="top"/>
          </w:tcPr>
          <w:p w14:paraId="4A1F84C5">
            <w:pPr>
              <w:spacing w:before="51" w:line="214" w:lineRule="auto"/>
              <w:ind w:left="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项目所在地属于国家级水土流失重点治理</w:t>
            </w:r>
          </w:p>
          <w:p w14:paraId="40B8B61C">
            <w:pPr>
              <w:spacing w:before="23"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区（嘉陵江及沱江中下游国家级水土流失重</w:t>
            </w:r>
          </w:p>
          <w:p w14:paraId="40B91611">
            <w:pPr>
              <w:spacing w:before="24"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点治理区</w:t>
            </w:r>
            <w:r>
              <w:rPr>
                <w:rFonts w:ascii="FangSong_GB2312" w:hAnsi="FangSong_GB2312" w:eastAsia="FangSong_GB2312" w:cs="FangSong_GB2312"/>
                <w:spacing w:val="-23"/>
                <w:sz w:val="18"/>
                <w:szCs w:val="18"/>
              </w:rPr>
              <w:t>），</w:t>
            </w:r>
            <w:r>
              <w:rPr>
                <w:rFonts w:ascii="FangSong_GB2312" w:hAnsi="FangSong_GB2312" w:eastAsia="FangSong_GB2312" w:cs="FangSong_GB2312"/>
                <w:spacing w:val="-4"/>
                <w:sz w:val="18"/>
                <w:szCs w:val="18"/>
              </w:rPr>
              <w:t>工程建设无法避让，本方案采</w:t>
            </w:r>
          </w:p>
          <w:p w14:paraId="242E2F17">
            <w:pPr>
              <w:spacing w:before="27" w:line="208" w:lineRule="auto"/>
              <w:ind w:left="69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用西南紫色土区一级标准</w:t>
            </w:r>
          </w:p>
        </w:tc>
        <w:tc>
          <w:tcPr>
            <w:tcW w:w="996" w:type="dxa"/>
            <w:tcBorders>
              <w:right w:val="single" w:color="000000" w:sz="10" w:space="0"/>
            </w:tcBorders>
            <w:vAlign w:val="top"/>
          </w:tcPr>
          <w:p w14:paraId="489589C0">
            <w:pPr>
              <w:spacing w:line="338" w:lineRule="auto"/>
              <w:rPr>
                <w:rFonts w:ascii="Arial"/>
                <w:sz w:val="21"/>
              </w:rPr>
            </w:pPr>
          </w:p>
          <w:p w14:paraId="4B51C392">
            <w:pPr>
              <w:spacing w:before="58"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546CD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4527" w:type="dxa"/>
            <w:tcBorders>
              <w:left w:val="single" w:color="000000" w:sz="10" w:space="0"/>
            </w:tcBorders>
            <w:vAlign w:val="top"/>
          </w:tcPr>
          <w:p w14:paraId="435313C8">
            <w:pPr>
              <w:spacing w:before="65" w:line="246" w:lineRule="auto"/>
              <w:ind w:left="9" w:right="13" w:firstLine="41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第二十五条 在山区、丘陵区、风沙区以及水土保持</w:t>
            </w:r>
            <w:r>
              <w:rPr>
                <w:rFonts w:ascii="FangSong_GB2312" w:hAnsi="FangSong_GB2312" w:eastAsia="FangSong_GB2312" w:cs="FangSong_GB2312"/>
                <w:spacing w:val="3"/>
                <w:sz w:val="18"/>
                <w:szCs w:val="18"/>
              </w:rPr>
              <w:t>规划确定的容易发生水土流失的其他区域开办可能造成</w:t>
            </w:r>
            <w:r>
              <w:rPr>
                <w:rFonts w:ascii="FangSong_GB2312" w:hAnsi="FangSong_GB2312" w:eastAsia="FangSong_GB2312" w:cs="FangSong_GB2312"/>
                <w:spacing w:val="-1"/>
                <w:sz w:val="18"/>
                <w:szCs w:val="18"/>
              </w:rPr>
              <w:t>水土流失的生产建设项目，生产建设单位应当编制水土保持方案，报区级以上人民政府水行政主管部门审批，并按</w:t>
            </w:r>
            <w:r>
              <w:rPr>
                <w:rFonts w:ascii="FangSong_GB2312" w:hAnsi="FangSong_GB2312" w:eastAsia="FangSong_GB2312" w:cs="FangSong_GB2312"/>
                <w:spacing w:val="3"/>
                <w:sz w:val="18"/>
                <w:szCs w:val="18"/>
              </w:rPr>
              <w:t>照经批准的水土保持方案，采取水土流失预防和治理措</w:t>
            </w:r>
            <w:r>
              <w:rPr>
                <w:rFonts w:ascii="FangSong_GB2312" w:hAnsi="FangSong_GB2312" w:eastAsia="FangSong_GB2312" w:cs="FangSong_GB2312"/>
                <w:spacing w:val="-1"/>
                <w:sz w:val="18"/>
                <w:szCs w:val="18"/>
              </w:rPr>
              <w:t>施。没有能力编制水土保持方案的，应当委托具备相应技</w:t>
            </w:r>
          </w:p>
          <w:p w14:paraId="08162C92">
            <w:pPr>
              <w:spacing w:line="201" w:lineRule="auto"/>
              <w:ind w:left="154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术条件的机构编制</w:t>
            </w:r>
          </w:p>
        </w:tc>
        <w:tc>
          <w:tcPr>
            <w:tcW w:w="3352" w:type="dxa"/>
            <w:vAlign w:val="top"/>
          </w:tcPr>
          <w:p w14:paraId="247B3BAC">
            <w:pPr>
              <w:spacing w:line="301" w:lineRule="auto"/>
              <w:rPr>
                <w:rFonts w:ascii="Arial"/>
                <w:sz w:val="21"/>
              </w:rPr>
            </w:pPr>
          </w:p>
          <w:p w14:paraId="54DBA85E">
            <w:pPr>
              <w:spacing w:line="302" w:lineRule="auto"/>
              <w:rPr>
                <w:rFonts w:ascii="Arial"/>
                <w:sz w:val="21"/>
              </w:rPr>
            </w:pPr>
          </w:p>
          <w:p w14:paraId="5300E330">
            <w:pPr>
              <w:spacing w:before="58" w:line="246" w:lineRule="auto"/>
              <w:ind w:left="1322" w:right="48" w:hanging="89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项目建设单位已委托我公司编制水土</w:t>
            </w:r>
            <w:r>
              <w:rPr>
                <w:rFonts w:ascii="FangSong_GB2312" w:hAnsi="FangSong_GB2312" w:eastAsia="FangSong_GB2312" w:cs="FangSong_GB2312"/>
                <w:spacing w:val="-2"/>
                <w:sz w:val="18"/>
                <w:szCs w:val="18"/>
              </w:rPr>
              <w:t>保持方案</w:t>
            </w:r>
          </w:p>
        </w:tc>
        <w:tc>
          <w:tcPr>
            <w:tcW w:w="996" w:type="dxa"/>
            <w:tcBorders>
              <w:right w:val="single" w:color="000000" w:sz="10" w:space="0"/>
            </w:tcBorders>
            <w:vAlign w:val="top"/>
          </w:tcPr>
          <w:p w14:paraId="4C020ED8">
            <w:pPr>
              <w:spacing w:line="357" w:lineRule="auto"/>
              <w:rPr>
                <w:rFonts w:ascii="Arial"/>
                <w:sz w:val="21"/>
              </w:rPr>
            </w:pPr>
          </w:p>
          <w:p w14:paraId="1F34FC5C">
            <w:pPr>
              <w:spacing w:line="357" w:lineRule="auto"/>
              <w:rPr>
                <w:rFonts w:ascii="Arial"/>
                <w:sz w:val="21"/>
              </w:rPr>
            </w:pPr>
          </w:p>
          <w:p w14:paraId="2B43C835">
            <w:pPr>
              <w:spacing w:before="59"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6821F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4527" w:type="dxa"/>
            <w:tcBorders>
              <w:left w:val="single" w:color="000000" w:sz="10" w:space="0"/>
            </w:tcBorders>
            <w:vAlign w:val="top"/>
          </w:tcPr>
          <w:p w14:paraId="2144667C">
            <w:pPr>
              <w:spacing w:before="58" w:line="232" w:lineRule="auto"/>
              <w:ind w:left="9" w:right="13" w:firstLine="369"/>
              <w:jc w:val="both"/>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第二十七条：依法应当编制水土保持方案的生产建设项目中的水土保持设施，应当与主体工程同时设计、同时施工、同时投产使用；生产建设项目竣工验收，应当验收</w:t>
            </w:r>
            <w:r>
              <w:rPr>
                <w:rFonts w:ascii="FangSong_GB2312" w:hAnsi="FangSong_GB2312" w:eastAsia="FangSong_GB2312" w:cs="FangSong_GB2312"/>
                <w:spacing w:val="7"/>
                <w:sz w:val="18"/>
                <w:szCs w:val="18"/>
              </w:rPr>
              <w:t>水土保持设施；水土保持设施未经验收或者验收不合格</w:t>
            </w:r>
            <w:r>
              <w:rPr>
                <w:rFonts w:ascii="FangSong_GB2312" w:hAnsi="FangSong_GB2312" w:eastAsia="FangSong_GB2312" w:cs="FangSong_GB2312"/>
                <w:spacing w:val="-1"/>
                <w:sz w:val="18"/>
                <w:szCs w:val="18"/>
              </w:rPr>
              <w:t>的，生产建设项目不得投产使用</w:t>
            </w:r>
          </w:p>
        </w:tc>
        <w:tc>
          <w:tcPr>
            <w:tcW w:w="3352" w:type="dxa"/>
            <w:vAlign w:val="top"/>
          </w:tcPr>
          <w:p w14:paraId="734FEEDE">
            <w:pPr>
              <w:spacing w:before="291" w:line="239" w:lineRule="auto"/>
              <w:ind w:left="17" w:firstLine="359"/>
              <w:jc w:val="both"/>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项目建设未完全遵循“</w:t>
            </w:r>
            <w:r>
              <w:rPr>
                <w:rFonts w:ascii="FangSong_GB2312" w:hAnsi="FangSong_GB2312" w:eastAsia="FangSong_GB2312" w:cs="FangSong_GB2312"/>
                <w:spacing w:val="-63"/>
                <w:sz w:val="18"/>
                <w:szCs w:val="18"/>
              </w:rPr>
              <w:t xml:space="preserve"> </w:t>
            </w:r>
            <w:r>
              <w:rPr>
                <w:rFonts w:ascii="FangSong_GB2312" w:hAnsi="FangSong_GB2312" w:eastAsia="FangSong_GB2312" w:cs="FangSong_GB2312"/>
                <w:spacing w:val="-7"/>
                <w:sz w:val="18"/>
                <w:szCs w:val="18"/>
              </w:rPr>
              <w:t>三同时”要求，</w:t>
            </w:r>
            <w:r>
              <w:rPr>
                <w:rFonts w:ascii="FangSong_GB2312" w:hAnsi="FangSong_GB2312" w:eastAsia="FangSong_GB2312" w:cs="FangSong_GB2312"/>
                <w:spacing w:val="-8"/>
                <w:sz w:val="18"/>
                <w:szCs w:val="18"/>
              </w:rPr>
              <w:t>方案批复后，需按照要求补充水土保持验收</w:t>
            </w:r>
            <w:r>
              <w:rPr>
                <w:rFonts w:ascii="FangSong_GB2312" w:hAnsi="FangSong_GB2312" w:eastAsia="FangSong_GB2312" w:cs="FangSong_GB2312"/>
                <w:spacing w:val="-3"/>
                <w:sz w:val="18"/>
                <w:szCs w:val="18"/>
              </w:rPr>
              <w:t>相关手续及资料</w:t>
            </w:r>
          </w:p>
        </w:tc>
        <w:tc>
          <w:tcPr>
            <w:tcW w:w="996" w:type="dxa"/>
            <w:tcBorders>
              <w:right w:val="single" w:color="000000" w:sz="10" w:space="0"/>
            </w:tcBorders>
            <w:vAlign w:val="top"/>
          </w:tcPr>
          <w:p w14:paraId="032CBAFC">
            <w:pPr>
              <w:spacing w:line="464" w:lineRule="auto"/>
              <w:rPr>
                <w:rFonts w:ascii="Arial"/>
                <w:sz w:val="21"/>
              </w:rPr>
            </w:pPr>
          </w:p>
          <w:p w14:paraId="0C4BF5FB">
            <w:pPr>
              <w:spacing w:before="58"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16D2A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 w:hRule="atLeast"/>
        </w:trPr>
        <w:tc>
          <w:tcPr>
            <w:tcW w:w="4527" w:type="dxa"/>
            <w:tcBorders>
              <w:left w:val="single" w:color="000000" w:sz="10" w:space="0"/>
            </w:tcBorders>
            <w:vAlign w:val="top"/>
          </w:tcPr>
          <w:p w14:paraId="3DBF2414">
            <w:pPr>
              <w:spacing w:before="71" w:line="246" w:lineRule="auto"/>
              <w:ind w:left="9" w:firstLine="367"/>
              <w:jc w:val="both"/>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第二十八条：依法应当编制水土保持方案的生产建设</w:t>
            </w:r>
            <w:r>
              <w:rPr>
                <w:rFonts w:ascii="FangSong_GB2312" w:hAnsi="FangSong_GB2312" w:eastAsia="FangSong_GB2312" w:cs="FangSong_GB2312"/>
                <w:spacing w:val="-7"/>
                <w:sz w:val="18"/>
                <w:szCs w:val="18"/>
              </w:rPr>
              <w:t>项目，其生产建设活动中排弃的砂、石、土、矸石、尾矿、</w:t>
            </w:r>
            <w:r>
              <w:rPr>
                <w:rFonts w:ascii="FangSong_GB2312" w:hAnsi="FangSong_GB2312" w:eastAsia="FangSong_GB2312" w:cs="FangSong_GB2312"/>
                <w:spacing w:val="-2"/>
                <w:sz w:val="18"/>
                <w:szCs w:val="18"/>
              </w:rPr>
              <w:t>废渣等应当综合利用；不能综合利用，确需废弃的，应当堆放在水土保持方案确定的专门存放地，并采取措施保证</w:t>
            </w:r>
          </w:p>
          <w:p w14:paraId="20ADAADF">
            <w:pPr>
              <w:spacing w:line="195" w:lineRule="auto"/>
              <w:ind w:left="163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不产生新的危害</w:t>
            </w:r>
          </w:p>
        </w:tc>
        <w:tc>
          <w:tcPr>
            <w:tcW w:w="3352" w:type="dxa"/>
            <w:vAlign w:val="top"/>
          </w:tcPr>
          <w:p w14:paraId="6382129E">
            <w:pPr>
              <w:spacing w:before="191" w:line="246" w:lineRule="auto"/>
              <w:ind w:left="22" w:right="2" w:firstLine="403"/>
              <w:jc w:val="both"/>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本项目剥离的表土就近堆存并布设水</w:t>
            </w:r>
            <w:r>
              <w:rPr>
                <w:rFonts w:ascii="FangSong_GB2312" w:hAnsi="FangSong_GB2312" w:eastAsia="FangSong_GB2312" w:cs="FangSong_GB2312"/>
                <w:spacing w:val="-6"/>
                <w:sz w:val="18"/>
                <w:szCs w:val="18"/>
              </w:rPr>
              <w:t>土保持措施、用于后期绿化覆土；开挖产生土石方及时回填，后期进行绿化以减少水土</w:t>
            </w:r>
          </w:p>
          <w:p w14:paraId="7A8C85C7">
            <w:pPr>
              <w:spacing w:line="216" w:lineRule="auto"/>
              <w:ind w:left="150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流失</w:t>
            </w:r>
          </w:p>
        </w:tc>
        <w:tc>
          <w:tcPr>
            <w:tcW w:w="996" w:type="dxa"/>
            <w:tcBorders>
              <w:right w:val="single" w:color="000000" w:sz="10" w:space="0"/>
            </w:tcBorders>
            <w:vAlign w:val="top"/>
          </w:tcPr>
          <w:p w14:paraId="780FEAEF">
            <w:pPr>
              <w:spacing w:line="241" w:lineRule="auto"/>
              <w:rPr>
                <w:rFonts w:ascii="Arial"/>
                <w:sz w:val="21"/>
              </w:rPr>
            </w:pPr>
          </w:p>
          <w:p w14:paraId="2CEEF603">
            <w:pPr>
              <w:spacing w:line="242" w:lineRule="auto"/>
              <w:rPr>
                <w:rFonts w:ascii="Arial"/>
                <w:sz w:val="21"/>
              </w:rPr>
            </w:pPr>
          </w:p>
          <w:p w14:paraId="7F3722BF">
            <w:pPr>
              <w:spacing w:before="58"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3717D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4527" w:type="dxa"/>
            <w:tcBorders>
              <w:left w:val="single" w:color="000000" w:sz="10" w:space="0"/>
              <w:bottom w:val="single" w:color="000000" w:sz="10" w:space="0"/>
            </w:tcBorders>
            <w:vAlign w:val="top"/>
          </w:tcPr>
          <w:p w14:paraId="484309C2">
            <w:pPr>
              <w:spacing w:before="184" w:line="239" w:lineRule="auto"/>
              <w:ind w:left="7" w:firstLine="36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第三十二条：开办生产建设项目或者从事其他生产建</w:t>
            </w:r>
            <w:r>
              <w:rPr>
                <w:rFonts w:ascii="FangSong_GB2312" w:hAnsi="FangSong_GB2312" w:eastAsia="FangSong_GB2312" w:cs="FangSong_GB2312"/>
                <w:spacing w:val="-7"/>
                <w:sz w:val="18"/>
                <w:szCs w:val="18"/>
              </w:rPr>
              <w:t>设活动造成水土流失的，应当进行治理。在山区、丘陵区、</w:t>
            </w:r>
            <w:r>
              <w:rPr>
                <w:rFonts w:ascii="FangSong_GB2312" w:hAnsi="FangSong_GB2312" w:eastAsia="FangSong_GB2312" w:cs="FangSong_GB2312"/>
                <w:spacing w:val="2"/>
                <w:sz w:val="18"/>
                <w:szCs w:val="18"/>
              </w:rPr>
              <w:t>风沙区以及水土保持规划确定的容易发生水土流</w:t>
            </w:r>
            <w:r>
              <w:rPr>
                <w:rFonts w:ascii="FangSong_GB2312" w:hAnsi="FangSong_GB2312" w:eastAsia="FangSong_GB2312" w:cs="FangSong_GB2312"/>
                <w:spacing w:val="1"/>
                <w:sz w:val="18"/>
                <w:szCs w:val="18"/>
              </w:rPr>
              <w:t>失的其</w:t>
            </w:r>
            <w:r>
              <w:rPr>
                <w:rFonts w:ascii="FangSong_GB2312" w:hAnsi="FangSong_GB2312" w:eastAsia="FangSong_GB2312" w:cs="FangSong_GB2312"/>
                <w:spacing w:val="-2"/>
                <w:sz w:val="18"/>
                <w:szCs w:val="18"/>
              </w:rPr>
              <w:t>他区域开办生产建设项目或从事其他生产建设活动，损坏</w:t>
            </w:r>
            <w:r>
              <w:rPr>
                <w:rFonts w:ascii="FangSong_GB2312" w:hAnsi="FangSong_GB2312" w:eastAsia="FangSong_GB2312" w:cs="FangSong_GB2312"/>
                <w:spacing w:val="-7"/>
                <w:sz w:val="18"/>
                <w:szCs w:val="18"/>
              </w:rPr>
              <w:t>水土保持设施、地貌植被，不能恢复原有水土保持功能的，</w:t>
            </w:r>
            <w:r>
              <w:rPr>
                <w:rFonts w:ascii="FangSong_GB2312" w:hAnsi="FangSong_GB2312" w:eastAsia="FangSong_GB2312" w:cs="FangSong_GB2312"/>
                <w:spacing w:val="-2"/>
                <w:sz w:val="18"/>
                <w:szCs w:val="18"/>
              </w:rPr>
              <w:t>应当缴纳水土保持补偿费，专项用于水土流失预防和治理</w:t>
            </w:r>
          </w:p>
        </w:tc>
        <w:tc>
          <w:tcPr>
            <w:tcW w:w="3352" w:type="dxa"/>
            <w:tcBorders>
              <w:bottom w:val="single" w:color="000000" w:sz="10" w:space="0"/>
            </w:tcBorders>
            <w:vAlign w:val="top"/>
          </w:tcPr>
          <w:p w14:paraId="1C6E21A4">
            <w:pPr>
              <w:spacing w:line="355" w:lineRule="auto"/>
              <w:rPr>
                <w:rFonts w:ascii="Arial"/>
                <w:sz w:val="21"/>
              </w:rPr>
            </w:pPr>
          </w:p>
          <w:p w14:paraId="644BD3B8">
            <w:pPr>
              <w:spacing w:before="59" w:line="214" w:lineRule="auto"/>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工程建设扰动了地表，工程建设采取了一</w:t>
            </w:r>
          </w:p>
          <w:p w14:paraId="7BA60CFD">
            <w:pPr>
              <w:spacing w:before="24" w:line="214" w:lineRule="auto"/>
              <w:ind w:left="25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系列水土保持措施同时后期进行植被恢</w:t>
            </w:r>
          </w:p>
          <w:p w14:paraId="64D24FAE">
            <w:pPr>
              <w:spacing w:before="24"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复以减少水土流失，后期缴纳水土保持补</w:t>
            </w:r>
          </w:p>
          <w:p w14:paraId="6543B507">
            <w:pPr>
              <w:spacing w:before="26" w:line="214" w:lineRule="auto"/>
              <w:ind w:left="158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偿费</w:t>
            </w:r>
          </w:p>
        </w:tc>
        <w:tc>
          <w:tcPr>
            <w:tcW w:w="996" w:type="dxa"/>
            <w:tcBorders>
              <w:bottom w:val="single" w:color="000000" w:sz="10" w:space="0"/>
              <w:right w:val="single" w:color="000000" w:sz="10" w:space="0"/>
            </w:tcBorders>
            <w:vAlign w:val="top"/>
          </w:tcPr>
          <w:p w14:paraId="0C9F5AD8">
            <w:pPr>
              <w:spacing w:line="351" w:lineRule="auto"/>
              <w:rPr>
                <w:rFonts w:ascii="Arial"/>
                <w:sz w:val="21"/>
              </w:rPr>
            </w:pPr>
          </w:p>
          <w:p w14:paraId="02EF3052">
            <w:pPr>
              <w:spacing w:line="352" w:lineRule="auto"/>
              <w:rPr>
                <w:rFonts w:ascii="Arial"/>
                <w:sz w:val="21"/>
              </w:rPr>
            </w:pPr>
          </w:p>
          <w:p w14:paraId="79262A3D">
            <w:pPr>
              <w:spacing w:before="59"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bl>
    <w:p w14:paraId="456AFD5D">
      <w:pPr>
        <w:pStyle w:val="2"/>
        <w:spacing w:line="362" w:lineRule="auto"/>
      </w:pPr>
    </w:p>
    <w:p w14:paraId="28B9833F">
      <w:pPr>
        <w:spacing w:before="65" w:line="229" w:lineRule="auto"/>
        <w:ind w:left="5396"/>
        <w:rPr>
          <w:rFonts w:ascii="FangSong_GB2312" w:hAnsi="FangSong_GB2312" w:eastAsia="FangSong_GB2312" w:cs="FangSong_GB2312"/>
          <w:sz w:val="20"/>
          <w:szCs w:val="20"/>
        </w:rPr>
      </w:pPr>
      <w:r>
        <w:pict>
          <v:shape id="_x0000_s1057" o:spid="_x0000_s1057" o:spt="202" type="#_x0000_t202" style="position:absolute;left:0pt;margin-left:217.2pt;margin-top:3.05pt;height:10.15pt;width:10.9pt;z-index:251725824;mso-width-relative:page;mso-height-relative:page;" filled="f" stroked="f" coordsize="21600,21600">
            <v:path/>
            <v:fill on="f" focussize="0,0"/>
            <v:stroke on="f"/>
            <v:imagedata o:title=""/>
            <o:lock v:ext="edit" aspectratio="f"/>
            <v:textbox inset="0mm,0mm,0mm,0mm">
              <w:txbxContent>
                <w:p w14:paraId="5BB42F0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txbxContent>
            </v:textbox>
          </v:shape>
        </w:pict>
      </w:r>
      <w:r>
        <w:rPr>
          <w:rFonts w:ascii="FangSong_GB2312" w:hAnsi="FangSong_GB2312" w:eastAsia="FangSong_GB2312" w:cs="FangSong_GB2312"/>
          <w:spacing w:val="8"/>
          <w:sz w:val="20"/>
          <w:szCs w:val="20"/>
        </w:rPr>
        <w:t>剑阁县绿森林业勘察设计有限公司</w:t>
      </w:r>
    </w:p>
    <w:p w14:paraId="54623062">
      <w:pPr>
        <w:spacing w:line="229" w:lineRule="auto"/>
        <w:rPr>
          <w:rFonts w:ascii="FangSong_GB2312" w:hAnsi="FangSong_GB2312" w:eastAsia="FangSong_GB2312" w:cs="FangSong_GB2312"/>
          <w:sz w:val="20"/>
          <w:szCs w:val="20"/>
        </w:rPr>
        <w:sectPr>
          <w:headerReference r:id="rId43" w:type="default"/>
          <w:pgSz w:w="11906" w:h="16839"/>
          <w:pgMar w:top="1164" w:right="1502" w:bottom="400" w:left="1502" w:header="831" w:footer="0" w:gutter="0"/>
          <w:cols w:space="720" w:num="1"/>
        </w:sectPr>
      </w:pPr>
    </w:p>
    <w:p w14:paraId="11CD46F5">
      <w:pPr>
        <w:spacing w:line="162" w:lineRule="exact"/>
      </w:pPr>
    </w:p>
    <w:tbl>
      <w:tblPr>
        <w:tblStyle w:val="6"/>
        <w:tblW w:w="8875" w:type="dxa"/>
        <w:tblInd w:w="121"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527"/>
        <w:gridCol w:w="3352"/>
        <w:gridCol w:w="996"/>
      </w:tblGrid>
      <w:tr w14:paraId="26D2850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9" w:hRule="atLeast"/>
        </w:trPr>
        <w:tc>
          <w:tcPr>
            <w:tcW w:w="4527" w:type="dxa"/>
            <w:tcBorders>
              <w:right w:val="single" w:color="000000" w:sz="2" w:space="0"/>
            </w:tcBorders>
            <w:vAlign w:val="top"/>
          </w:tcPr>
          <w:p w14:paraId="7B0E2AFC">
            <w:pPr>
              <w:spacing w:before="49" w:line="239" w:lineRule="auto"/>
              <w:ind w:left="10" w:firstLine="366"/>
              <w:jc w:val="both"/>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第三十八条：对生产建设活动所占用土地的地表土应</w:t>
            </w:r>
            <w:r>
              <w:rPr>
                <w:rFonts w:ascii="FangSong_GB2312" w:hAnsi="FangSong_GB2312" w:eastAsia="FangSong_GB2312" w:cs="FangSong_GB2312"/>
                <w:spacing w:val="-2"/>
                <w:sz w:val="18"/>
                <w:szCs w:val="18"/>
              </w:rPr>
              <w:t>当进行分层剥离、保存和利用，做到土石方挖填平衡，减少地表扰动范围；对废弃的沙、石、土、矸石、尾矿、废</w:t>
            </w:r>
            <w:r>
              <w:rPr>
                <w:rFonts w:ascii="FangSong_GB2312" w:hAnsi="FangSong_GB2312" w:eastAsia="FangSong_GB2312" w:cs="FangSong_GB2312"/>
                <w:spacing w:val="-7"/>
                <w:sz w:val="18"/>
                <w:szCs w:val="18"/>
              </w:rPr>
              <w:t>渣等存放地，应当采取拦挡、坡面防护、防洪排导等措施。</w:t>
            </w:r>
          </w:p>
          <w:p w14:paraId="56F659F7">
            <w:pPr>
              <w:spacing w:line="213" w:lineRule="auto"/>
              <w:ind w:left="2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生产建设活动结束后应当及时在取土场、开挖面和存放地</w:t>
            </w:r>
          </w:p>
          <w:p w14:paraId="7FE922A0">
            <w:pPr>
              <w:spacing w:before="22" w:line="216" w:lineRule="auto"/>
              <w:ind w:left="92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的裸露土地上种树植草、恢复植被</w:t>
            </w:r>
          </w:p>
        </w:tc>
        <w:tc>
          <w:tcPr>
            <w:tcW w:w="3352" w:type="dxa"/>
            <w:tcBorders>
              <w:left w:val="single" w:color="000000" w:sz="2" w:space="0"/>
              <w:right w:val="single" w:color="000000" w:sz="2" w:space="0"/>
            </w:tcBorders>
            <w:vAlign w:val="top"/>
          </w:tcPr>
          <w:p w14:paraId="07A0F7C3">
            <w:pPr>
              <w:spacing w:before="162" w:line="213"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本项目属新建建设类工程，具备表土剥离条</w:t>
            </w:r>
          </w:p>
          <w:p w14:paraId="5B331393">
            <w:pPr>
              <w:spacing w:before="25" w:line="213"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件。本项目已进行表土剥离，对所剥离表土</w:t>
            </w:r>
          </w:p>
          <w:p w14:paraId="0B76DAF5">
            <w:pPr>
              <w:spacing w:before="27"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统一管理、根据就近原则及完工后的覆土需</w:t>
            </w:r>
          </w:p>
          <w:p w14:paraId="44D86810">
            <w:pPr>
              <w:spacing w:before="24" w:line="214" w:lineRule="auto"/>
              <w:ind w:right="2"/>
              <w:jc w:val="right"/>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求剥离表土堆放在项目红线范围内；本项目</w:t>
            </w:r>
          </w:p>
          <w:p w14:paraId="43A426B5">
            <w:pPr>
              <w:spacing w:before="24" w:line="216" w:lineRule="auto"/>
              <w:ind w:left="115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无废弃土石方</w:t>
            </w:r>
          </w:p>
        </w:tc>
        <w:tc>
          <w:tcPr>
            <w:tcW w:w="996" w:type="dxa"/>
            <w:tcBorders>
              <w:left w:val="single" w:color="000000" w:sz="2" w:space="0"/>
            </w:tcBorders>
            <w:vAlign w:val="top"/>
          </w:tcPr>
          <w:p w14:paraId="11911768">
            <w:pPr>
              <w:spacing w:line="284" w:lineRule="auto"/>
              <w:rPr>
                <w:rFonts w:ascii="Arial"/>
                <w:sz w:val="21"/>
              </w:rPr>
            </w:pPr>
          </w:p>
          <w:p w14:paraId="58DB8EB2">
            <w:pPr>
              <w:spacing w:line="284" w:lineRule="auto"/>
              <w:rPr>
                <w:rFonts w:ascii="Arial"/>
                <w:sz w:val="21"/>
              </w:rPr>
            </w:pPr>
          </w:p>
          <w:p w14:paraId="50A68E58">
            <w:pPr>
              <w:spacing w:before="59" w:line="216" w:lineRule="auto"/>
              <w:ind w:left="33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bl>
    <w:p w14:paraId="11081D57">
      <w:pPr>
        <w:spacing w:before="151" w:line="222" w:lineRule="auto"/>
        <w:ind w:left="545"/>
        <w:rPr>
          <w:rFonts w:ascii="FangSong_GB2312" w:hAnsi="FangSong_GB2312" w:eastAsia="FangSong_GB2312" w:cs="FangSong_GB2312"/>
          <w:sz w:val="20"/>
          <w:szCs w:val="20"/>
        </w:rPr>
      </w:pPr>
      <w:r>
        <w:rPr>
          <w:rFonts w:ascii="FangSong_GB2312" w:hAnsi="FangSong_GB2312" w:eastAsia="FangSong_GB2312" w:cs="FangSong_GB2312"/>
          <w:spacing w:val="9"/>
          <w:sz w:val="20"/>
          <w:szCs w:val="20"/>
        </w:rPr>
        <w:t>（</w:t>
      </w:r>
      <w:r>
        <w:rPr>
          <w:rFonts w:ascii="Times New Roman" w:hAnsi="Times New Roman" w:eastAsia="Times New Roman" w:cs="Times New Roman"/>
          <w:spacing w:val="9"/>
          <w:sz w:val="20"/>
          <w:szCs w:val="20"/>
        </w:rPr>
        <w:t>2</w:t>
      </w:r>
      <w:r>
        <w:rPr>
          <w:rFonts w:ascii="FangSong_GB2312" w:hAnsi="FangSong_GB2312" w:eastAsia="FangSong_GB2312" w:cs="FangSong_GB2312"/>
          <w:spacing w:val="9"/>
          <w:sz w:val="20"/>
          <w:szCs w:val="20"/>
        </w:rPr>
        <w:t>）与《生产建设项目水土保持技术标准》（</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50433</w:t>
      </w:r>
      <w:r>
        <w:rPr>
          <w:rFonts w:ascii="Times New Roman" w:hAnsi="Times New Roman" w:eastAsia="Times New Roman" w:cs="Times New Roman"/>
          <w:spacing w:val="8"/>
          <w:sz w:val="20"/>
          <w:szCs w:val="20"/>
        </w:rPr>
        <w:t>-2018</w:t>
      </w:r>
      <w:r>
        <w:rPr>
          <w:rFonts w:ascii="FangSong_GB2312" w:hAnsi="FangSong_GB2312" w:eastAsia="FangSong_GB2312" w:cs="FangSong_GB2312"/>
          <w:spacing w:val="8"/>
          <w:sz w:val="20"/>
          <w:szCs w:val="20"/>
        </w:rPr>
        <w:t>）的符合性分析</w:t>
      </w:r>
    </w:p>
    <w:p w14:paraId="3A2DD90D">
      <w:pPr>
        <w:spacing w:before="170" w:line="221" w:lineRule="auto"/>
        <w:ind w:left="710"/>
        <w:rPr>
          <w:rFonts w:ascii="FangSong_GB2312" w:hAnsi="FangSong_GB2312" w:eastAsia="FangSong_GB2312" w:cs="FangSong_GB2312"/>
          <w:sz w:val="20"/>
          <w:szCs w:val="20"/>
        </w:rPr>
      </w:pPr>
      <w:r>
        <w:rPr>
          <w:rFonts w:ascii="FangSong_GB2312" w:hAnsi="FangSong_GB2312" w:eastAsia="FangSong_GB2312" w:cs="FangSong_GB2312"/>
          <w:b/>
          <w:bCs/>
          <w:spacing w:val="7"/>
          <w:sz w:val="20"/>
          <w:szCs w:val="20"/>
        </w:rPr>
        <w:t>表</w:t>
      </w:r>
      <w:r>
        <w:rPr>
          <w:rFonts w:ascii="FangSong_GB2312" w:hAnsi="FangSong_GB2312" w:eastAsia="FangSong_GB2312" w:cs="FangSong_GB2312"/>
          <w:spacing w:val="-42"/>
          <w:sz w:val="20"/>
          <w:szCs w:val="20"/>
        </w:rPr>
        <w:t xml:space="preserve"> </w:t>
      </w:r>
      <w:r>
        <w:rPr>
          <w:rFonts w:ascii="Times New Roman" w:hAnsi="Times New Roman" w:eastAsia="Times New Roman" w:cs="Times New Roman"/>
          <w:b/>
          <w:bCs/>
          <w:spacing w:val="7"/>
          <w:sz w:val="20"/>
          <w:szCs w:val="20"/>
        </w:rPr>
        <w:t xml:space="preserve">3.1-2    </w:t>
      </w:r>
      <w:r>
        <w:rPr>
          <w:rFonts w:ascii="FangSong_GB2312" w:hAnsi="FangSong_GB2312" w:eastAsia="FangSong_GB2312" w:cs="FangSong_GB2312"/>
          <w:b/>
          <w:bCs/>
          <w:spacing w:val="7"/>
          <w:sz w:val="20"/>
          <w:szCs w:val="20"/>
        </w:rPr>
        <w:t>《生产建设项目水土保持技术标准》（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50433-2018</w:t>
      </w:r>
      <w:r>
        <w:rPr>
          <w:rFonts w:ascii="FangSong_GB2312" w:hAnsi="FangSong_GB2312" w:eastAsia="FangSong_GB2312" w:cs="FangSong_GB2312"/>
          <w:b/>
          <w:bCs/>
          <w:spacing w:val="7"/>
          <w:sz w:val="20"/>
          <w:szCs w:val="20"/>
        </w:rPr>
        <w:t>）</w:t>
      </w:r>
      <w:r>
        <w:rPr>
          <w:rFonts w:ascii="FangSong_GB2312" w:hAnsi="FangSong_GB2312" w:eastAsia="FangSong_GB2312" w:cs="FangSong_GB2312"/>
          <w:b/>
          <w:bCs/>
          <w:spacing w:val="6"/>
          <w:sz w:val="20"/>
          <w:szCs w:val="20"/>
        </w:rPr>
        <w:t>符合性对照分析表</w:t>
      </w:r>
    </w:p>
    <w:p w14:paraId="098F9E29">
      <w:pPr>
        <w:spacing w:line="136" w:lineRule="exact"/>
      </w:pPr>
    </w:p>
    <w:tbl>
      <w:tblPr>
        <w:tblStyle w:val="6"/>
        <w:tblW w:w="90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4055"/>
        <w:gridCol w:w="3052"/>
        <w:gridCol w:w="1162"/>
      </w:tblGrid>
      <w:tr w14:paraId="72E33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23" w:type="dxa"/>
            <w:tcBorders>
              <w:top w:val="single" w:color="000000" w:sz="10" w:space="0"/>
              <w:left w:val="single" w:color="000000" w:sz="10" w:space="0"/>
            </w:tcBorders>
            <w:vAlign w:val="top"/>
          </w:tcPr>
          <w:p w14:paraId="2BF6225B">
            <w:pPr>
              <w:spacing w:before="113" w:line="217" w:lineRule="auto"/>
              <w:ind w:left="22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项目</w:t>
            </w:r>
          </w:p>
        </w:tc>
        <w:tc>
          <w:tcPr>
            <w:tcW w:w="4055" w:type="dxa"/>
            <w:tcBorders>
              <w:top w:val="single" w:color="000000" w:sz="10" w:space="0"/>
            </w:tcBorders>
            <w:vAlign w:val="top"/>
          </w:tcPr>
          <w:p w14:paraId="64564924">
            <w:pPr>
              <w:spacing w:before="113" w:line="214" w:lineRule="auto"/>
              <w:ind w:left="158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约束性规定</w:t>
            </w:r>
          </w:p>
        </w:tc>
        <w:tc>
          <w:tcPr>
            <w:tcW w:w="3052" w:type="dxa"/>
            <w:tcBorders>
              <w:top w:val="single" w:color="000000" w:sz="10" w:space="0"/>
            </w:tcBorders>
            <w:vAlign w:val="top"/>
          </w:tcPr>
          <w:p w14:paraId="01278E5E">
            <w:pPr>
              <w:spacing w:before="113" w:line="217" w:lineRule="auto"/>
              <w:ind w:left="117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分析意见</w:t>
            </w:r>
          </w:p>
        </w:tc>
        <w:tc>
          <w:tcPr>
            <w:tcW w:w="1162" w:type="dxa"/>
            <w:tcBorders>
              <w:top w:val="single" w:color="000000" w:sz="10" w:space="0"/>
              <w:right w:val="single" w:color="000000" w:sz="10" w:space="0"/>
            </w:tcBorders>
            <w:vAlign w:val="top"/>
          </w:tcPr>
          <w:p w14:paraId="2C3A5097">
            <w:pPr>
              <w:spacing w:before="113" w:line="214" w:lineRule="auto"/>
              <w:ind w:left="14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符合性分析</w:t>
            </w:r>
          </w:p>
        </w:tc>
      </w:tr>
      <w:tr w14:paraId="038DE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8" w:hRule="atLeast"/>
        </w:trPr>
        <w:tc>
          <w:tcPr>
            <w:tcW w:w="823" w:type="dxa"/>
            <w:vMerge w:val="restart"/>
            <w:tcBorders>
              <w:left w:val="single" w:color="000000" w:sz="10" w:space="0"/>
              <w:bottom w:val="nil"/>
            </w:tcBorders>
            <w:vAlign w:val="top"/>
          </w:tcPr>
          <w:p w14:paraId="63F23F09">
            <w:pPr>
              <w:spacing w:line="246" w:lineRule="auto"/>
              <w:rPr>
                <w:rFonts w:ascii="Arial"/>
                <w:sz w:val="21"/>
              </w:rPr>
            </w:pPr>
          </w:p>
          <w:p w14:paraId="2FFC107E">
            <w:pPr>
              <w:spacing w:line="247" w:lineRule="auto"/>
              <w:rPr>
                <w:rFonts w:ascii="Arial"/>
                <w:sz w:val="21"/>
              </w:rPr>
            </w:pPr>
          </w:p>
          <w:p w14:paraId="03F1688B">
            <w:pPr>
              <w:spacing w:line="247" w:lineRule="auto"/>
              <w:rPr>
                <w:rFonts w:ascii="Arial"/>
                <w:sz w:val="21"/>
              </w:rPr>
            </w:pPr>
          </w:p>
          <w:p w14:paraId="7228826D">
            <w:pPr>
              <w:spacing w:line="247" w:lineRule="auto"/>
              <w:rPr>
                <w:rFonts w:ascii="Arial"/>
                <w:sz w:val="21"/>
              </w:rPr>
            </w:pPr>
          </w:p>
          <w:p w14:paraId="68B3EA37">
            <w:pPr>
              <w:spacing w:before="58"/>
              <w:ind w:left="133" w:right="143" w:firstLine="5"/>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主体工</w:t>
            </w:r>
            <w:r>
              <w:rPr>
                <w:rFonts w:ascii="FangSong_GB2312" w:hAnsi="FangSong_GB2312" w:eastAsia="FangSong_GB2312" w:cs="FangSong_GB2312"/>
                <w:spacing w:val="-4"/>
                <w:sz w:val="18"/>
                <w:szCs w:val="18"/>
              </w:rPr>
              <w:t>程选址</w:t>
            </w:r>
          </w:p>
        </w:tc>
        <w:tc>
          <w:tcPr>
            <w:tcW w:w="4055" w:type="dxa"/>
            <w:vAlign w:val="top"/>
          </w:tcPr>
          <w:p w14:paraId="73DDC9E3">
            <w:pPr>
              <w:spacing w:line="433" w:lineRule="auto"/>
              <w:rPr>
                <w:rFonts w:ascii="Arial"/>
                <w:sz w:val="21"/>
              </w:rPr>
            </w:pPr>
          </w:p>
          <w:p w14:paraId="0EBC4D6D">
            <w:pPr>
              <w:spacing w:before="59" w:line="214" w:lineRule="auto"/>
              <w:ind w:left="285"/>
              <w:rPr>
                <w:rFonts w:ascii="FangSong_GB2312" w:hAnsi="FangSong_GB2312" w:eastAsia="FangSong_GB2312" w:cs="FangSong_GB2312"/>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6"/>
                <w:sz w:val="18"/>
                <w:szCs w:val="18"/>
              </w:rPr>
              <w:t xml:space="preserve"> </w:t>
            </w:r>
            <w:r>
              <w:rPr>
                <w:rFonts w:ascii="FangSong_GB2312" w:hAnsi="FangSong_GB2312" w:eastAsia="FangSong_GB2312" w:cs="FangSong_GB2312"/>
                <w:spacing w:val="-3"/>
                <w:sz w:val="18"/>
                <w:szCs w:val="18"/>
              </w:rPr>
              <w:t>、应避让水土流失重点预防区和重点治理区</w:t>
            </w:r>
          </w:p>
        </w:tc>
        <w:tc>
          <w:tcPr>
            <w:tcW w:w="3052" w:type="dxa"/>
            <w:vAlign w:val="top"/>
          </w:tcPr>
          <w:p w14:paraId="59146726">
            <w:pPr>
              <w:spacing w:before="30" w:line="214" w:lineRule="auto"/>
              <w:ind w:left="18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项目所在地属于国家级水土流失重</w:t>
            </w:r>
          </w:p>
          <w:p w14:paraId="03809C3B">
            <w:pPr>
              <w:spacing w:before="23" w:line="214" w:lineRule="auto"/>
              <w:ind w:left="12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点治理区（嘉陵江及沱江中下游国家</w:t>
            </w:r>
          </w:p>
          <w:p w14:paraId="56054DE7">
            <w:pPr>
              <w:spacing w:before="24" w:line="214" w:lineRule="auto"/>
              <w:ind w:left="12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级水土流失重点治理区</w:t>
            </w:r>
            <w:r>
              <w:rPr>
                <w:rFonts w:ascii="FangSong_GB2312" w:hAnsi="FangSong_GB2312" w:eastAsia="FangSong_GB2312" w:cs="FangSong_GB2312"/>
                <w:spacing w:val="-12"/>
                <w:sz w:val="18"/>
                <w:szCs w:val="18"/>
              </w:rPr>
              <w:t>），</w:t>
            </w:r>
            <w:r>
              <w:rPr>
                <w:rFonts w:ascii="FangSong_GB2312" w:hAnsi="FangSong_GB2312" w:eastAsia="FangSong_GB2312" w:cs="FangSong_GB2312"/>
                <w:spacing w:val="-2"/>
                <w:sz w:val="18"/>
                <w:szCs w:val="18"/>
              </w:rPr>
              <w:t>工程建设</w:t>
            </w:r>
          </w:p>
          <w:p w14:paraId="2483CEB3">
            <w:pPr>
              <w:spacing w:before="24" w:line="214" w:lineRule="auto"/>
              <w:ind w:left="11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无法避让，本方案采用西南紫色土区</w:t>
            </w:r>
          </w:p>
          <w:p w14:paraId="2BB43D5B">
            <w:pPr>
              <w:spacing w:before="23" w:line="202" w:lineRule="auto"/>
              <w:ind w:left="118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一级标准</w:t>
            </w:r>
          </w:p>
        </w:tc>
        <w:tc>
          <w:tcPr>
            <w:tcW w:w="1162" w:type="dxa"/>
            <w:tcBorders>
              <w:right w:val="single" w:color="000000" w:sz="10" w:space="0"/>
            </w:tcBorders>
            <w:vAlign w:val="top"/>
          </w:tcPr>
          <w:p w14:paraId="45D2A316">
            <w:pPr>
              <w:spacing w:line="434" w:lineRule="auto"/>
              <w:rPr>
                <w:rFonts w:ascii="Arial"/>
                <w:sz w:val="21"/>
              </w:rPr>
            </w:pPr>
          </w:p>
          <w:p w14:paraId="4D3F3A54">
            <w:pPr>
              <w:spacing w:before="58"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2DDD3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23" w:type="dxa"/>
            <w:vMerge w:val="continue"/>
            <w:tcBorders>
              <w:top w:val="nil"/>
              <w:left w:val="single" w:color="000000" w:sz="10" w:space="0"/>
              <w:bottom w:val="nil"/>
            </w:tcBorders>
            <w:vAlign w:val="top"/>
          </w:tcPr>
          <w:p w14:paraId="433B1D2A">
            <w:pPr>
              <w:rPr>
                <w:rFonts w:ascii="Arial"/>
                <w:sz w:val="21"/>
              </w:rPr>
            </w:pPr>
          </w:p>
        </w:tc>
        <w:tc>
          <w:tcPr>
            <w:tcW w:w="4055" w:type="dxa"/>
            <w:vAlign w:val="top"/>
          </w:tcPr>
          <w:p w14:paraId="09548BE1">
            <w:pPr>
              <w:spacing w:before="114" w:line="215" w:lineRule="auto"/>
              <w:ind w:left="100"/>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25"/>
                <w:sz w:val="18"/>
                <w:szCs w:val="18"/>
              </w:rPr>
              <w:t xml:space="preserve"> </w:t>
            </w:r>
            <w:r>
              <w:rPr>
                <w:rFonts w:ascii="FangSong_GB2312" w:hAnsi="FangSong_GB2312" w:eastAsia="FangSong_GB2312" w:cs="FangSong_GB2312"/>
                <w:spacing w:val="-2"/>
                <w:sz w:val="18"/>
                <w:szCs w:val="18"/>
              </w:rPr>
              <w:t>、应避让河流两岸、湖泊和水库周边的植物</w:t>
            </w:r>
            <w:r>
              <w:rPr>
                <w:rFonts w:ascii="FangSong_GB2312" w:hAnsi="FangSong_GB2312" w:eastAsia="FangSong_GB2312" w:cs="FangSong_GB2312"/>
                <w:spacing w:val="-3"/>
                <w:sz w:val="18"/>
                <w:szCs w:val="18"/>
              </w:rPr>
              <w:t>保护</w:t>
            </w:r>
          </w:p>
          <w:p w14:paraId="654BCA91">
            <w:pPr>
              <w:spacing w:before="22" w:line="214" w:lineRule="auto"/>
              <w:ind w:left="1949"/>
              <w:rPr>
                <w:rFonts w:ascii="FangSong_GB2312" w:hAnsi="FangSong_GB2312" w:eastAsia="FangSong_GB2312" w:cs="FangSong_GB2312"/>
                <w:sz w:val="18"/>
                <w:szCs w:val="18"/>
              </w:rPr>
            </w:pPr>
            <w:r>
              <w:rPr>
                <w:rFonts w:ascii="FangSong_GB2312" w:hAnsi="FangSong_GB2312" w:eastAsia="FangSong_GB2312" w:cs="FangSong_GB2312"/>
                <w:sz w:val="18"/>
                <w:szCs w:val="18"/>
              </w:rPr>
              <w:t>带</w:t>
            </w:r>
          </w:p>
        </w:tc>
        <w:tc>
          <w:tcPr>
            <w:tcW w:w="3052" w:type="dxa"/>
            <w:vAlign w:val="top"/>
          </w:tcPr>
          <w:p w14:paraId="68FC9946">
            <w:pPr>
              <w:spacing w:before="229" w:line="216" w:lineRule="auto"/>
              <w:ind w:left="126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c>
          <w:tcPr>
            <w:tcW w:w="1162" w:type="dxa"/>
            <w:tcBorders>
              <w:right w:val="single" w:color="000000" w:sz="10" w:space="0"/>
            </w:tcBorders>
            <w:vAlign w:val="top"/>
          </w:tcPr>
          <w:p w14:paraId="3276101B">
            <w:pPr>
              <w:spacing w:before="229"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57ACA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23" w:type="dxa"/>
            <w:vMerge w:val="continue"/>
            <w:tcBorders>
              <w:top w:val="nil"/>
              <w:left w:val="single" w:color="000000" w:sz="10" w:space="0"/>
            </w:tcBorders>
            <w:vAlign w:val="top"/>
          </w:tcPr>
          <w:p w14:paraId="4B6A8BC6">
            <w:pPr>
              <w:rPr>
                <w:rFonts w:ascii="Arial"/>
                <w:sz w:val="21"/>
              </w:rPr>
            </w:pPr>
          </w:p>
        </w:tc>
        <w:tc>
          <w:tcPr>
            <w:tcW w:w="4055" w:type="dxa"/>
            <w:vAlign w:val="top"/>
          </w:tcPr>
          <w:p w14:paraId="60BE0177">
            <w:pPr>
              <w:spacing w:before="33" w:line="214" w:lineRule="auto"/>
              <w:ind w:left="103"/>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3</w:t>
            </w:r>
            <w:r>
              <w:rPr>
                <w:rFonts w:ascii="FangSong_GB2312" w:hAnsi="FangSong_GB2312" w:eastAsia="FangSong_GB2312" w:cs="FangSong_GB2312"/>
                <w:spacing w:val="-2"/>
                <w:sz w:val="18"/>
                <w:szCs w:val="18"/>
              </w:rPr>
              <w:t>、应避让全国水土保持监测网络中的水土保持监</w:t>
            </w:r>
          </w:p>
          <w:p w14:paraId="1D00BB2A">
            <w:pPr>
              <w:spacing w:before="24" w:line="214" w:lineRule="auto"/>
              <w:ind w:left="14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测站点、重点试验区及国家确定的水土保持长期</w:t>
            </w:r>
          </w:p>
          <w:p w14:paraId="3DBFB92A">
            <w:pPr>
              <w:spacing w:before="23" w:line="198" w:lineRule="auto"/>
              <w:ind w:left="157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定位观测站</w:t>
            </w:r>
          </w:p>
        </w:tc>
        <w:tc>
          <w:tcPr>
            <w:tcW w:w="3052" w:type="dxa"/>
            <w:vAlign w:val="top"/>
          </w:tcPr>
          <w:p w14:paraId="5F6A6A83">
            <w:pPr>
              <w:spacing w:before="266" w:line="216" w:lineRule="auto"/>
              <w:ind w:left="126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c>
          <w:tcPr>
            <w:tcW w:w="1162" w:type="dxa"/>
            <w:tcBorders>
              <w:right w:val="single" w:color="000000" w:sz="10" w:space="0"/>
            </w:tcBorders>
            <w:vAlign w:val="top"/>
          </w:tcPr>
          <w:p w14:paraId="050EE837">
            <w:pPr>
              <w:spacing w:before="266"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6D088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823" w:type="dxa"/>
            <w:tcBorders>
              <w:left w:val="single" w:color="000000" w:sz="10" w:space="0"/>
            </w:tcBorders>
            <w:vAlign w:val="top"/>
          </w:tcPr>
          <w:p w14:paraId="63215926">
            <w:pPr>
              <w:spacing w:line="327" w:lineRule="auto"/>
              <w:rPr>
                <w:rFonts w:ascii="Arial"/>
                <w:sz w:val="21"/>
              </w:rPr>
            </w:pPr>
          </w:p>
          <w:p w14:paraId="29B10748">
            <w:pPr>
              <w:spacing w:before="58"/>
              <w:ind w:left="129" w:right="143" w:firstLine="9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取土</w:t>
            </w:r>
            <w:r>
              <w:rPr>
                <w:rFonts w:ascii="FangSong_GB2312" w:hAnsi="FangSong_GB2312" w:eastAsia="FangSong_GB2312" w:cs="FangSong_GB2312"/>
                <w:spacing w:val="-2"/>
                <w:sz w:val="18"/>
                <w:szCs w:val="18"/>
              </w:rPr>
              <w:t>（石、料）场</w:t>
            </w:r>
            <w:r>
              <w:rPr>
                <w:rFonts w:ascii="FangSong_GB2312" w:hAnsi="FangSong_GB2312" w:eastAsia="FangSong_GB2312" w:cs="FangSong_GB2312"/>
                <w:spacing w:val="41"/>
                <w:sz w:val="18"/>
                <w:szCs w:val="18"/>
              </w:rPr>
              <w:t>选址</w:t>
            </w:r>
          </w:p>
        </w:tc>
        <w:tc>
          <w:tcPr>
            <w:tcW w:w="4055" w:type="dxa"/>
            <w:vAlign w:val="top"/>
          </w:tcPr>
          <w:p w14:paraId="0692A6A3">
            <w:pPr>
              <w:pStyle w:val="7"/>
              <w:spacing w:before="38" w:line="213" w:lineRule="auto"/>
              <w:ind w:left="13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严禁在崩塌和滑坡危险区</w:t>
            </w:r>
            <w:r>
              <w:rPr>
                <w:spacing w:val="-1"/>
                <w:sz w:val="18"/>
                <w:szCs w:val="18"/>
              </w:rPr>
              <w:t>、</w:t>
            </w:r>
            <w:r>
              <w:rPr>
                <w:rFonts w:ascii="FangSong_GB2312" w:hAnsi="FangSong_GB2312" w:eastAsia="FangSong_GB2312" w:cs="FangSong_GB2312"/>
                <w:spacing w:val="-1"/>
                <w:sz w:val="18"/>
                <w:szCs w:val="18"/>
              </w:rPr>
              <w:t>泥石流易发区内设置</w:t>
            </w:r>
          </w:p>
          <w:p w14:paraId="2CC289C9">
            <w:pPr>
              <w:spacing w:before="24" w:line="214" w:lineRule="auto"/>
              <w:ind w:left="131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取土（石、料）场</w:t>
            </w:r>
          </w:p>
          <w:p w14:paraId="3F6EBB12">
            <w:pPr>
              <w:spacing w:before="24" w:line="214" w:lineRule="auto"/>
              <w:ind w:left="31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取土（石、料）场设置尚应符合下列规定：</w:t>
            </w:r>
          </w:p>
          <w:p w14:paraId="36F7EB2F">
            <w:pPr>
              <w:spacing w:before="24" w:line="214" w:lineRule="auto"/>
              <w:ind w:left="117"/>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1.</w:t>
            </w:r>
            <w:r>
              <w:rPr>
                <w:rFonts w:ascii="FangSong_GB2312" w:hAnsi="FangSong_GB2312" w:eastAsia="FangSong_GB2312" w:cs="FangSong_GB2312"/>
                <w:spacing w:val="-4"/>
                <w:sz w:val="18"/>
                <w:szCs w:val="18"/>
              </w:rPr>
              <w:t>应符合城镇、景区等规划要求，并与周边景观相</w:t>
            </w:r>
          </w:p>
          <w:p w14:paraId="006221D9">
            <w:pPr>
              <w:spacing w:before="24" w:line="214" w:lineRule="auto"/>
              <w:ind w:left="11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互协调；</w:t>
            </w:r>
            <w:r>
              <w:rPr>
                <w:rFonts w:ascii="Times New Roman" w:hAnsi="Times New Roman" w:eastAsia="Times New Roman" w:cs="Times New Roman"/>
                <w:spacing w:val="-4"/>
                <w:sz w:val="18"/>
                <w:szCs w:val="18"/>
              </w:rPr>
              <w:t>2.</w:t>
            </w:r>
            <w:r>
              <w:rPr>
                <w:rFonts w:ascii="FangSong_GB2312" w:hAnsi="FangSong_GB2312" w:eastAsia="FangSong_GB2312" w:cs="FangSong_GB2312"/>
                <w:spacing w:val="-4"/>
                <w:sz w:val="18"/>
                <w:szCs w:val="18"/>
              </w:rPr>
              <w:t>在河道取土（石、砂）的应符合河道管</w:t>
            </w:r>
          </w:p>
          <w:p w14:paraId="2BE915E4">
            <w:pPr>
              <w:spacing w:before="26" w:line="214" w:lineRule="auto"/>
              <w:ind w:left="105"/>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理的有关规定；</w:t>
            </w:r>
            <w:r>
              <w:rPr>
                <w:rFonts w:ascii="Times New Roman" w:hAnsi="Times New Roman" w:eastAsia="Times New Roman" w:cs="Times New Roman"/>
                <w:spacing w:val="-4"/>
                <w:sz w:val="18"/>
                <w:szCs w:val="18"/>
              </w:rPr>
              <w:t>3.</w:t>
            </w:r>
            <w:r>
              <w:rPr>
                <w:rFonts w:ascii="FangSong_GB2312" w:hAnsi="FangSong_GB2312" w:eastAsia="FangSong_GB2312" w:cs="FangSong_GB2312"/>
                <w:spacing w:val="-4"/>
                <w:sz w:val="18"/>
                <w:szCs w:val="18"/>
              </w:rPr>
              <w:t>应综合考虑取土（石、砂）结束</w:t>
            </w:r>
          </w:p>
          <w:p w14:paraId="6A433090">
            <w:pPr>
              <w:spacing w:before="25" w:line="189" w:lineRule="auto"/>
              <w:ind w:left="149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后的土地利用</w:t>
            </w:r>
          </w:p>
        </w:tc>
        <w:tc>
          <w:tcPr>
            <w:tcW w:w="3052" w:type="dxa"/>
            <w:vAlign w:val="top"/>
          </w:tcPr>
          <w:p w14:paraId="21E180B8">
            <w:pPr>
              <w:spacing w:line="337" w:lineRule="auto"/>
              <w:rPr>
                <w:rFonts w:ascii="Arial"/>
                <w:sz w:val="21"/>
              </w:rPr>
            </w:pPr>
          </w:p>
          <w:p w14:paraId="4B7A054D">
            <w:pPr>
              <w:spacing w:line="337" w:lineRule="auto"/>
              <w:rPr>
                <w:rFonts w:ascii="Arial"/>
                <w:sz w:val="21"/>
              </w:rPr>
            </w:pPr>
          </w:p>
          <w:p w14:paraId="29EE5562">
            <w:pPr>
              <w:spacing w:before="58" w:line="214" w:lineRule="auto"/>
              <w:ind w:left="36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项目不涉及取土（石、料）场</w:t>
            </w:r>
          </w:p>
        </w:tc>
        <w:tc>
          <w:tcPr>
            <w:tcW w:w="1162" w:type="dxa"/>
            <w:tcBorders>
              <w:right w:val="single" w:color="000000" w:sz="10" w:space="0"/>
            </w:tcBorders>
            <w:vAlign w:val="top"/>
          </w:tcPr>
          <w:p w14:paraId="003162B8">
            <w:pPr>
              <w:spacing w:line="337" w:lineRule="auto"/>
              <w:rPr>
                <w:rFonts w:ascii="Arial"/>
                <w:sz w:val="21"/>
              </w:rPr>
            </w:pPr>
          </w:p>
          <w:p w14:paraId="6271EE02">
            <w:pPr>
              <w:spacing w:line="337" w:lineRule="auto"/>
              <w:rPr>
                <w:rFonts w:ascii="Arial"/>
                <w:sz w:val="21"/>
              </w:rPr>
            </w:pPr>
          </w:p>
          <w:p w14:paraId="4CA00D98">
            <w:pPr>
              <w:spacing w:before="59"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3F33E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23" w:type="dxa"/>
            <w:vMerge w:val="restart"/>
            <w:tcBorders>
              <w:left w:val="single" w:color="000000" w:sz="10" w:space="0"/>
              <w:bottom w:val="nil"/>
            </w:tcBorders>
            <w:vAlign w:val="top"/>
          </w:tcPr>
          <w:p w14:paraId="1BB73EB3">
            <w:pPr>
              <w:spacing w:line="342" w:lineRule="auto"/>
              <w:rPr>
                <w:rFonts w:ascii="Arial"/>
                <w:sz w:val="21"/>
              </w:rPr>
            </w:pPr>
          </w:p>
          <w:p w14:paraId="36462236">
            <w:pPr>
              <w:spacing w:line="343" w:lineRule="auto"/>
              <w:rPr>
                <w:rFonts w:ascii="Arial"/>
                <w:sz w:val="21"/>
              </w:rPr>
            </w:pPr>
          </w:p>
          <w:p w14:paraId="73984DEA">
            <w:pPr>
              <w:spacing w:before="59"/>
              <w:ind w:left="114" w:right="63" w:firstLine="113"/>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弃土</w:t>
            </w:r>
            <w:r>
              <w:rPr>
                <w:rFonts w:ascii="FangSong_GB2312" w:hAnsi="FangSong_GB2312" w:eastAsia="FangSong_GB2312" w:cs="FangSong_GB2312"/>
                <w:spacing w:val="10"/>
                <w:sz w:val="18"/>
                <w:szCs w:val="18"/>
              </w:rPr>
              <w:t>（石、</w:t>
            </w:r>
            <w:r>
              <w:rPr>
                <w:rFonts w:ascii="FangSong_GB2312" w:hAnsi="FangSong_GB2312" w:eastAsia="FangSong_GB2312" w:cs="FangSong_GB2312"/>
                <w:spacing w:val="-23"/>
                <w:sz w:val="18"/>
                <w:szCs w:val="18"/>
              </w:rPr>
              <w:t>渣、灰、</w:t>
            </w:r>
            <w:r>
              <w:rPr>
                <w:rFonts w:ascii="FangSong_GB2312" w:hAnsi="FangSong_GB2312" w:eastAsia="FangSong_GB2312" w:cs="FangSong_GB2312"/>
                <w:spacing w:val="10"/>
                <w:sz w:val="18"/>
                <w:szCs w:val="18"/>
              </w:rPr>
              <w:t>矸石、</w:t>
            </w:r>
            <w:r>
              <w:rPr>
                <w:rFonts w:ascii="FangSong_GB2312" w:hAnsi="FangSong_GB2312" w:eastAsia="FangSong_GB2312" w:cs="FangSong_GB2312"/>
                <w:spacing w:val="3"/>
                <w:sz w:val="18"/>
                <w:szCs w:val="18"/>
              </w:rPr>
              <w:t>尾矿）场选址</w:t>
            </w:r>
          </w:p>
        </w:tc>
        <w:tc>
          <w:tcPr>
            <w:tcW w:w="4055" w:type="dxa"/>
            <w:vAlign w:val="top"/>
          </w:tcPr>
          <w:p w14:paraId="0F257016">
            <w:pPr>
              <w:spacing w:before="44" w:line="213" w:lineRule="auto"/>
              <w:ind w:left="13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严禁在对公共设施、基础设施、工业企业、居民</w:t>
            </w:r>
          </w:p>
          <w:p w14:paraId="5BDBED3F">
            <w:pPr>
              <w:spacing w:before="24" w:line="214" w:lineRule="auto"/>
              <w:ind w:left="15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点等有重大影响的区域设置弃土（石、渣、灰、</w:t>
            </w:r>
          </w:p>
          <w:p w14:paraId="3E6807FC">
            <w:pPr>
              <w:spacing w:before="24" w:line="187" w:lineRule="auto"/>
              <w:ind w:left="139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矸石、尾矿）场</w:t>
            </w:r>
          </w:p>
        </w:tc>
        <w:tc>
          <w:tcPr>
            <w:tcW w:w="3052" w:type="dxa"/>
            <w:vMerge w:val="restart"/>
            <w:tcBorders>
              <w:bottom w:val="nil"/>
            </w:tcBorders>
            <w:vAlign w:val="top"/>
          </w:tcPr>
          <w:p w14:paraId="12A4AED0">
            <w:pPr>
              <w:spacing w:line="287" w:lineRule="auto"/>
              <w:rPr>
                <w:rFonts w:ascii="Arial"/>
                <w:sz w:val="21"/>
              </w:rPr>
            </w:pPr>
          </w:p>
          <w:p w14:paraId="61A46CFC">
            <w:pPr>
              <w:spacing w:line="287" w:lineRule="auto"/>
              <w:rPr>
                <w:rFonts w:ascii="Arial"/>
                <w:sz w:val="21"/>
              </w:rPr>
            </w:pPr>
          </w:p>
          <w:p w14:paraId="2B75329E">
            <w:pPr>
              <w:spacing w:line="288" w:lineRule="auto"/>
              <w:rPr>
                <w:rFonts w:ascii="Arial"/>
                <w:sz w:val="21"/>
              </w:rPr>
            </w:pPr>
          </w:p>
          <w:p w14:paraId="55F79E8A">
            <w:pPr>
              <w:spacing w:line="288" w:lineRule="auto"/>
              <w:rPr>
                <w:rFonts w:ascii="Arial"/>
                <w:sz w:val="21"/>
              </w:rPr>
            </w:pPr>
          </w:p>
          <w:p w14:paraId="5EE6664E">
            <w:pPr>
              <w:spacing w:before="58" w:line="214" w:lineRule="auto"/>
              <w:ind w:right="4"/>
              <w:jc w:val="right"/>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项目不涉及弃土（石、渣、灰、矸石、</w:t>
            </w:r>
          </w:p>
          <w:p w14:paraId="0E70B4CF">
            <w:pPr>
              <w:spacing w:before="24" w:line="216" w:lineRule="auto"/>
              <w:ind w:left="117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尾矿）场</w:t>
            </w:r>
          </w:p>
        </w:tc>
        <w:tc>
          <w:tcPr>
            <w:tcW w:w="1162" w:type="dxa"/>
            <w:vMerge w:val="restart"/>
            <w:tcBorders>
              <w:bottom w:val="nil"/>
              <w:right w:val="single" w:color="000000" w:sz="10" w:space="0"/>
            </w:tcBorders>
            <w:vAlign w:val="top"/>
          </w:tcPr>
          <w:p w14:paraId="54BB34B7">
            <w:pPr>
              <w:spacing w:line="252" w:lineRule="auto"/>
              <w:rPr>
                <w:rFonts w:ascii="Arial"/>
                <w:sz w:val="21"/>
              </w:rPr>
            </w:pPr>
          </w:p>
          <w:p w14:paraId="48120C2D">
            <w:pPr>
              <w:spacing w:line="253" w:lineRule="auto"/>
              <w:rPr>
                <w:rFonts w:ascii="Arial"/>
                <w:sz w:val="21"/>
              </w:rPr>
            </w:pPr>
          </w:p>
          <w:p w14:paraId="7CD8832A">
            <w:pPr>
              <w:spacing w:line="253" w:lineRule="auto"/>
              <w:rPr>
                <w:rFonts w:ascii="Arial"/>
                <w:sz w:val="21"/>
              </w:rPr>
            </w:pPr>
          </w:p>
          <w:p w14:paraId="360C9E65">
            <w:pPr>
              <w:spacing w:line="253" w:lineRule="auto"/>
              <w:rPr>
                <w:rFonts w:ascii="Arial"/>
                <w:sz w:val="21"/>
              </w:rPr>
            </w:pPr>
          </w:p>
          <w:p w14:paraId="4C504BD2">
            <w:pPr>
              <w:spacing w:line="253" w:lineRule="auto"/>
              <w:rPr>
                <w:rFonts w:ascii="Arial"/>
                <w:sz w:val="21"/>
              </w:rPr>
            </w:pPr>
          </w:p>
          <w:p w14:paraId="6F7CEC2D">
            <w:pPr>
              <w:spacing w:before="59" w:line="216" w:lineRule="auto"/>
              <w:ind w:left="41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符合</w:t>
            </w:r>
          </w:p>
        </w:tc>
      </w:tr>
      <w:tr w14:paraId="41594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2" w:hRule="atLeast"/>
        </w:trPr>
        <w:tc>
          <w:tcPr>
            <w:tcW w:w="823" w:type="dxa"/>
            <w:vMerge w:val="continue"/>
            <w:tcBorders>
              <w:top w:val="nil"/>
              <w:left w:val="single" w:color="000000" w:sz="10" w:space="0"/>
              <w:bottom w:val="single" w:color="000000" w:sz="10" w:space="0"/>
            </w:tcBorders>
            <w:vAlign w:val="top"/>
          </w:tcPr>
          <w:p w14:paraId="48CAAE16">
            <w:pPr>
              <w:rPr>
                <w:rFonts w:ascii="Arial"/>
                <w:sz w:val="21"/>
              </w:rPr>
            </w:pPr>
          </w:p>
        </w:tc>
        <w:tc>
          <w:tcPr>
            <w:tcW w:w="4055" w:type="dxa"/>
            <w:tcBorders>
              <w:bottom w:val="single" w:color="000000" w:sz="10" w:space="0"/>
            </w:tcBorders>
            <w:vAlign w:val="top"/>
          </w:tcPr>
          <w:p w14:paraId="4355625F">
            <w:pPr>
              <w:spacing w:before="44" w:line="214" w:lineRule="auto"/>
              <w:ind w:left="14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弃土（石、渣、灰、矸石、尾矿）场设置尚应符</w:t>
            </w:r>
          </w:p>
          <w:p w14:paraId="44E32408">
            <w:pPr>
              <w:spacing w:before="24" w:line="216" w:lineRule="auto"/>
              <w:ind w:left="149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合下列规定：</w:t>
            </w:r>
          </w:p>
          <w:p w14:paraId="63690296">
            <w:pPr>
              <w:spacing w:before="25" w:line="214" w:lineRule="auto"/>
              <w:ind w:left="172"/>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1.</w:t>
            </w:r>
            <w:r>
              <w:rPr>
                <w:rFonts w:ascii="Times New Roman" w:hAnsi="Times New Roman" w:eastAsia="Times New Roman" w:cs="Times New Roman"/>
                <w:spacing w:val="-22"/>
                <w:sz w:val="18"/>
                <w:szCs w:val="18"/>
              </w:rPr>
              <w:t xml:space="preserve"> </w:t>
            </w:r>
            <w:r>
              <w:rPr>
                <w:rFonts w:ascii="FangSong_GB2312" w:hAnsi="FangSong_GB2312" w:eastAsia="FangSong_GB2312" w:cs="FangSong_GB2312"/>
                <w:spacing w:val="-2"/>
                <w:sz w:val="18"/>
                <w:szCs w:val="18"/>
              </w:rPr>
              <w:t>涉及河道的应符合河道防洪规划和治导线的规</w:t>
            </w:r>
          </w:p>
          <w:p w14:paraId="38583988">
            <w:pPr>
              <w:spacing w:before="23" w:line="214" w:lineRule="auto"/>
              <w:ind w:left="13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定，不得设置在河道、湖泊和建成水库管理范围</w:t>
            </w:r>
          </w:p>
          <w:p w14:paraId="5C1076AB">
            <w:pPr>
              <w:spacing w:before="24" w:line="212" w:lineRule="auto"/>
              <w:ind w:left="128"/>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内；</w:t>
            </w:r>
            <w:r>
              <w:rPr>
                <w:rFonts w:ascii="Times New Roman" w:hAnsi="Times New Roman" w:eastAsia="Times New Roman" w:cs="Times New Roman"/>
                <w:spacing w:val="-5"/>
                <w:sz w:val="18"/>
                <w:szCs w:val="18"/>
              </w:rPr>
              <w:t>2.</w:t>
            </w:r>
            <w:r>
              <w:rPr>
                <w:rFonts w:ascii="FangSong_GB2312" w:hAnsi="FangSong_GB2312" w:eastAsia="FangSong_GB2312" w:cs="FangSong_GB2312"/>
                <w:spacing w:val="-5"/>
                <w:sz w:val="18"/>
                <w:szCs w:val="18"/>
              </w:rPr>
              <w:t>在山丘区宜选择荒沟、凹地、支毛沟，平原</w:t>
            </w:r>
          </w:p>
          <w:p w14:paraId="4744E300">
            <w:pPr>
              <w:spacing w:before="28" w:line="212" w:lineRule="auto"/>
              <w:ind w:left="12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区宜选择凹地、荒地，风沙区宜避开风</w:t>
            </w:r>
            <w:r>
              <w:rPr>
                <w:rFonts w:ascii="FangSong_GB2312" w:hAnsi="FangSong_GB2312" w:eastAsia="FangSong_GB2312" w:cs="FangSong_GB2312"/>
                <w:spacing w:val="-51"/>
                <w:sz w:val="18"/>
                <w:szCs w:val="18"/>
              </w:rPr>
              <w:t xml:space="preserve"> </w:t>
            </w:r>
            <w:r>
              <w:rPr>
                <w:rFonts w:ascii="FangSong_GB2312" w:hAnsi="FangSong_GB2312" w:eastAsia="FangSong_GB2312" w:cs="FangSong_GB2312"/>
                <w:spacing w:val="-6"/>
                <w:sz w:val="18"/>
                <w:szCs w:val="18"/>
              </w:rPr>
              <w:t>口；</w:t>
            </w:r>
            <w:r>
              <w:rPr>
                <w:rFonts w:ascii="Times New Roman" w:hAnsi="Times New Roman" w:eastAsia="Times New Roman" w:cs="Times New Roman"/>
                <w:spacing w:val="-6"/>
                <w:sz w:val="18"/>
                <w:szCs w:val="18"/>
              </w:rPr>
              <w:t>3.</w:t>
            </w:r>
            <w:r>
              <w:rPr>
                <w:rFonts w:ascii="FangSong_GB2312" w:hAnsi="FangSong_GB2312" w:eastAsia="FangSong_GB2312" w:cs="FangSong_GB2312"/>
                <w:spacing w:val="-6"/>
                <w:sz w:val="18"/>
                <w:szCs w:val="18"/>
              </w:rPr>
              <w:t>应充</w:t>
            </w:r>
          </w:p>
          <w:p w14:paraId="198D6878">
            <w:pPr>
              <w:spacing w:before="26" w:line="214" w:lineRule="auto"/>
              <w:ind w:left="13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分利用取土（石、砂）场、废弃采坑、沉陷区等</w:t>
            </w:r>
          </w:p>
          <w:p w14:paraId="73616246">
            <w:pPr>
              <w:spacing w:before="24" w:line="214" w:lineRule="auto"/>
              <w:ind w:left="10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场地；</w:t>
            </w:r>
            <w:r>
              <w:rPr>
                <w:rFonts w:ascii="Times New Roman" w:hAnsi="Times New Roman" w:eastAsia="Times New Roman" w:cs="Times New Roman"/>
                <w:spacing w:val="-3"/>
                <w:sz w:val="18"/>
                <w:szCs w:val="18"/>
              </w:rPr>
              <w:t>4.</w:t>
            </w:r>
            <w:r>
              <w:rPr>
                <w:rFonts w:ascii="FangSong_GB2312" w:hAnsi="FangSong_GB2312" w:eastAsia="FangSong_GB2312" w:cs="FangSong_GB2312"/>
                <w:spacing w:val="-3"/>
                <w:sz w:val="18"/>
                <w:szCs w:val="18"/>
              </w:rPr>
              <w:t>应综合考虑弃土（石、渣、灰、矸石、尾</w:t>
            </w:r>
          </w:p>
          <w:p w14:paraId="31236663">
            <w:pPr>
              <w:spacing w:before="24" w:line="205" w:lineRule="auto"/>
              <w:ind w:left="113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矿）结束后的土地利用</w:t>
            </w:r>
          </w:p>
        </w:tc>
        <w:tc>
          <w:tcPr>
            <w:tcW w:w="3052" w:type="dxa"/>
            <w:vMerge w:val="continue"/>
            <w:tcBorders>
              <w:top w:val="nil"/>
              <w:bottom w:val="single" w:color="000000" w:sz="10" w:space="0"/>
            </w:tcBorders>
            <w:vAlign w:val="top"/>
          </w:tcPr>
          <w:p w14:paraId="55370050">
            <w:pPr>
              <w:rPr>
                <w:rFonts w:ascii="Arial"/>
                <w:sz w:val="21"/>
              </w:rPr>
            </w:pPr>
          </w:p>
        </w:tc>
        <w:tc>
          <w:tcPr>
            <w:tcW w:w="1162" w:type="dxa"/>
            <w:vMerge w:val="continue"/>
            <w:tcBorders>
              <w:top w:val="nil"/>
              <w:bottom w:val="single" w:color="000000" w:sz="10" w:space="0"/>
              <w:right w:val="single" w:color="000000" w:sz="10" w:space="0"/>
            </w:tcBorders>
            <w:vAlign w:val="top"/>
          </w:tcPr>
          <w:p w14:paraId="4EC35496">
            <w:pPr>
              <w:rPr>
                <w:rFonts w:ascii="Arial"/>
                <w:sz w:val="21"/>
              </w:rPr>
            </w:pPr>
          </w:p>
        </w:tc>
      </w:tr>
    </w:tbl>
    <w:p w14:paraId="6A1ABADF">
      <w:pPr>
        <w:spacing w:before="306" w:line="214" w:lineRule="auto"/>
        <w:ind w:left="125"/>
        <w:outlineLvl w:val="1"/>
        <w:rPr>
          <w:rFonts w:ascii="FangSong_GB2312" w:hAnsi="FangSong_GB2312" w:eastAsia="FangSong_GB2312" w:cs="FangSong_GB2312"/>
          <w:sz w:val="30"/>
          <w:szCs w:val="30"/>
        </w:rPr>
      </w:pPr>
      <w:bookmarkStart w:id="60" w:name="bookmark47"/>
      <w:bookmarkEnd w:id="60"/>
      <w:bookmarkStart w:id="61" w:name="bookmark48"/>
      <w:bookmarkEnd w:id="61"/>
      <w:r>
        <w:rPr>
          <w:rFonts w:ascii="Times New Roman" w:hAnsi="Times New Roman" w:eastAsia="Times New Roman" w:cs="Times New Roman"/>
          <w:b/>
          <w:bCs/>
          <w:spacing w:val="-2"/>
          <w:sz w:val="30"/>
          <w:szCs w:val="30"/>
        </w:rPr>
        <w:t xml:space="preserve">3.2  </w:t>
      </w:r>
      <w:r>
        <w:rPr>
          <w:rFonts w:ascii="FangSong_GB2312" w:hAnsi="FangSong_GB2312" w:eastAsia="FangSong_GB2312" w:cs="FangSong_GB2312"/>
          <w:b/>
          <w:bCs/>
          <w:spacing w:val="-2"/>
          <w:sz w:val="30"/>
          <w:szCs w:val="30"/>
        </w:rPr>
        <w:t>建设方案与布局水土保持评价</w:t>
      </w:r>
    </w:p>
    <w:p w14:paraId="141787BF">
      <w:pPr>
        <w:pStyle w:val="2"/>
        <w:spacing w:line="351" w:lineRule="auto"/>
      </w:pPr>
    </w:p>
    <w:p w14:paraId="4E573AEF">
      <w:pPr>
        <w:spacing w:before="91" w:line="214" w:lineRule="auto"/>
        <w:ind w:left="125"/>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3.2.1  </w:t>
      </w:r>
      <w:r>
        <w:rPr>
          <w:rFonts w:ascii="FangSong_GB2312" w:hAnsi="FangSong_GB2312" w:eastAsia="FangSong_GB2312" w:cs="FangSong_GB2312"/>
          <w:b/>
          <w:bCs/>
          <w:spacing w:val="-2"/>
          <w:sz w:val="28"/>
          <w:szCs w:val="28"/>
        </w:rPr>
        <w:t>建设方案评价</w:t>
      </w:r>
    </w:p>
    <w:p w14:paraId="4399AC74">
      <w:pPr>
        <w:spacing w:before="214" w:line="358" w:lineRule="auto"/>
        <w:ind w:left="155" w:right="119" w:firstLine="457"/>
        <w:rPr>
          <w:rFonts w:ascii="FangSong_GB2312" w:hAnsi="FangSong_GB2312" w:eastAsia="FangSong_GB2312" w:cs="FangSong_GB2312"/>
          <w:sz w:val="24"/>
          <w:szCs w:val="24"/>
        </w:rPr>
      </w:pPr>
      <w:r>
        <w:rPr>
          <w:rFonts w:ascii="FangSong_GB2312" w:hAnsi="FangSong_GB2312" w:eastAsia="FangSong_GB2312" w:cs="FangSong_GB2312"/>
          <w:sz w:val="24"/>
          <w:szCs w:val="24"/>
        </w:rPr>
        <w:t>项目工程建设方案符合剑阁县的发展要求。</w:t>
      </w:r>
      <w:r>
        <w:rPr>
          <w:rFonts w:ascii="FangSong_GB2312" w:hAnsi="FangSong_GB2312" w:eastAsia="FangSong_GB2312" w:cs="FangSong_GB2312"/>
          <w:spacing w:val="-1"/>
          <w:sz w:val="24"/>
          <w:szCs w:val="24"/>
        </w:rPr>
        <w:t>项目建设区域交通较为方便，现有电</w:t>
      </w:r>
      <w:r>
        <w:rPr>
          <w:rFonts w:ascii="FangSong_GB2312" w:hAnsi="FangSong_GB2312" w:eastAsia="FangSong_GB2312" w:cs="FangSong_GB2312"/>
          <w:spacing w:val="-2"/>
          <w:sz w:val="24"/>
          <w:szCs w:val="24"/>
        </w:rPr>
        <w:t>网供电、供排水（气）等基础配套设施齐全。</w:t>
      </w:r>
    </w:p>
    <w:p w14:paraId="61CA9971">
      <w:pPr>
        <w:spacing w:before="6" w:line="352" w:lineRule="auto"/>
        <w:ind w:left="130" w:right="119" w:firstLine="482"/>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项目区内布局紧凑，建筑周围有相对较大的</w:t>
      </w:r>
      <w:r>
        <w:rPr>
          <w:rFonts w:ascii="FangSong_GB2312" w:hAnsi="FangSong_GB2312" w:eastAsia="FangSong_GB2312" w:cs="FangSong_GB2312"/>
          <w:spacing w:val="-1"/>
          <w:sz w:val="24"/>
          <w:szCs w:val="24"/>
        </w:rPr>
        <w:t>绿地，为减少土石方开挖，建构筑物</w:t>
      </w:r>
      <w:r>
        <w:rPr>
          <w:rFonts w:ascii="FangSong_GB2312" w:hAnsi="FangSong_GB2312" w:eastAsia="FangSong_GB2312" w:cs="FangSong_GB2312"/>
          <w:sz w:val="24"/>
          <w:szCs w:val="24"/>
        </w:rPr>
        <w:t>工程及硬化工程周边建设集中绿化景观。可见主体设计</w:t>
      </w:r>
      <w:r>
        <w:rPr>
          <w:rFonts w:ascii="FangSong_GB2312" w:hAnsi="FangSong_GB2312" w:eastAsia="FangSong_GB2312" w:cs="FangSong_GB2312"/>
          <w:spacing w:val="-1"/>
          <w:sz w:val="24"/>
          <w:szCs w:val="24"/>
        </w:rPr>
        <w:t>考虑了对征占地面积的充分利</w:t>
      </w:r>
      <w:r>
        <w:rPr>
          <w:rFonts w:ascii="FangSong_GB2312" w:hAnsi="FangSong_GB2312" w:eastAsia="FangSong_GB2312" w:cs="FangSong_GB2312"/>
          <w:sz w:val="24"/>
          <w:szCs w:val="24"/>
        </w:rPr>
        <w:t>用，尽量避免了土石方的大量开挖，减少水土流失发生</w:t>
      </w:r>
      <w:r>
        <w:rPr>
          <w:rFonts w:ascii="FangSong_GB2312" w:hAnsi="FangSong_GB2312" w:eastAsia="FangSong_GB2312" w:cs="FangSong_GB2312"/>
          <w:spacing w:val="-1"/>
          <w:sz w:val="24"/>
          <w:szCs w:val="24"/>
        </w:rPr>
        <w:t>。大面积绿地营造可较大程度的恢复区域的水土保持效果和改善生态环境。</w:t>
      </w:r>
    </w:p>
    <w:p w14:paraId="38FF771F">
      <w:pPr>
        <w:spacing w:line="228" w:lineRule="auto"/>
        <w:ind w:left="5505"/>
        <w:rPr>
          <w:rFonts w:ascii="FangSong_GB2312" w:hAnsi="FangSong_GB2312" w:eastAsia="FangSong_GB2312" w:cs="FangSong_GB2312"/>
          <w:sz w:val="20"/>
          <w:szCs w:val="20"/>
        </w:rPr>
      </w:pPr>
      <w:r>
        <w:pict>
          <v:shape id="_x0000_s1058" o:spid="_x0000_s1058" o:spt="202" type="#_x0000_t202" style="position:absolute;left:0pt;margin-left:222.65pt;margin-top:-0.2pt;height:10.15pt;width:10.9pt;z-index:251726848;mso-width-relative:page;mso-height-relative:page;" filled="f" stroked="f" coordsize="21600,21600">
            <v:path/>
            <v:fill on="f" focussize="0,0"/>
            <v:stroke on="f"/>
            <v:imagedata o:title=""/>
            <o:lock v:ext="edit" aspectratio="f"/>
            <v:textbox inset="0mm,0mm,0mm,0mm">
              <w:txbxContent>
                <w:p w14:paraId="38BAA5FF">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txbxContent>
            </v:textbox>
          </v:shape>
        </w:pict>
      </w:r>
      <w:r>
        <w:rPr>
          <w:rFonts w:ascii="FangSong_GB2312" w:hAnsi="FangSong_GB2312" w:eastAsia="FangSong_GB2312" w:cs="FangSong_GB2312"/>
          <w:spacing w:val="8"/>
          <w:sz w:val="20"/>
          <w:szCs w:val="20"/>
        </w:rPr>
        <w:t>剑阁县绿森林业勘察设计有限公司</w:t>
      </w:r>
    </w:p>
    <w:p w14:paraId="79161678">
      <w:pPr>
        <w:spacing w:line="228" w:lineRule="auto"/>
        <w:rPr>
          <w:rFonts w:ascii="FangSong_GB2312" w:hAnsi="FangSong_GB2312" w:eastAsia="FangSong_GB2312" w:cs="FangSong_GB2312"/>
          <w:sz w:val="20"/>
          <w:szCs w:val="20"/>
        </w:rPr>
        <w:sectPr>
          <w:headerReference r:id="rId44" w:type="default"/>
          <w:pgSz w:w="11906" w:h="16839"/>
          <w:pgMar w:top="1164" w:right="1394" w:bottom="400" w:left="1393" w:header="831" w:footer="0" w:gutter="0"/>
          <w:cols w:space="720" w:num="1"/>
        </w:sectPr>
      </w:pPr>
    </w:p>
    <w:p w14:paraId="7B6ED746">
      <w:pPr>
        <w:spacing w:before="198" w:line="358" w:lineRule="auto"/>
        <w:ind w:left="33" w:right="16" w:firstLine="475"/>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项目建设方案符合《生产建设项目水土保持技术标准》（</w:t>
      </w:r>
      <w:r>
        <w:rPr>
          <w:rFonts w:ascii="Times New Roman" w:hAnsi="Times New Roman" w:eastAsia="Times New Roman" w:cs="Times New Roman"/>
          <w:spacing w:val="-3"/>
          <w:sz w:val="24"/>
          <w:szCs w:val="24"/>
        </w:rPr>
        <w:t>GB 50433-2018</w:t>
      </w:r>
      <w:r>
        <w:rPr>
          <w:rFonts w:ascii="FangSong_GB2312" w:hAnsi="FangSong_GB2312" w:eastAsia="FangSong_GB2312" w:cs="FangSong_GB2312"/>
          <w:spacing w:val="-3"/>
          <w:sz w:val="24"/>
          <w:szCs w:val="24"/>
        </w:rPr>
        <w:t>）</w:t>
      </w:r>
      <w:r>
        <w:rPr>
          <w:rFonts w:ascii="FangSong_GB2312" w:hAnsi="FangSong_GB2312" w:eastAsia="FangSong_GB2312" w:cs="FangSong_GB2312"/>
          <w:spacing w:val="-4"/>
          <w:sz w:val="24"/>
          <w:szCs w:val="24"/>
        </w:rPr>
        <w:t>中相关</w:t>
      </w:r>
      <w:r>
        <w:rPr>
          <w:rFonts w:ascii="FangSong_GB2312" w:hAnsi="FangSong_GB2312" w:eastAsia="FangSong_GB2312" w:cs="FangSong_GB2312"/>
          <w:spacing w:val="-1"/>
          <w:sz w:val="24"/>
          <w:szCs w:val="24"/>
        </w:rPr>
        <w:t>规定，项目区内布设有完善的雨水系统和景观绿化，能够起到保水固土、防治水土流</w:t>
      </w:r>
      <w:r>
        <w:rPr>
          <w:rFonts w:ascii="FangSong_GB2312" w:hAnsi="FangSong_GB2312" w:eastAsia="FangSong_GB2312" w:cs="FangSong_GB2312"/>
          <w:spacing w:val="-4"/>
          <w:sz w:val="24"/>
          <w:szCs w:val="24"/>
        </w:rPr>
        <w:t>失的效果。</w:t>
      </w:r>
    </w:p>
    <w:p w14:paraId="70123430">
      <w:pPr>
        <w:spacing w:line="221" w:lineRule="auto"/>
        <w:ind w:left="846"/>
        <w:rPr>
          <w:rFonts w:ascii="FangSong_GB2312" w:hAnsi="FangSong_GB2312" w:eastAsia="FangSong_GB2312" w:cs="FangSong_GB2312"/>
          <w:sz w:val="20"/>
          <w:szCs w:val="20"/>
        </w:rPr>
      </w:pPr>
      <w:r>
        <w:rPr>
          <w:rFonts w:ascii="FangSong_GB2312" w:hAnsi="FangSong_GB2312" w:eastAsia="FangSong_GB2312" w:cs="FangSong_GB2312"/>
          <w:b/>
          <w:bCs/>
          <w:spacing w:val="7"/>
          <w:sz w:val="20"/>
          <w:szCs w:val="20"/>
        </w:rPr>
        <w:t>表</w:t>
      </w:r>
      <w:r>
        <w:rPr>
          <w:rFonts w:ascii="FangSong_GB2312" w:hAnsi="FangSong_GB2312" w:eastAsia="FangSong_GB2312" w:cs="FangSong_GB2312"/>
          <w:spacing w:val="-42"/>
          <w:sz w:val="20"/>
          <w:szCs w:val="20"/>
        </w:rPr>
        <w:t xml:space="preserve"> </w:t>
      </w:r>
      <w:r>
        <w:rPr>
          <w:rFonts w:ascii="Times New Roman" w:hAnsi="Times New Roman" w:eastAsia="Times New Roman" w:cs="Times New Roman"/>
          <w:b/>
          <w:bCs/>
          <w:spacing w:val="7"/>
          <w:sz w:val="20"/>
          <w:szCs w:val="20"/>
        </w:rPr>
        <w:t xml:space="preserve">3.2-1    </w:t>
      </w:r>
      <w:r>
        <w:rPr>
          <w:rFonts w:ascii="FangSong_GB2312" w:hAnsi="FangSong_GB2312" w:eastAsia="FangSong_GB2312" w:cs="FangSong_GB2312"/>
          <w:b/>
          <w:bCs/>
          <w:spacing w:val="7"/>
          <w:sz w:val="20"/>
          <w:szCs w:val="20"/>
        </w:rPr>
        <w:t>《生产建设项目水土保持技术标准》（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50433-2018</w:t>
      </w:r>
      <w:r>
        <w:rPr>
          <w:rFonts w:ascii="FangSong_GB2312" w:hAnsi="FangSong_GB2312" w:eastAsia="FangSong_GB2312" w:cs="FangSong_GB2312"/>
          <w:b/>
          <w:bCs/>
          <w:spacing w:val="7"/>
          <w:sz w:val="20"/>
          <w:szCs w:val="20"/>
        </w:rPr>
        <w:t>）</w:t>
      </w:r>
      <w:r>
        <w:rPr>
          <w:rFonts w:ascii="FangSong_GB2312" w:hAnsi="FangSong_GB2312" w:eastAsia="FangSong_GB2312" w:cs="FangSong_GB2312"/>
          <w:b/>
          <w:bCs/>
          <w:spacing w:val="6"/>
          <w:sz w:val="20"/>
          <w:szCs w:val="20"/>
        </w:rPr>
        <w:t>符合性对照分析表</w:t>
      </w:r>
    </w:p>
    <w:p w14:paraId="75FBEDD7">
      <w:pPr>
        <w:spacing w:line="136" w:lineRule="exact"/>
      </w:pPr>
    </w:p>
    <w:tbl>
      <w:tblPr>
        <w:tblStyle w:val="6"/>
        <w:tblW w:w="88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782"/>
        <w:gridCol w:w="3460"/>
        <w:gridCol w:w="2553"/>
        <w:gridCol w:w="1109"/>
      </w:tblGrid>
      <w:tr w14:paraId="13FF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81" w:type="dxa"/>
            <w:tcBorders>
              <w:top w:val="single" w:color="000000" w:sz="10" w:space="0"/>
              <w:left w:val="single" w:color="000000" w:sz="10" w:space="0"/>
            </w:tcBorders>
            <w:vAlign w:val="top"/>
          </w:tcPr>
          <w:p w14:paraId="3B462A29">
            <w:pPr>
              <w:spacing w:before="148" w:line="216" w:lineRule="auto"/>
              <w:ind w:left="12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规范序号</w:t>
            </w:r>
          </w:p>
        </w:tc>
        <w:tc>
          <w:tcPr>
            <w:tcW w:w="782" w:type="dxa"/>
            <w:tcBorders>
              <w:top w:val="single" w:color="000000" w:sz="10" w:space="0"/>
            </w:tcBorders>
            <w:vAlign w:val="top"/>
          </w:tcPr>
          <w:p w14:paraId="0E0DA805">
            <w:pPr>
              <w:spacing w:before="149" w:line="217" w:lineRule="auto"/>
              <w:ind w:left="208"/>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项目</w:t>
            </w:r>
          </w:p>
        </w:tc>
        <w:tc>
          <w:tcPr>
            <w:tcW w:w="3460" w:type="dxa"/>
            <w:tcBorders>
              <w:top w:val="single" w:color="000000" w:sz="10" w:space="0"/>
            </w:tcBorders>
            <w:vAlign w:val="top"/>
          </w:tcPr>
          <w:p w14:paraId="309B5C65">
            <w:pPr>
              <w:spacing w:before="148" w:line="214" w:lineRule="auto"/>
              <w:ind w:left="129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约束性规定</w:t>
            </w:r>
          </w:p>
        </w:tc>
        <w:tc>
          <w:tcPr>
            <w:tcW w:w="2553" w:type="dxa"/>
            <w:tcBorders>
              <w:top w:val="single" w:color="000000" w:sz="10" w:space="0"/>
            </w:tcBorders>
            <w:vAlign w:val="top"/>
          </w:tcPr>
          <w:p w14:paraId="64437968">
            <w:pPr>
              <w:spacing w:before="149" w:line="217" w:lineRule="auto"/>
              <w:ind w:left="92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分析意见</w:t>
            </w:r>
          </w:p>
        </w:tc>
        <w:tc>
          <w:tcPr>
            <w:tcW w:w="1109" w:type="dxa"/>
            <w:tcBorders>
              <w:top w:val="single" w:color="000000" w:sz="10" w:space="0"/>
              <w:right w:val="single" w:color="000000" w:sz="10" w:space="0"/>
            </w:tcBorders>
            <w:vAlign w:val="top"/>
          </w:tcPr>
          <w:p w14:paraId="364408D0">
            <w:pPr>
              <w:spacing w:before="34" w:line="221" w:lineRule="auto"/>
              <w:ind w:left="477" w:right="177" w:hanging="26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符合性分</w:t>
            </w:r>
            <w:r>
              <w:rPr>
                <w:rFonts w:ascii="FangSong_GB2312" w:hAnsi="FangSong_GB2312" w:eastAsia="FangSong_GB2312" w:cs="FangSong_GB2312"/>
                <w:sz w:val="18"/>
                <w:szCs w:val="18"/>
              </w:rPr>
              <w:t>析</w:t>
            </w:r>
          </w:p>
        </w:tc>
      </w:tr>
      <w:tr w14:paraId="78D22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981" w:type="dxa"/>
            <w:vMerge w:val="restart"/>
            <w:tcBorders>
              <w:left w:val="single" w:color="000000" w:sz="10" w:space="0"/>
              <w:bottom w:val="nil"/>
            </w:tcBorders>
            <w:vAlign w:val="top"/>
          </w:tcPr>
          <w:p w14:paraId="5A372616">
            <w:pPr>
              <w:spacing w:line="242" w:lineRule="auto"/>
              <w:rPr>
                <w:rFonts w:ascii="Arial"/>
                <w:sz w:val="21"/>
              </w:rPr>
            </w:pPr>
          </w:p>
          <w:p w14:paraId="2E7BCAEB">
            <w:pPr>
              <w:spacing w:line="242" w:lineRule="auto"/>
              <w:rPr>
                <w:rFonts w:ascii="Arial"/>
                <w:sz w:val="21"/>
              </w:rPr>
            </w:pPr>
          </w:p>
          <w:p w14:paraId="03CB1065">
            <w:pPr>
              <w:spacing w:line="242" w:lineRule="auto"/>
              <w:rPr>
                <w:rFonts w:ascii="Arial"/>
                <w:sz w:val="21"/>
              </w:rPr>
            </w:pPr>
          </w:p>
          <w:p w14:paraId="032B4091">
            <w:pPr>
              <w:spacing w:line="243" w:lineRule="auto"/>
              <w:rPr>
                <w:rFonts w:ascii="Arial"/>
                <w:sz w:val="21"/>
              </w:rPr>
            </w:pPr>
          </w:p>
          <w:p w14:paraId="02D9D409">
            <w:pPr>
              <w:spacing w:line="243" w:lineRule="auto"/>
              <w:rPr>
                <w:rFonts w:ascii="Arial"/>
                <w:sz w:val="21"/>
              </w:rPr>
            </w:pPr>
          </w:p>
          <w:p w14:paraId="6B6475FB">
            <w:pPr>
              <w:spacing w:line="243" w:lineRule="auto"/>
              <w:rPr>
                <w:rFonts w:ascii="Arial"/>
                <w:sz w:val="21"/>
              </w:rPr>
            </w:pPr>
          </w:p>
          <w:p w14:paraId="5F5D8ED4">
            <w:pPr>
              <w:spacing w:line="243" w:lineRule="auto"/>
              <w:rPr>
                <w:rFonts w:ascii="Arial"/>
                <w:sz w:val="21"/>
              </w:rPr>
            </w:pPr>
          </w:p>
          <w:p w14:paraId="0D7BB6B4">
            <w:pPr>
              <w:spacing w:line="243" w:lineRule="auto"/>
              <w:rPr>
                <w:rFonts w:ascii="Arial"/>
                <w:sz w:val="21"/>
              </w:rPr>
            </w:pPr>
          </w:p>
          <w:p w14:paraId="420B367D">
            <w:pPr>
              <w:spacing w:line="243" w:lineRule="auto"/>
              <w:rPr>
                <w:rFonts w:ascii="Arial"/>
                <w:sz w:val="21"/>
              </w:rPr>
            </w:pPr>
          </w:p>
          <w:p w14:paraId="1C3CDD20">
            <w:pPr>
              <w:spacing w:line="243" w:lineRule="auto"/>
              <w:rPr>
                <w:rFonts w:ascii="Arial"/>
                <w:sz w:val="21"/>
              </w:rPr>
            </w:pPr>
          </w:p>
          <w:p w14:paraId="58429934">
            <w:pPr>
              <w:spacing w:line="243" w:lineRule="auto"/>
              <w:rPr>
                <w:rFonts w:ascii="Arial"/>
                <w:sz w:val="21"/>
              </w:rPr>
            </w:pPr>
          </w:p>
          <w:p w14:paraId="54F0E6D2">
            <w:pPr>
              <w:spacing w:before="51" w:line="188" w:lineRule="auto"/>
              <w:ind w:left="3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3.2.2</w:t>
            </w:r>
          </w:p>
        </w:tc>
        <w:tc>
          <w:tcPr>
            <w:tcW w:w="782" w:type="dxa"/>
            <w:vMerge w:val="restart"/>
            <w:tcBorders>
              <w:bottom w:val="nil"/>
            </w:tcBorders>
            <w:vAlign w:val="top"/>
          </w:tcPr>
          <w:p w14:paraId="40AA588A">
            <w:pPr>
              <w:spacing w:line="251" w:lineRule="auto"/>
              <w:rPr>
                <w:rFonts w:ascii="Arial"/>
                <w:sz w:val="21"/>
              </w:rPr>
            </w:pPr>
          </w:p>
          <w:p w14:paraId="427074F7">
            <w:pPr>
              <w:spacing w:line="251" w:lineRule="auto"/>
              <w:rPr>
                <w:rFonts w:ascii="Arial"/>
                <w:sz w:val="21"/>
              </w:rPr>
            </w:pPr>
          </w:p>
          <w:p w14:paraId="5E3DE79F">
            <w:pPr>
              <w:spacing w:line="251" w:lineRule="auto"/>
              <w:rPr>
                <w:rFonts w:ascii="Arial"/>
                <w:sz w:val="21"/>
              </w:rPr>
            </w:pPr>
          </w:p>
          <w:p w14:paraId="7362EE18">
            <w:pPr>
              <w:spacing w:line="252" w:lineRule="auto"/>
              <w:rPr>
                <w:rFonts w:ascii="Arial"/>
                <w:sz w:val="21"/>
              </w:rPr>
            </w:pPr>
          </w:p>
          <w:p w14:paraId="00E6E89C">
            <w:pPr>
              <w:spacing w:line="252" w:lineRule="auto"/>
              <w:rPr>
                <w:rFonts w:ascii="Arial"/>
                <w:sz w:val="21"/>
              </w:rPr>
            </w:pPr>
          </w:p>
          <w:p w14:paraId="573DA44D">
            <w:pPr>
              <w:spacing w:line="252" w:lineRule="auto"/>
              <w:rPr>
                <w:rFonts w:ascii="Arial"/>
                <w:sz w:val="21"/>
              </w:rPr>
            </w:pPr>
          </w:p>
          <w:p w14:paraId="5E3350A6">
            <w:pPr>
              <w:spacing w:line="252" w:lineRule="auto"/>
              <w:rPr>
                <w:rFonts w:ascii="Arial"/>
                <w:sz w:val="21"/>
              </w:rPr>
            </w:pPr>
          </w:p>
          <w:p w14:paraId="7BC17AB5">
            <w:pPr>
              <w:spacing w:line="252" w:lineRule="auto"/>
              <w:rPr>
                <w:rFonts w:ascii="Arial"/>
                <w:sz w:val="21"/>
              </w:rPr>
            </w:pPr>
          </w:p>
          <w:p w14:paraId="70016453">
            <w:pPr>
              <w:spacing w:line="252" w:lineRule="auto"/>
              <w:rPr>
                <w:rFonts w:ascii="Arial"/>
                <w:sz w:val="21"/>
              </w:rPr>
            </w:pPr>
          </w:p>
          <w:p w14:paraId="52EBC9A1">
            <w:pPr>
              <w:spacing w:line="252" w:lineRule="auto"/>
              <w:rPr>
                <w:rFonts w:ascii="Arial"/>
                <w:sz w:val="21"/>
              </w:rPr>
            </w:pPr>
          </w:p>
          <w:p w14:paraId="05A25AF6">
            <w:pPr>
              <w:spacing w:before="59" w:line="239" w:lineRule="auto"/>
              <w:ind w:left="300" w:right="126" w:hanging="18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建设方</w:t>
            </w:r>
            <w:r>
              <w:rPr>
                <w:rFonts w:ascii="FangSong_GB2312" w:hAnsi="FangSong_GB2312" w:eastAsia="FangSong_GB2312" w:cs="FangSong_GB2312"/>
                <w:sz w:val="18"/>
                <w:szCs w:val="18"/>
              </w:rPr>
              <w:t>案</w:t>
            </w:r>
          </w:p>
        </w:tc>
        <w:tc>
          <w:tcPr>
            <w:tcW w:w="3460" w:type="dxa"/>
            <w:vAlign w:val="top"/>
          </w:tcPr>
          <w:p w14:paraId="5A4D90B8">
            <w:pPr>
              <w:spacing w:before="28" w:line="214" w:lineRule="auto"/>
              <w:ind w:left="119"/>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w:t>
            </w:r>
            <w:r>
              <w:rPr>
                <w:rFonts w:ascii="FangSong_GB2312" w:hAnsi="FangSong_GB2312" w:eastAsia="FangSong_GB2312" w:cs="FangSong_GB2312"/>
                <w:spacing w:val="-6"/>
                <w:sz w:val="18"/>
                <w:szCs w:val="18"/>
              </w:rPr>
              <w:t>、公路、铁路工程在高填深挖路段，应采</w:t>
            </w:r>
          </w:p>
          <w:p w14:paraId="00D6CDD0">
            <w:pPr>
              <w:spacing w:before="24" w:line="214" w:lineRule="auto"/>
              <w:ind w:left="113"/>
              <w:rPr>
                <w:rFonts w:ascii="FangSong_GB2312" w:hAnsi="FangSong_GB2312" w:eastAsia="FangSong_GB2312" w:cs="FangSong_GB2312"/>
                <w:sz w:val="18"/>
                <w:szCs w:val="18"/>
              </w:rPr>
            </w:pPr>
            <w:r>
              <w:rPr>
                <w:rFonts w:ascii="FangSong_GB2312" w:hAnsi="FangSong_GB2312" w:eastAsia="FangSong_GB2312" w:cs="FangSong_GB2312"/>
                <w:sz w:val="18"/>
                <w:szCs w:val="18"/>
              </w:rPr>
              <w:t>用加大桥比例的方案。减少大填大挖；填</w:t>
            </w:r>
          </w:p>
          <w:p w14:paraId="7AC0D41A">
            <w:pPr>
              <w:spacing w:before="24" w:line="214" w:lineRule="auto"/>
              <w:ind w:left="11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高大于</w:t>
            </w:r>
            <w:r>
              <w:rPr>
                <w:rFonts w:ascii="FangSong_GB2312" w:hAnsi="FangSong_GB2312" w:eastAsia="FangSong_GB2312" w:cs="FangSong_GB2312"/>
                <w:spacing w:val="-35"/>
                <w:sz w:val="18"/>
                <w:szCs w:val="18"/>
              </w:rPr>
              <w:t xml:space="preserve"> </w:t>
            </w:r>
            <w:r>
              <w:rPr>
                <w:rFonts w:ascii="Times New Roman" w:hAnsi="Times New Roman" w:eastAsia="Times New Roman" w:cs="Times New Roman"/>
                <w:spacing w:val="-5"/>
                <w:sz w:val="18"/>
                <w:szCs w:val="18"/>
              </w:rPr>
              <w:t>20m</w:t>
            </w:r>
            <w:r>
              <w:rPr>
                <w:rFonts w:ascii="FangSong_GB2312" w:hAnsi="FangSong_GB2312" w:eastAsia="FangSong_GB2312" w:cs="FangSong_GB2312"/>
                <w:spacing w:val="-5"/>
                <w:sz w:val="18"/>
                <w:szCs w:val="18"/>
              </w:rPr>
              <w:t>，挖深大于</w:t>
            </w:r>
            <w:r>
              <w:rPr>
                <w:rFonts w:ascii="FangSong_GB2312" w:hAnsi="FangSong_GB2312" w:eastAsia="FangSong_GB2312" w:cs="FangSong_GB2312"/>
                <w:spacing w:val="-37"/>
                <w:sz w:val="18"/>
                <w:szCs w:val="18"/>
              </w:rPr>
              <w:t xml:space="preserve"> </w:t>
            </w:r>
            <w:r>
              <w:rPr>
                <w:rFonts w:ascii="Times New Roman" w:hAnsi="Times New Roman" w:eastAsia="Times New Roman" w:cs="Times New Roman"/>
                <w:spacing w:val="-5"/>
                <w:sz w:val="18"/>
                <w:szCs w:val="18"/>
              </w:rPr>
              <w:t>30m</w:t>
            </w:r>
            <w:r>
              <w:rPr>
                <w:rFonts w:ascii="Times New Roman" w:hAnsi="Times New Roman" w:eastAsia="Times New Roman" w:cs="Times New Roman"/>
                <w:spacing w:val="25"/>
                <w:w w:val="101"/>
                <w:sz w:val="18"/>
                <w:szCs w:val="18"/>
              </w:rPr>
              <w:t xml:space="preserve"> </w:t>
            </w:r>
            <w:r>
              <w:rPr>
                <w:rFonts w:ascii="FangSong_GB2312" w:hAnsi="FangSong_GB2312" w:eastAsia="FangSong_GB2312" w:cs="FangSong_GB2312"/>
                <w:spacing w:val="-5"/>
                <w:sz w:val="18"/>
                <w:szCs w:val="18"/>
              </w:rPr>
              <w:t>的应进行桥隧</w:t>
            </w:r>
          </w:p>
          <w:p w14:paraId="1E57EFCC">
            <w:pPr>
              <w:spacing w:before="27" w:line="214" w:lineRule="auto"/>
              <w:ind w:left="11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替代方案论证；路堤、路堑在保证边坡稳</w:t>
            </w:r>
          </w:p>
          <w:p w14:paraId="4A25643F">
            <w:pPr>
              <w:spacing w:before="23" w:line="216" w:lineRule="auto"/>
              <w:ind w:left="11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定的基础上，应采用植物防护或工程与植</w:t>
            </w:r>
          </w:p>
          <w:p w14:paraId="067A15F8">
            <w:pPr>
              <w:spacing w:before="24" w:line="197" w:lineRule="auto"/>
              <w:ind w:left="65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物防护相结合的设计方案。</w:t>
            </w:r>
          </w:p>
        </w:tc>
        <w:tc>
          <w:tcPr>
            <w:tcW w:w="2553" w:type="dxa"/>
            <w:vAlign w:val="top"/>
          </w:tcPr>
          <w:p w14:paraId="6DFBBD61">
            <w:pPr>
              <w:spacing w:line="319" w:lineRule="auto"/>
              <w:rPr>
                <w:rFonts w:ascii="Arial"/>
                <w:sz w:val="21"/>
              </w:rPr>
            </w:pPr>
          </w:p>
          <w:p w14:paraId="61F6FA3D">
            <w:pPr>
              <w:spacing w:before="58" w:line="214" w:lineRule="auto"/>
              <w:ind w:left="11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项目不属于公路、铁路工程，</w:t>
            </w:r>
          </w:p>
          <w:p w14:paraId="2FDA45A7">
            <w:pPr>
              <w:spacing w:before="23" w:line="214" w:lineRule="auto"/>
              <w:ind w:left="21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不涉及高填深挖以及桥隧设</w:t>
            </w:r>
          </w:p>
          <w:p w14:paraId="1BBF2D2C">
            <w:pPr>
              <w:spacing w:before="24" w:line="222" w:lineRule="auto"/>
              <w:ind w:left="1112"/>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置。</w:t>
            </w:r>
          </w:p>
        </w:tc>
        <w:tc>
          <w:tcPr>
            <w:tcW w:w="1109" w:type="dxa"/>
            <w:tcBorders>
              <w:right w:val="single" w:color="000000" w:sz="10" w:space="0"/>
            </w:tcBorders>
            <w:vAlign w:val="top"/>
          </w:tcPr>
          <w:p w14:paraId="7FBBD7C9">
            <w:pPr>
              <w:spacing w:line="433" w:lineRule="auto"/>
              <w:rPr>
                <w:rFonts w:ascii="Arial"/>
                <w:sz w:val="21"/>
              </w:rPr>
            </w:pPr>
          </w:p>
          <w:p w14:paraId="2DBB0F3E">
            <w:pPr>
              <w:spacing w:before="59" w:line="242" w:lineRule="auto"/>
              <w:ind w:left="388" w:right="177" w:hanging="1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符合规范</w:t>
            </w:r>
            <w:r>
              <w:rPr>
                <w:rFonts w:ascii="FangSong_GB2312" w:hAnsi="FangSong_GB2312" w:eastAsia="FangSong_GB2312" w:cs="FangSong_GB2312"/>
                <w:spacing w:val="-7"/>
                <w:sz w:val="18"/>
                <w:szCs w:val="18"/>
              </w:rPr>
              <w:t>要求</w:t>
            </w:r>
          </w:p>
        </w:tc>
      </w:tr>
      <w:tr w14:paraId="6581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981" w:type="dxa"/>
            <w:vMerge w:val="continue"/>
            <w:tcBorders>
              <w:top w:val="nil"/>
              <w:left w:val="single" w:color="000000" w:sz="10" w:space="0"/>
              <w:bottom w:val="nil"/>
            </w:tcBorders>
            <w:vAlign w:val="top"/>
          </w:tcPr>
          <w:p w14:paraId="1919AB15">
            <w:pPr>
              <w:rPr>
                <w:rFonts w:ascii="Arial"/>
                <w:sz w:val="21"/>
              </w:rPr>
            </w:pPr>
          </w:p>
        </w:tc>
        <w:tc>
          <w:tcPr>
            <w:tcW w:w="782" w:type="dxa"/>
            <w:vMerge w:val="continue"/>
            <w:tcBorders>
              <w:top w:val="nil"/>
              <w:bottom w:val="nil"/>
            </w:tcBorders>
            <w:vAlign w:val="top"/>
          </w:tcPr>
          <w:p w14:paraId="37FB29E8">
            <w:pPr>
              <w:rPr>
                <w:rFonts w:ascii="Arial"/>
                <w:sz w:val="21"/>
              </w:rPr>
            </w:pPr>
          </w:p>
        </w:tc>
        <w:tc>
          <w:tcPr>
            <w:tcW w:w="3460" w:type="dxa"/>
            <w:vAlign w:val="top"/>
          </w:tcPr>
          <w:p w14:paraId="45CF0655">
            <w:pPr>
              <w:spacing w:before="35" w:line="214" w:lineRule="auto"/>
              <w:ind w:left="152"/>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2</w:t>
            </w:r>
            <w:r>
              <w:rPr>
                <w:rFonts w:ascii="Times New Roman" w:hAnsi="Times New Roman" w:eastAsia="Times New Roman" w:cs="Times New Roman"/>
                <w:spacing w:val="-13"/>
                <w:sz w:val="18"/>
                <w:szCs w:val="18"/>
              </w:rPr>
              <w:t xml:space="preserve"> </w:t>
            </w:r>
            <w:r>
              <w:rPr>
                <w:rFonts w:ascii="FangSong_GB2312" w:hAnsi="FangSong_GB2312" w:eastAsia="FangSong_GB2312" w:cs="FangSong_GB2312"/>
                <w:spacing w:val="-2"/>
                <w:sz w:val="18"/>
                <w:szCs w:val="18"/>
              </w:rPr>
              <w:t>、城镇区的建设项目应提高植被建设标</w:t>
            </w:r>
          </w:p>
          <w:p w14:paraId="59C10569">
            <w:pPr>
              <w:spacing w:before="24" w:line="214" w:lineRule="auto"/>
              <w:ind w:left="11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准，注重景观效果，配套建设灌溉、排水</w:t>
            </w:r>
          </w:p>
          <w:p w14:paraId="39EBF53F">
            <w:pPr>
              <w:spacing w:before="24" w:line="196" w:lineRule="auto"/>
              <w:ind w:left="101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和雨水利用设施。</w:t>
            </w:r>
          </w:p>
        </w:tc>
        <w:tc>
          <w:tcPr>
            <w:tcW w:w="2553" w:type="dxa"/>
            <w:vAlign w:val="top"/>
          </w:tcPr>
          <w:p w14:paraId="6A11438D">
            <w:pPr>
              <w:spacing w:before="267" w:line="216" w:lineRule="auto"/>
              <w:ind w:left="101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c>
          <w:tcPr>
            <w:tcW w:w="1109" w:type="dxa"/>
            <w:tcBorders>
              <w:right w:val="single" w:color="000000" w:sz="10" w:space="0"/>
            </w:tcBorders>
            <w:vAlign w:val="top"/>
          </w:tcPr>
          <w:p w14:paraId="41CFEDE7">
            <w:pPr>
              <w:spacing w:before="151" w:line="239" w:lineRule="auto"/>
              <w:ind w:left="388" w:right="177" w:hanging="1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符合规范</w:t>
            </w:r>
            <w:r>
              <w:rPr>
                <w:rFonts w:ascii="FangSong_GB2312" w:hAnsi="FangSong_GB2312" w:eastAsia="FangSong_GB2312" w:cs="FangSong_GB2312"/>
                <w:spacing w:val="-7"/>
                <w:sz w:val="18"/>
                <w:szCs w:val="18"/>
              </w:rPr>
              <w:t>要求</w:t>
            </w:r>
          </w:p>
        </w:tc>
      </w:tr>
      <w:tr w14:paraId="7FE57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1" w:type="dxa"/>
            <w:vMerge w:val="continue"/>
            <w:tcBorders>
              <w:top w:val="nil"/>
              <w:left w:val="single" w:color="000000" w:sz="10" w:space="0"/>
              <w:bottom w:val="nil"/>
            </w:tcBorders>
            <w:vAlign w:val="top"/>
          </w:tcPr>
          <w:p w14:paraId="32F55236">
            <w:pPr>
              <w:rPr>
                <w:rFonts w:ascii="Arial"/>
                <w:sz w:val="21"/>
              </w:rPr>
            </w:pPr>
          </w:p>
        </w:tc>
        <w:tc>
          <w:tcPr>
            <w:tcW w:w="782" w:type="dxa"/>
            <w:vMerge w:val="continue"/>
            <w:tcBorders>
              <w:top w:val="nil"/>
              <w:bottom w:val="nil"/>
            </w:tcBorders>
            <w:vAlign w:val="top"/>
          </w:tcPr>
          <w:p w14:paraId="797A5A78">
            <w:pPr>
              <w:rPr>
                <w:rFonts w:ascii="Arial"/>
                <w:sz w:val="21"/>
              </w:rPr>
            </w:pPr>
          </w:p>
        </w:tc>
        <w:tc>
          <w:tcPr>
            <w:tcW w:w="3460" w:type="dxa"/>
            <w:vAlign w:val="top"/>
          </w:tcPr>
          <w:p w14:paraId="72E1751A">
            <w:pPr>
              <w:spacing w:before="38" w:line="216" w:lineRule="auto"/>
              <w:ind w:left="106" w:right="54" w:firstLine="50"/>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3</w:t>
            </w:r>
            <w:r>
              <w:rPr>
                <w:rFonts w:ascii="Times New Roman" w:hAnsi="Times New Roman" w:eastAsia="Times New Roman" w:cs="Times New Roman"/>
                <w:spacing w:val="-17"/>
                <w:sz w:val="18"/>
                <w:szCs w:val="18"/>
              </w:rPr>
              <w:t xml:space="preserve"> </w:t>
            </w:r>
            <w:r>
              <w:rPr>
                <w:rFonts w:ascii="FangSong_GB2312" w:hAnsi="FangSong_GB2312" w:eastAsia="FangSong_GB2312" w:cs="FangSong_GB2312"/>
                <w:spacing w:val="-2"/>
                <w:sz w:val="18"/>
                <w:szCs w:val="18"/>
              </w:rPr>
              <w:t>、山丘区输电工程塔基应采用不等高基</w:t>
            </w:r>
            <w:r>
              <w:rPr>
                <w:rFonts w:ascii="FangSong_GB2312" w:hAnsi="FangSong_GB2312" w:eastAsia="FangSong_GB2312" w:cs="FangSong_GB2312"/>
                <w:spacing w:val="-7"/>
                <w:sz w:val="18"/>
                <w:szCs w:val="18"/>
              </w:rPr>
              <w:t>础。经过林区的应采用加高杆塔跨越方式。</w:t>
            </w:r>
          </w:p>
        </w:tc>
        <w:tc>
          <w:tcPr>
            <w:tcW w:w="2553" w:type="dxa"/>
            <w:vAlign w:val="top"/>
          </w:tcPr>
          <w:p w14:paraId="0F8872E3">
            <w:pPr>
              <w:spacing w:before="153" w:line="216" w:lineRule="auto"/>
              <w:ind w:left="101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c>
          <w:tcPr>
            <w:tcW w:w="1109" w:type="dxa"/>
            <w:tcBorders>
              <w:right w:val="single" w:color="000000" w:sz="10" w:space="0"/>
            </w:tcBorders>
            <w:vAlign w:val="top"/>
          </w:tcPr>
          <w:p w14:paraId="63147986">
            <w:pPr>
              <w:spacing w:before="38" w:line="216" w:lineRule="auto"/>
              <w:ind w:left="388" w:right="177" w:hanging="1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符合规范</w:t>
            </w:r>
            <w:r>
              <w:rPr>
                <w:rFonts w:ascii="FangSong_GB2312" w:hAnsi="FangSong_GB2312" w:eastAsia="FangSong_GB2312" w:cs="FangSong_GB2312"/>
                <w:spacing w:val="-7"/>
                <w:sz w:val="18"/>
                <w:szCs w:val="18"/>
              </w:rPr>
              <w:t>要求</w:t>
            </w:r>
          </w:p>
        </w:tc>
      </w:tr>
      <w:tr w14:paraId="098D1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81" w:type="dxa"/>
            <w:vMerge w:val="continue"/>
            <w:tcBorders>
              <w:top w:val="nil"/>
              <w:left w:val="single" w:color="000000" w:sz="10" w:space="0"/>
              <w:bottom w:val="nil"/>
            </w:tcBorders>
            <w:vAlign w:val="top"/>
          </w:tcPr>
          <w:p w14:paraId="1F12BEF9">
            <w:pPr>
              <w:rPr>
                <w:rFonts w:ascii="Arial"/>
                <w:sz w:val="21"/>
              </w:rPr>
            </w:pPr>
          </w:p>
        </w:tc>
        <w:tc>
          <w:tcPr>
            <w:tcW w:w="782" w:type="dxa"/>
            <w:vMerge w:val="continue"/>
            <w:tcBorders>
              <w:top w:val="nil"/>
              <w:bottom w:val="nil"/>
            </w:tcBorders>
            <w:vAlign w:val="top"/>
          </w:tcPr>
          <w:p w14:paraId="367DC422">
            <w:pPr>
              <w:rPr>
                <w:rFonts w:ascii="Arial"/>
                <w:sz w:val="21"/>
              </w:rPr>
            </w:pPr>
          </w:p>
        </w:tc>
        <w:tc>
          <w:tcPr>
            <w:tcW w:w="3460" w:type="dxa"/>
            <w:vAlign w:val="top"/>
          </w:tcPr>
          <w:p w14:paraId="636F8D97">
            <w:pPr>
              <w:spacing w:before="38" w:line="214" w:lineRule="auto"/>
              <w:ind w:left="101"/>
              <w:rPr>
                <w:rFonts w:ascii="FangSong_GB2312" w:hAnsi="FangSong_GB2312" w:eastAsia="FangSong_GB2312" w:cs="FangSong_GB2312"/>
                <w:sz w:val="18"/>
                <w:szCs w:val="18"/>
              </w:rPr>
            </w:pPr>
            <w:r>
              <w:rPr>
                <w:rFonts w:ascii="Times New Roman" w:hAnsi="Times New Roman" w:eastAsia="Times New Roman" w:cs="Times New Roman"/>
                <w:spacing w:val="-5"/>
                <w:sz w:val="18"/>
                <w:szCs w:val="18"/>
              </w:rPr>
              <w:t>4</w:t>
            </w:r>
            <w:r>
              <w:rPr>
                <w:rFonts w:ascii="FangSong_GB2312" w:hAnsi="FangSong_GB2312" w:eastAsia="FangSong_GB2312" w:cs="FangSong_GB2312"/>
                <w:spacing w:val="-5"/>
                <w:sz w:val="18"/>
                <w:szCs w:val="18"/>
              </w:rPr>
              <w:t>、无法避让水土流失重点预防区和重点治</w:t>
            </w:r>
          </w:p>
          <w:p w14:paraId="58712432">
            <w:pPr>
              <w:spacing w:before="24" w:line="193" w:lineRule="auto"/>
              <w:ind w:left="47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理区的项目，应符合以下规定：</w:t>
            </w:r>
          </w:p>
        </w:tc>
        <w:tc>
          <w:tcPr>
            <w:tcW w:w="2553" w:type="dxa"/>
            <w:vAlign w:val="top"/>
          </w:tcPr>
          <w:p w14:paraId="20102CDC">
            <w:pPr>
              <w:spacing w:before="38" w:line="216" w:lineRule="auto"/>
              <w:ind w:left="122" w:right="98" w:hanging="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本项目位于嘉陵江及沱江中下</w:t>
            </w:r>
            <w:r>
              <w:rPr>
                <w:rFonts w:ascii="FangSong_GB2312" w:hAnsi="FangSong_GB2312" w:eastAsia="FangSong_GB2312" w:cs="FangSong_GB2312"/>
                <w:spacing w:val="-2"/>
                <w:sz w:val="18"/>
                <w:szCs w:val="18"/>
              </w:rPr>
              <w:t>游国家级水土流失重点治理区</w:t>
            </w:r>
          </w:p>
        </w:tc>
        <w:tc>
          <w:tcPr>
            <w:tcW w:w="1109" w:type="dxa"/>
            <w:tcBorders>
              <w:right w:val="single" w:color="000000" w:sz="10" w:space="0"/>
            </w:tcBorders>
            <w:vAlign w:val="top"/>
          </w:tcPr>
          <w:p w14:paraId="0F8CC4AC">
            <w:pPr>
              <w:spacing w:before="38" w:line="216" w:lineRule="auto"/>
              <w:ind w:left="388" w:right="177" w:hanging="1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符合规范</w:t>
            </w:r>
            <w:r>
              <w:rPr>
                <w:rFonts w:ascii="FangSong_GB2312" w:hAnsi="FangSong_GB2312" w:eastAsia="FangSong_GB2312" w:cs="FangSong_GB2312"/>
                <w:spacing w:val="-7"/>
                <w:sz w:val="18"/>
                <w:szCs w:val="18"/>
              </w:rPr>
              <w:t>要求</w:t>
            </w:r>
          </w:p>
        </w:tc>
      </w:tr>
      <w:tr w14:paraId="4892E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981" w:type="dxa"/>
            <w:vMerge w:val="continue"/>
            <w:tcBorders>
              <w:top w:val="nil"/>
              <w:left w:val="single" w:color="000000" w:sz="10" w:space="0"/>
              <w:bottom w:val="nil"/>
            </w:tcBorders>
            <w:vAlign w:val="top"/>
          </w:tcPr>
          <w:p w14:paraId="5102E7F5">
            <w:pPr>
              <w:rPr>
                <w:rFonts w:ascii="Arial"/>
                <w:sz w:val="21"/>
              </w:rPr>
            </w:pPr>
          </w:p>
        </w:tc>
        <w:tc>
          <w:tcPr>
            <w:tcW w:w="782" w:type="dxa"/>
            <w:vMerge w:val="continue"/>
            <w:tcBorders>
              <w:top w:val="nil"/>
              <w:bottom w:val="nil"/>
            </w:tcBorders>
            <w:vAlign w:val="top"/>
          </w:tcPr>
          <w:p w14:paraId="3C2ABF21">
            <w:pPr>
              <w:rPr>
                <w:rFonts w:ascii="Arial"/>
                <w:sz w:val="21"/>
              </w:rPr>
            </w:pPr>
          </w:p>
        </w:tc>
        <w:tc>
          <w:tcPr>
            <w:tcW w:w="3460" w:type="dxa"/>
            <w:vAlign w:val="top"/>
          </w:tcPr>
          <w:p w14:paraId="5B28133A">
            <w:pPr>
              <w:pStyle w:val="7"/>
              <w:spacing w:before="41" w:line="214" w:lineRule="auto"/>
              <w:ind w:right="12"/>
              <w:jc w:val="right"/>
              <w:rPr>
                <w:rFonts w:ascii="FangSong_GB2312" w:hAnsi="FangSong_GB2312" w:eastAsia="FangSong_GB2312" w:cs="FangSong_GB2312"/>
                <w:sz w:val="18"/>
                <w:szCs w:val="18"/>
              </w:rPr>
            </w:pPr>
            <w:r>
              <w:rPr>
                <w:spacing w:val="-5"/>
                <w:sz w:val="18"/>
                <w:szCs w:val="18"/>
              </w:rPr>
              <w:t>①</w:t>
            </w:r>
            <w:r>
              <w:rPr>
                <w:rFonts w:ascii="FangSong_GB2312" w:hAnsi="FangSong_GB2312" w:eastAsia="FangSong_GB2312" w:cs="FangSong_GB2312"/>
                <w:spacing w:val="-5"/>
                <w:sz w:val="18"/>
                <w:szCs w:val="18"/>
              </w:rPr>
              <w:t>应优化方案，减少工程占地和土石方量；</w:t>
            </w:r>
          </w:p>
          <w:p w14:paraId="469B179A">
            <w:pPr>
              <w:spacing w:before="24" w:line="214" w:lineRule="auto"/>
              <w:ind w:left="13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公路、铁路等项目填高大于</w:t>
            </w:r>
            <w:r>
              <w:rPr>
                <w:rFonts w:ascii="FangSong_GB2312" w:hAnsi="FangSong_GB2312" w:eastAsia="FangSong_GB2312" w:cs="FangSong_GB2312"/>
                <w:spacing w:val="-32"/>
                <w:sz w:val="18"/>
                <w:szCs w:val="18"/>
              </w:rPr>
              <w:t xml:space="preserve"> </w:t>
            </w:r>
            <w:r>
              <w:rPr>
                <w:rFonts w:ascii="Times New Roman" w:hAnsi="Times New Roman" w:eastAsia="Times New Roman" w:cs="Times New Roman"/>
                <w:spacing w:val="-2"/>
                <w:sz w:val="18"/>
                <w:szCs w:val="18"/>
              </w:rPr>
              <w:t>8m</w:t>
            </w:r>
            <w:r>
              <w:rPr>
                <w:rFonts w:ascii="Times New Roman" w:hAnsi="Times New Roman" w:eastAsia="Times New Roman" w:cs="Times New Roman"/>
                <w:spacing w:val="14"/>
                <w:w w:val="101"/>
                <w:sz w:val="18"/>
                <w:szCs w:val="18"/>
              </w:rPr>
              <w:t xml:space="preserve"> </w:t>
            </w:r>
            <w:r>
              <w:rPr>
                <w:rFonts w:ascii="FangSong_GB2312" w:hAnsi="FangSong_GB2312" w:eastAsia="FangSong_GB2312" w:cs="FangSong_GB2312"/>
                <w:spacing w:val="-2"/>
                <w:sz w:val="18"/>
                <w:szCs w:val="18"/>
              </w:rPr>
              <w:t>宜采用桥</w:t>
            </w:r>
          </w:p>
          <w:p w14:paraId="7F1F238A">
            <w:pPr>
              <w:spacing w:before="24" w:line="214" w:lineRule="auto"/>
              <w:ind w:left="11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梁方案，管道工程穿越宜采用隧道、定向</w:t>
            </w:r>
          </w:p>
          <w:p w14:paraId="331AE052">
            <w:pPr>
              <w:spacing w:before="26" w:line="214"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钻、顶管等方式；山丘区工业场地宜采用</w:t>
            </w:r>
          </w:p>
          <w:p w14:paraId="093C045A">
            <w:pPr>
              <w:spacing w:before="24" w:line="186" w:lineRule="auto"/>
              <w:ind w:left="1301"/>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阶梯式布置</w:t>
            </w:r>
          </w:p>
        </w:tc>
        <w:tc>
          <w:tcPr>
            <w:tcW w:w="2553" w:type="dxa"/>
            <w:vAlign w:val="top"/>
          </w:tcPr>
          <w:p w14:paraId="50EB1F36">
            <w:pPr>
              <w:spacing w:line="445" w:lineRule="auto"/>
              <w:rPr>
                <w:rFonts w:ascii="Arial"/>
                <w:sz w:val="21"/>
              </w:rPr>
            </w:pPr>
          </w:p>
          <w:p w14:paraId="255D0E6F">
            <w:pPr>
              <w:spacing w:before="59" w:line="216" w:lineRule="auto"/>
              <w:ind w:left="101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不涉及</w:t>
            </w:r>
          </w:p>
        </w:tc>
        <w:tc>
          <w:tcPr>
            <w:tcW w:w="1109" w:type="dxa"/>
            <w:tcBorders>
              <w:right w:val="single" w:color="000000" w:sz="10" w:space="0"/>
            </w:tcBorders>
            <w:vAlign w:val="top"/>
          </w:tcPr>
          <w:p w14:paraId="0D317B1C">
            <w:pPr>
              <w:rPr>
                <w:rFonts w:ascii="Arial"/>
                <w:sz w:val="21"/>
              </w:rPr>
            </w:pPr>
          </w:p>
        </w:tc>
      </w:tr>
      <w:tr w14:paraId="06266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981" w:type="dxa"/>
            <w:vMerge w:val="continue"/>
            <w:tcBorders>
              <w:top w:val="nil"/>
              <w:left w:val="single" w:color="000000" w:sz="10" w:space="0"/>
              <w:bottom w:val="nil"/>
            </w:tcBorders>
            <w:vAlign w:val="top"/>
          </w:tcPr>
          <w:p w14:paraId="42C72E83">
            <w:pPr>
              <w:rPr>
                <w:rFonts w:ascii="Arial"/>
                <w:sz w:val="21"/>
              </w:rPr>
            </w:pPr>
          </w:p>
        </w:tc>
        <w:tc>
          <w:tcPr>
            <w:tcW w:w="782" w:type="dxa"/>
            <w:vMerge w:val="continue"/>
            <w:tcBorders>
              <w:top w:val="nil"/>
              <w:bottom w:val="nil"/>
            </w:tcBorders>
            <w:vAlign w:val="top"/>
          </w:tcPr>
          <w:p w14:paraId="3A28064E">
            <w:pPr>
              <w:rPr>
                <w:rFonts w:ascii="Arial"/>
                <w:sz w:val="21"/>
              </w:rPr>
            </w:pPr>
          </w:p>
        </w:tc>
        <w:tc>
          <w:tcPr>
            <w:tcW w:w="3460" w:type="dxa"/>
            <w:vAlign w:val="top"/>
          </w:tcPr>
          <w:p w14:paraId="6A7DA3B5">
            <w:pPr>
              <w:pStyle w:val="7"/>
              <w:spacing w:before="280" w:line="214" w:lineRule="auto"/>
              <w:ind w:left="111"/>
              <w:rPr>
                <w:rFonts w:ascii="FangSong_GB2312" w:hAnsi="FangSong_GB2312" w:eastAsia="FangSong_GB2312" w:cs="FangSong_GB2312"/>
                <w:sz w:val="18"/>
                <w:szCs w:val="18"/>
              </w:rPr>
            </w:pPr>
            <w:r>
              <w:rPr>
                <w:spacing w:val="-1"/>
                <w:sz w:val="18"/>
                <w:szCs w:val="18"/>
              </w:rPr>
              <w:t>②</w:t>
            </w:r>
            <w:r>
              <w:rPr>
                <w:rFonts w:ascii="FangSong_GB2312" w:hAnsi="FangSong_GB2312" w:eastAsia="FangSong_GB2312" w:cs="FangSong_GB2312"/>
                <w:spacing w:val="-1"/>
                <w:sz w:val="18"/>
                <w:szCs w:val="18"/>
              </w:rPr>
              <w:t>截排水工程、拦挡工程的工程等级和防</w:t>
            </w:r>
          </w:p>
          <w:p w14:paraId="5FF29E85">
            <w:pPr>
              <w:spacing w:before="24" w:line="214" w:lineRule="auto"/>
              <w:ind w:left="102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洪标准应提高一级</w:t>
            </w:r>
          </w:p>
        </w:tc>
        <w:tc>
          <w:tcPr>
            <w:tcW w:w="2553" w:type="dxa"/>
            <w:vAlign w:val="top"/>
          </w:tcPr>
          <w:p w14:paraId="5DF694A0">
            <w:pPr>
              <w:spacing w:before="48" w:line="215" w:lineRule="auto"/>
              <w:ind w:left="11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本项目排水工程和防洪标准提</w:t>
            </w:r>
          </w:p>
          <w:p w14:paraId="648A3898">
            <w:pPr>
              <w:spacing w:before="22" w:line="214" w:lineRule="auto"/>
              <w:ind w:left="12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高一级。排水沟等级由</w:t>
            </w:r>
            <w:r>
              <w:rPr>
                <w:rFonts w:ascii="FangSong_GB2312" w:hAnsi="FangSong_GB2312" w:eastAsia="FangSong_GB2312" w:cs="FangSong_GB2312"/>
                <w:spacing w:val="-36"/>
                <w:sz w:val="18"/>
                <w:szCs w:val="18"/>
              </w:rPr>
              <w:t xml:space="preserve"> </w:t>
            </w:r>
            <w:r>
              <w:rPr>
                <w:rFonts w:ascii="Times New Roman" w:hAnsi="Times New Roman" w:eastAsia="Times New Roman" w:cs="Times New Roman"/>
                <w:spacing w:val="-3"/>
                <w:sz w:val="18"/>
                <w:szCs w:val="18"/>
              </w:rPr>
              <w:t>3</w:t>
            </w:r>
            <w:r>
              <w:rPr>
                <w:rFonts w:ascii="Times New Roman" w:hAnsi="Times New Roman" w:eastAsia="Times New Roman" w:cs="Times New Roman"/>
                <w:spacing w:val="14"/>
                <w:sz w:val="18"/>
                <w:szCs w:val="18"/>
              </w:rPr>
              <w:t xml:space="preserve"> </w:t>
            </w:r>
            <w:r>
              <w:rPr>
                <w:rFonts w:ascii="FangSong_GB2312" w:hAnsi="FangSong_GB2312" w:eastAsia="FangSong_GB2312" w:cs="FangSong_GB2312"/>
                <w:spacing w:val="-3"/>
                <w:sz w:val="18"/>
                <w:szCs w:val="18"/>
              </w:rPr>
              <w:t>级提</w:t>
            </w:r>
          </w:p>
          <w:p w14:paraId="1C6306E3">
            <w:pPr>
              <w:spacing w:before="24" w:line="214" w:lineRule="auto"/>
              <w:ind w:left="12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高到</w:t>
            </w:r>
            <w:r>
              <w:rPr>
                <w:rFonts w:ascii="Times New Roman" w:hAnsi="Times New Roman" w:eastAsia="Times New Roman" w:cs="Times New Roman"/>
                <w:spacing w:val="1"/>
                <w:sz w:val="18"/>
                <w:szCs w:val="18"/>
              </w:rPr>
              <w:t>2</w:t>
            </w:r>
            <w:r>
              <w:rPr>
                <w:rFonts w:ascii="Times New Roman" w:hAnsi="Times New Roman" w:eastAsia="Times New Roman" w:cs="Times New Roman"/>
                <w:spacing w:val="16"/>
                <w:sz w:val="18"/>
                <w:szCs w:val="18"/>
              </w:rPr>
              <w:t xml:space="preserve"> </w:t>
            </w:r>
            <w:r>
              <w:rPr>
                <w:rFonts w:ascii="FangSong_GB2312" w:hAnsi="FangSong_GB2312" w:eastAsia="FangSong_GB2312" w:cs="FangSong_GB2312"/>
                <w:spacing w:val="1"/>
                <w:sz w:val="18"/>
                <w:szCs w:val="18"/>
              </w:rPr>
              <w:t>级；排水工程防洪标准</w:t>
            </w:r>
          </w:p>
          <w:p w14:paraId="018893BF">
            <w:pPr>
              <w:spacing w:before="24" w:line="183" w:lineRule="auto"/>
              <w:ind w:left="29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采用</w:t>
            </w:r>
            <w:r>
              <w:rPr>
                <w:rFonts w:ascii="FangSong_GB2312" w:hAnsi="FangSong_GB2312" w:eastAsia="FangSong_GB2312" w:cs="FangSong_GB2312"/>
                <w:spacing w:val="-30"/>
                <w:sz w:val="18"/>
                <w:szCs w:val="18"/>
              </w:rPr>
              <w:t xml:space="preserve"> </w:t>
            </w:r>
            <w:r>
              <w:rPr>
                <w:rFonts w:ascii="Times New Roman" w:hAnsi="Times New Roman" w:eastAsia="Times New Roman" w:cs="Times New Roman"/>
                <w:spacing w:val="-2"/>
                <w:sz w:val="18"/>
                <w:szCs w:val="18"/>
              </w:rPr>
              <w:t xml:space="preserve">5 </w:t>
            </w:r>
            <w:r>
              <w:rPr>
                <w:rFonts w:ascii="FangSong_GB2312" w:hAnsi="FangSong_GB2312" w:eastAsia="FangSong_GB2312" w:cs="FangSong_GB2312"/>
                <w:spacing w:val="-2"/>
                <w:sz w:val="18"/>
                <w:szCs w:val="18"/>
              </w:rPr>
              <w:t>年一遇短历时暴雨</w:t>
            </w:r>
          </w:p>
        </w:tc>
        <w:tc>
          <w:tcPr>
            <w:tcW w:w="1109" w:type="dxa"/>
            <w:tcBorders>
              <w:right w:val="single" w:color="000000" w:sz="10" w:space="0"/>
            </w:tcBorders>
            <w:vAlign w:val="top"/>
          </w:tcPr>
          <w:p w14:paraId="4F52A9E4">
            <w:pPr>
              <w:rPr>
                <w:rFonts w:ascii="Arial"/>
                <w:sz w:val="21"/>
              </w:rPr>
            </w:pPr>
          </w:p>
        </w:tc>
      </w:tr>
      <w:tr w14:paraId="576F2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81" w:type="dxa"/>
            <w:vMerge w:val="continue"/>
            <w:tcBorders>
              <w:top w:val="nil"/>
              <w:left w:val="single" w:color="000000" w:sz="10" w:space="0"/>
              <w:bottom w:val="single" w:color="000000" w:sz="10" w:space="0"/>
            </w:tcBorders>
            <w:vAlign w:val="top"/>
          </w:tcPr>
          <w:p w14:paraId="289244A3">
            <w:pPr>
              <w:rPr>
                <w:rFonts w:ascii="Arial"/>
                <w:sz w:val="21"/>
              </w:rPr>
            </w:pPr>
          </w:p>
        </w:tc>
        <w:tc>
          <w:tcPr>
            <w:tcW w:w="782" w:type="dxa"/>
            <w:vMerge w:val="continue"/>
            <w:tcBorders>
              <w:top w:val="nil"/>
              <w:bottom w:val="single" w:color="000000" w:sz="10" w:space="0"/>
            </w:tcBorders>
            <w:vAlign w:val="top"/>
          </w:tcPr>
          <w:p w14:paraId="3ECB7F0E">
            <w:pPr>
              <w:rPr>
                <w:rFonts w:ascii="Arial"/>
                <w:sz w:val="21"/>
              </w:rPr>
            </w:pPr>
          </w:p>
        </w:tc>
        <w:tc>
          <w:tcPr>
            <w:tcW w:w="3460" w:type="dxa"/>
            <w:tcBorders>
              <w:bottom w:val="single" w:color="000000" w:sz="10" w:space="0"/>
            </w:tcBorders>
            <w:vAlign w:val="top"/>
          </w:tcPr>
          <w:p w14:paraId="09D5DD5F">
            <w:pPr>
              <w:pStyle w:val="7"/>
              <w:spacing w:before="132" w:line="214" w:lineRule="auto"/>
              <w:ind w:left="560"/>
              <w:rPr>
                <w:rFonts w:ascii="FangSong_GB2312" w:hAnsi="FangSong_GB2312" w:eastAsia="FangSong_GB2312" w:cs="FangSong_GB2312"/>
                <w:sz w:val="18"/>
                <w:szCs w:val="18"/>
              </w:rPr>
            </w:pPr>
            <w:r>
              <w:rPr>
                <w:spacing w:val="-1"/>
                <w:sz w:val="18"/>
                <w:szCs w:val="18"/>
              </w:rPr>
              <w:t>③</w:t>
            </w:r>
            <w:r>
              <w:rPr>
                <w:rFonts w:ascii="FangSong_GB2312" w:hAnsi="FangSong_GB2312" w:eastAsia="FangSong_GB2312" w:cs="FangSong_GB2312"/>
                <w:spacing w:val="-1"/>
                <w:sz w:val="18"/>
                <w:szCs w:val="18"/>
              </w:rPr>
              <w:t>宜布设雨洪集蓄、沉砂设施</w:t>
            </w:r>
          </w:p>
        </w:tc>
        <w:tc>
          <w:tcPr>
            <w:tcW w:w="2553" w:type="dxa"/>
            <w:tcBorders>
              <w:bottom w:val="single" w:color="000000" w:sz="10" w:space="0"/>
            </w:tcBorders>
            <w:vAlign w:val="top"/>
          </w:tcPr>
          <w:p w14:paraId="65499CE7">
            <w:pPr>
              <w:spacing w:before="132" w:line="215" w:lineRule="auto"/>
              <w:ind w:left="38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本项目布设有排水设施</w:t>
            </w:r>
          </w:p>
        </w:tc>
        <w:tc>
          <w:tcPr>
            <w:tcW w:w="1109" w:type="dxa"/>
            <w:tcBorders>
              <w:bottom w:val="single" w:color="000000" w:sz="10" w:space="0"/>
              <w:right w:val="single" w:color="000000" w:sz="10" w:space="0"/>
            </w:tcBorders>
            <w:vAlign w:val="top"/>
          </w:tcPr>
          <w:p w14:paraId="0012B866">
            <w:pPr>
              <w:rPr>
                <w:rFonts w:ascii="Arial"/>
                <w:sz w:val="21"/>
              </w:rPr>
            </w:pPr>
          </w:p>
        </w:tc>
      </w:tr>
    </w:tbl>
    <w:p w14:paraId="4B1C4473">
      <w:pPr>
        <w:spacing w:before="36" w:line="214" w:lineRule="auto"/>
        <w:ind w:left="51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从水土保持角度分析，本项目建设方案较为合理，符合水土保持要求。</w:t>
      </w:r>
    </w:p>
    <w:p w14:paraId="14BCB674">
      <w:pPr>
        <w:spacing w:before="193" w:line="218" w:lineRule="auto"/>
        <w:ind w:left="21"/>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3.2.2  </w:t>
      </w:r>
      <w:r>
        <w:rPr>
          <w:rFonts w:ascii="FangSong_GB2312" w:hAnsi="FangSong_GB2312" w:eastAsia="FangSong_GB2312" w:cs="FangSong_GB2312"/>
          <w:b/>
          <w:bCs/>
          <w:spacing w:val="-2"/>
          <w:sz w:val="28"/>
          <w:szCs w:val="28"/>
        </w:rPr>
        <w:t>工程占地评价</w:t>
      </w:r>
    </w:p>
    <w:p w14:paraId="141D17D9">
      <w:pPr>
        <w:spacing w:before="209" w:line="359" w:lineRule="auto"/>
        <w:ind w:left="25" w:right="16" w:firstLine="480"/>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本项目总占地面积为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2"/>
          <w:sz w:val="24"/>
          <w:szCs w:val="24"/>
        </w:rPr>
        <w:t>），</w:t>
      </w:r>
      <w:r>
        <w:rPr>
          <w:rFonts w:ascii="FangSong_GB2312" w:hAnsi="FangSong_GB2312" w:eastAsia="FangSong_GB2312" w:cs="FangSong_GB2312"/>
          <w:spacing w:val="-2"/>
          <w:sz w:val="24"/>
          <w:szCs w:val="24"/>
        </w:rPr>
        <w:t>均为永久占地。其中建构筑物工程区</w:t>
      </w:r>
      <w:r>
        <w:rPr>
          <w:rFonts w:ascii="Times New Roman" w:hAnsi="Times New Roman" w:eastAsia="Times New Roman" w:cs="Times New Roman"/>
          <w:spacing w:val="-3"/>
          <w:sz w:val="24"/>
          <w:szCs w:val="24"/>
        </w:rPr>
        <w:t>0.03hm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，硬化工程区</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，绿化工程区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7"/>
          <w:sz w:val="15"/>
          <w:szCs w:val="15"/>
        </w:rPr>
        <w:t xml:space="preserve">2 </w:t>
      </w:r>
      <w:r>
        <w:rPr>
          <w:rFonts w:ascii="FangSong_GB2312" w:hAnsi="FangSong_GB2312" w:eastAsia="FangSong_GB2312" w:cs="FangSong_GB2312"/>
          <w:spacing w:val="-3"/>
          <w:sz w:val="24"/>
          <w:szCs w:val="24"/>
        </w:rPr>
        <w:t>，占地类型为林地、其他土地。</w:t>
      </w:r>
    </w:p>
    <w:p w14:paraId="35CF4B46">
      <w:pPr>
        <w:spacing w:before="1" w:line="213" w:lineRule="auto"/>
        <w:ind w:left="25"/>
        <w:rPr>
          <w:rFonts w:ascii="FangSong_GB2312" w:hAnsi="FangSong_GB2312" w:eastAsia="FangSong_GB2312" w:cs="FangSong_GB2312"/>
          <w:sz w:val="24"/>
          <w:szCs w:val="24"/>
        </w:rPr>
      </w:pPr>
      <w:r>
        <w:rPr>
          <w:rFonts w:ascii="FangSong_GB2312" w:hAnsi="FangSong_GB2312" w:eastAsia="FangSong_GB2312" w:cs="FangSong_GB2312"/>
          <w:sz w:val="24"/>
          <w:szCs w:val="24"/>
        </w:rPr>
        <w:t>各区域规划布置合理，充分利用土地，能够</w:t>
      </w:r>
      <w:r>
        <w:rPr>
          <w:rFonts w:ascii="FangSong_GB2312" w:hAnsi="FangSong_GB2312" w:eastAsia="FangSong_GB2312" w:cs="FangSong_GB2312"/>
          <w:spacing w:val="-1"/>
          <w:sz w:val="24"/>
          <w:szCs w:val="24"/>
        </w:rPr>
        <w:t>减少地表面积的扰动。</w:t>
      </w:r>
    </w:p>
    <w:p w14:paraId="1DB618DD">
      <w:pPr>
        <w:spacing w:before="192" w:line="359" w:lineRule="auto"/>
        <w:ind w:left="26" w:right="16"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施工作业较为简单，施工生产利用红线范围内现</w:t>
      </w:r>
      <w:r>
        <w:rPr>
          <w:rFonts w:ascii="FangSong_GB2312" w:hAnsi="FangSong_GB2312" w:eastAsia="FangSong_GB2312" w:cs="FangSong_GB2312"/>
          <w:spacing w:val="-1"/>
          <w:sz w:val="24"/>
          <w:szCs w:val="24"/>
        </w:rPr>
        <w:t>有场地灵活安排施工作业，不再</w:t>
      </w:r>
      <w:r>
        <w:rPr>
          <w:rFonts w:ascii="FangSong_GB2312" w:hAnsi="FangSong_GB2312" w:eastAsia="FangSong_GB2312" w:cs="FangSong_GB2312"/>
          <w:sz w:val="24"/>
          <w:szCs w:val="24"/>
        </w:rPr>
        <w:t>单独布设施工生产区；另外本项目附近居民分布比较密</w:t>
      </w:r>
      <w:r>
        <w:rPr>
          <w:rFonts w:ascii="FangSong_GB2312" w:hAnsi="FangSong_GB2312" w:eastAsia="FangSong_GB2312" w:cs="FangSong_GB2312"/>
          <w:spacing w:val="-1"/>
          <w:sz w:val="24"/>
          <w:szCs w:val="24"/>
        </w:rPr>
        <w:t>集，因此施工办公室及住宿采</w:t>
      </w:r>
      <w:r>
        <w:rPr>
          <w:rFonts w:ascii="FangSong_GB2312" w:hAnsi="FangSong_GB2312" w:eastAsia="FangSong_GB2312" w:cs="FangSong_GB2312"/>
          <w:sz w:val="24"/>
          <w:szCs w:val="24"/>
        </w:rPr>
        <w:t>用就近租房，不再单独布设施工生活区；项目剥离表土</w:t>
      </w:r>
      <w:r>
        <w:rPr>
          <w:rFonts w:ascii="FangSong_GB2312" w:hAnsi="FangSong_GB2312" w:eastAsia="FangSong_GB2312" w:cs="FangSong_GB2312"/>
          <w:spacing w:val="-1"/>
          <w:sz w:val="24"/>
          <w:szCs w:val="24"/>
        </w:rPr>
        <w:t>较少，表土剥离后已及时回覆</w:t>
      </w:r>
      <w:r>
        <w:rPr>
          <w:rFonts w:ascii="FangSong_GB2312" w:hAnsi="FangSong_GB2312" w:eastAsia="FangSong_GB2312" w:cs="FangSong_GB2312"/>
          <w:sz w:val="24"/>
          <w:szCs w:val="24"/>
        </w:rPr>
        <w:t>在绿化工程内并进行绿化，临时堆土占地为本项目红线</w:t>
      </w:r>
      <w:r>
        <w:rPr>
          <w:rFonts w:ascii="FangSong_GB2312" w:hAnsi="FangSong_GB2312" w:eastAsia="FangSong_GB2312" w:cs="FangSong_GB2312"/>
          <w:spacing w:val="-1"/>
          <w:sz w:val="24"/>
          <w:szCs w:val="24"/>
        </w:rPr>
        <w:t>内占地，不新增临时用地，未设置独立的临时堆土场。</w:t>
      </w:r>
    </w:p>
    <w:p w14:paraId="4AACA77D">
      <w:pPr>
        <w:spacing w:before="2" w:line="357" w:lineRule="auto"/>
        <w:ind w:left="37" w:right="16" w:firstLine="474"/>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从水土保持角度分析，主体工程占地数量、占地性质、占地类型和占地可恢复性</w:t>
      </w:r>
      <w:r>
        <w:rPr>
          <w:rFonts w:ascii="FangSong_GB2312" w:hAnsi="FangSong_GB2312" w:eastAsia="FangSong_GB2312" w:cs="FangSong_GB2312"/>
          <w:spacing w:val="-2"/>
          <w:sz w:val="24"/>
          <w:szCs w:val="24"/>
        </w:rPr>
        <w:t>等方面基本符合水土保持要求。</w:t>
      </w:r>
    </w:p>
    <w:p w14:paraId="3549BD3C">
      <w:pPr>
        <w:pStyle w:val="2"/>
        <w:spacing w:line="278" w:lineRule="auto"/>
      </w:pPr>
    </w:p>
    <w:p w14:paraId="30C78692">
      <w:pPr>
        <w:pStyle w:val="2"/>
        <w:spacing w:line="279" w:lineRule="auto"/>
      </w:pPr>
    </w:p>
    <w:p w14:paraId="437547EA">
      <w:pPr>
        <w:spacing w:before="66" w:line="229" w:lineRule="auto"/>
        <w:ind w:left="5401"/>
        <w:rPr>
          <w:rFonts w:ascii="FangSong_GB2312" w:hAnsi="FangSong_GB2312" w:eastAsia="FangSong_GB2312" w:cs="FangSong_GB2312"/>
          <w:sz w:val="20"/>
          <w:szCs w:val="20"/>
        </w:rPr>
      </w:pPr>
      <w:r>
        <w:pict>
          <v:shape id="_x0000_s1059" o:spid="_x0000_s1059" o:spt="202" type="#_x0000_t202" style="position:absolute;left:0pt;margin-left:217.45pt;margin-top:3.05pt;height:10.15pt;width:10.9pt;z-index:251727872;mso-width-relative:page;mso-height-relative:page;" filled="f" stroked="f" coordsize="21600,21600">
            <v:path/>
            <v:fill on="f" focussize="0,0"/>
            <v:stroke on="f"/>
            <v:imagedata o:title=""/>
            <o:lock v:ext="edit" aspectratio="f"/>
            <v:textbox inset="0mm,0mm,0mm,0mm">
              <w:txbxContent>
                <w:p w14:paraId="7D7ED7EB">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txbxContent>
            </v:textbox>
          </v:shape>
        </w:pict>
      </w:r>
      <w:r>
        <w:rPr>
          <w:rFonts w:ascii="FangSong_GB2312" w:hAnsi="FangSong_GB2312" w:eastAsia="FangSong_GB2312" w:cs="FangSong_GB2312"/>
          <w:spacing w:val="8"/>
          <w:sz w:val="20"/>
          <w:szCs w:val="20"/>
        </w:rPr>
        <w:t>剑阁县绿森林业勘察设计有限公司</w:t>
      </w:r>
    </w:p>
    <w:p w14:paraId="49FE1BB9">
      <w:pPr>
        <w:spacing w:line="229" w:lineRule="auto"/>
        <w:rPr>
          <w:rFonts w:ascii="FangSong_GB2312" w:hAnsi="FangSong_GB2312" w:eastAsia="FangSong_GB2312" w:cs="FangSong_GB2312"/>
          <w:sz w:val="20"/>
          <w:szCs w:val="20"/>
        </w:rPr>
        <w:sectPr>
          <w:headerReference r:id="rId45" w:type="default"/>
          <w:pgSz w:w="11906" w:h="16839"/>
          <w:pgMar w:top="1164" w:right="1497" w:bottom="400" w:left="1497" w:header="831" w:footer="0" w:gutter="0"/>
          <w:cols w:space="720" w:num="1"/>
        </w:sectPr>
      </w:pPr>
    </w:p>
    <w:p w14:paraId="3F864900">
      <w:pPr>
        <w:spacing w:before="203" w:line="216" w:lineRule="auto"/>
        <w:ind w:left="4"/>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3.2.3  </w:t>
      </w:r>
      <w:r>
        <w:rPr>
          <w:rFonts w:ascii="FangSong_GB2312" w:hAnsi="FangSong_GB2312" w:eastAsia="FangSong_GB2312" w:cs="FangSong_GB2312"/>
          <w:b/>
          <w:bCs/>
          <w:spacing w:val="-2"/>
          <w:sz w:val="28"/>
          <w:szCs w:val="28"/>
        </w:rPr>
        <w:t>土石方平衡评价</w:t>
      </w:r>
    </w:p>
    <w:p w14:paraId="1975F749">
      <w:pPr>
        <w:spacing w:before="211" w:line="359" w:lineRule="auto"/>
        <w:ind w:left="2" w:firstLine="489"/>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本项目挖方总量为</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1"/>
          <w:sz w:val="24"/>
          <w:szCs w:val="24"/>
        </w:rPr>
        <w:t>0.09</w:t>
      </w:r>
      <w:r>
        <w:rPr>
          <w:rFonts w:ascii="Times New Roman" w:hAnsi="Times New Roman" w:eastAsia="Times New Roman" w:cs="Times New Roman"/>
          <w:spacing w:val="27"/>
          <w:w w:val="101"/>
          <w:sz w:val="24"/>
          <w:szCs w:val="24"/>
        </w:rPr>
        <w:t xml:space="preserve"> </w:t>
      </w:r>
      <w:r>
        <w:rPr>
          <w:rFonts w:ascii="FangSong_GB2312" w:hAnsi="FangSong_GB2312" w:eastAsia="FangSong_GB2312" w:cs="FangSong_GB2312"/>
          <w:spacing w:val="-1"/>
          <w:sz w:val="24"/>
          <w:szCs w:val="24"/>
        </w:rPr>
        <w:t>万</w:t>
      </w:r>
      <w:r>
        <w:rPr>
          <w:rFonts w:ascii="FangSong_GB2312" w:hAnsi="FangSong_GB2312" w:eastAsia="FangSong_GB2312" w:cs="FangSong_GB2312"/>
          <w:spacing w:val="-54"/>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FangSong_GB2312" w:hAnsi="FangSong_GB2312" w:eastAsia="FangSong_GB2312" w:cs="FangSong_GB2312"/>
          <w:spacing w:val="-1"/>
          <w:sz w:val="24"/>
          <w:szCs w:val="24"/>
        </w:rPr>
        <w:t>（其中表土剥离</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0.01</w:t>
      </w:r>
      <w:r>
        <w:rPr>
          <w:rFonts w:ascii="Times New Roman" w:hAnsi="Times New Roman" w:eastAsia="Times New Roman" w:cs="Times New Roman"/>
          <w:spacing w:val="27"/>
          <w:w w:val="101"/>
          <w:sz w:val="24"/>
          <w:szCs w:val="24"/>
        </w:rPr>
        <w:t xml:space="preserve"> </w:t>
      </w:r>
      <w:r>
        <w:rPr>
          <w:rFonts w:ascii="FangSong_GB2312" w:hAnsi="FangSong_GB2312" w:eastAsia="FangSong_GB2312" w:cs="FangSong_GB2312"/>
          <w:spacing w:val="-1"/>
          <w:sz w:val="24"/>
          <w:szCs w:val="24"/>
        </w:rPr>
        <w:t>万</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FangSong_GB2312" w:hAnsi="FangSong_GB2312" w:eastAsia="FangSong_GB2312" w:cs="FangSong_GB2312"/>
          <w:spacing w:val="14"/>
          <w:sz w:val="24"/>
          <w:szCs w:val="24"/>
        </w:rPr>
        <w:t>），</w:t>
      </w:r>
      <w:r>
        <w:rPr>
          <w:rFonts w:ascii="FangSong_GB2312" w:hAnsi="FangSong_GB2312" w:eastAsia="FangSong_GB2312" w:cs="FangSong_GB2312"/>
          <w:spacing w:val="-1"/>
          <w:sz w:val="24"/>
          <w:szCs w:val="24"/>
        </w:rPr>
        <w:t>填方总量为</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1"/>
          <w:sz w:val="24"/>
          <w:szCs w:val="24"/>
        </w:rPr>
        <w:t>0.09</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1"/>
          <w:sz w:val="24"/>
          <w:szCs w:val="24"/>
        </w:rPr>
        <w:t>万</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FangSong_GB2312" w:hAnsi="FangSong_GB2312" w:eastAsia="FangSong_GB2312" w:cs="FangSong_GB2312"/>
          <w:spacing w:val="-1"/>
          <w:sz w:val="24"/>
          <w:szCs w:val="24"/>
        </w:rPr>
        <w:t>（其中表土回覆</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
          <w:sz w:val="24"/>
          <w:szCs w:val="24"/>
        </w:rPr>
        <w:t>0.01</w:t>
      </w:r>
      <w:r>
        <w:rPr>
          <w:rFonts w:ascii="Times New Roman" w:hAnsi="Times New Roman" w:eastAsia="Times New Roman" w:cs="Times New Roman"/>
          <w:spacing w:val="25"/>
          <w:w w:val="101"/>
          <w:sz w:val="24"/>
          <w:szCs w:val="24"/>
        </w:rPr>
        <w:t xml:space="preserve"> </w:t>
      </w:r>
      <w:r>
        <w:rPr>
          <w:rFonts w:ascii="FangSong_GB2312" w:hAnsi="FangSong_GB2312" w:eastAsia="FangSong_GB2312" w:cs="FangSong_GB2312"/>
          <w:spacing w:val="-1"/>
          <w:sz w:val="24"/>
          <w:szCs w:val="24"/>
        </w:rPr>
        <w:t>万</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FangSong_GB2312" w:hAnsi="FangSong_GB2312" w:eastAsia="FangSong_GB2312" w:cs="FangSong_GB2312"/>
          <w:spacing w:val="11"/>
          <w:sz w:val="24"/>
          <w:szCs w:val="24"/>
        </w:rPr>
        <w:t>），</w:t>
      </w:r>
      <w:r>
        <w:rPr>
          <w:rFonts w:ascii="FangSong_GB2312" w:hAnsi="FangSong_GB2312" w:eastAsia="FangSong_GB2312" w:cs="FangSong_GB2312"/>
          <w:spacing w:val="-1"/>
          <w:sz w:val="24"/>
          <w:szCs w:val="24"/>
        </w:rPr>
        <w:t>无借方，无余方。项</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1"/>
          <w:sz w:val="24"/>
          <w:szCs w:val="24"/>
        </w:rPr>
        <w:t>目区土石</w:t>
      </w:r>
      <w:r>
        <w:rPr>
          <w:rFonts w:ascii="FangSong_GB2312" w:hAnsi="FangSong_GB2312" w:eastAsia="FangSong_GB2312" w:cs="FangSong_GB2312"/>
          <w:spacing w:val="-2"/>
          <w:sz w:val="24"/>
          <w:szCs w:val="24"/>
        </w:rPr>
        <w:t>方回填主要来源于前</w:t>
      </w:r>
      <w:r>
        <w:rPr>
          <w:rFonts w:ascii="FangSong_GB2312" w:hAnsi="FangSong_GB2312" w:eastAsia="FangSong_GB2312" w:cs="FangSong_GB2312"/>
          <w:sz w:val="24"/>
          <w:szCs w:val="24"/>
        </w:rPr>
        <w:t>期表土剥离及基础开挖，尽量减少了土地扰动，符合水土保持</w:t>
      </w:r>
      <w:r>
        <w:rPr>
          <w:rFonts w:ascii="FangSong_GB2312" w:hAnsi="FangSong_GB2312" w:eastAsia="FangSong_GB2312" w:cs="FangSong_GB2312"/>
          <w:spacing w:val="-1"/>
          <w:sz w:val="24"/>
          <w:szCs w:val="24"/>
        </w:rPr>
        <w:t>要求。</w:t>
      </w:r>
    </w:p>
    <w:p w14:paraId="60EA2613">
      <w:pPr>
        <w:spacing w:before="2" w:line="215"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8"/>
          <w:sz w:val="24"/>
          <w:szCs w:val="24"/>
        </w:rPr>
        <w:t>、表土平衡评价</w:t>
      </w:r>
    </w:p>
    <w:p w14:paraId="267CE67F">
      <w:pPr>
        <w:spacing w:before="185"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）表土剥离的必要性及可行性</w:t>
      </w:r>
    </w:p>
    <w:p w14:paraId="6DFA7B46">
      <w:pPr>
        <w:spacing w:before="189" w:line="359" w:lineRule="auto"/>
        <w:ind w:left="9" w:firstLine="478"/>
        <w:rPr>
          <w:rFonts w:ascii="FangSong_GB2312" w:hAnsi="FangSong_GB2312" w:eastAsia="FangSong_GB2312" w:cs="FangSong_GB2312"/>
          <w:sz w:val="24"/>
          <w:szCs w:val="24"/>
        </w:rPr>
      </w:pPr>
      <w:r>
        <w:rPr>
          <w:rFonts w:ascii="FangSong_GB2312" w:hAnsi="FangSong_GB2312" w:eastAsia="FangSong_GB2312" w:cs="FangSong_GB2312"/>
          <w:sz w:val="24"/>
          <w:szCs w:val="24"/>
        </w:rPr>
        <w:t>表土剥离可有效保护地表熟土资源不流失、不浪费；剥</w:t>
      </w:r>
      <w:r>
        <w:rPr>
          <w:rFonts w:ascii="FangSong_GB2312" w:hAnsi="FangSong_GB2312" w:eastAsia="FangSong_GB2312" w:cs="FangSong_GB2312"/>
          <w:spacing w:val="-1"/>
          <w:sz w:val="24"/>
          <w:szCs w:val="24"/>
        </w:rPr>
        <w:t>离的表土可为后期植被生</w:t>
      </w:r>
      <w:r>
        <w:rPr>
          <w:rFonts w:ascii="FangSong_GB2312" w:hAnsi="FangSong_GB2312" w:eastAsia="FangSong_GB2312" w:cs="FangSong_GB2312"/>
          <w:sz w:val="24"/>
          <w:szCs w:val="24"/>
        </w:rPr>
        <w:t>长提供养分，减少外调土产生的额外资金投入；可减少</w:t>
      </w:r>
      <w:r>
        <w:rPr>
          <w:rFonts w:ascii="FangSong_GB2312" w:hAnsi="FangSong_GB2312" w:eastAsia="FangSong_GB2312" w:cs="FangSong_GB2312"/>
          <w:spacing w:val="-1"/>
          <w:sz w:val="24"/>
          <w:szCs w:val="24"/>
        </w:rPr>
        <w:t>外调土的熟化费用及时间。故进行表土剥离是非常有必要的。</w:t>
      </w:r>
    </w:p>
    <w:p w14:paraId="43F58919">
      <w:pPr>
        <w:spacing w:line="359" w:lineRule="auto"/>
        <w:ind w:left="15" w:firstLine="477"/>
        <w:rPr>
          <w:rFonts w:ascii="FangSong_GB2312" w:hAnsi="FangSong_GB2312" w:eastAsia="FangSong_GB2312" w:cs="FangSong_GB2312"/>
          <w:sz w:val="24"/>
          <w:szCs w:val="24"/>
        </w:rPr>
      </w:pPr>
      <w:r>
        <w:rPr>
          <w:rFonts w:ascii="FangSong_GB2312" w:hAnsi="FangSong_GB2312" w:eastAsia="FangSong_GB2312" w:cs="FangSong_GB2312"/>
          <w:sz w:val="24"/>
          <w:szCs w:val="24"/>
        </w:rPr>
        <w:t>项目区表土剥离难度较低，且剥离的表土直</w:t>
      </w:r>
      <w:r>
        <w:rPr>
          <w:rFonts w:ascii="FangSong_GB2312" w:hAnsi="FangSong_GB2312" w:eastAsia="FangSong_GB2312" w:cs="FangSong_GB2312"/>
          <w:spacing w:val="-1"/>
          <w:sz w:val="24"/>
          <w:szCs w:val="24"/>
        </w:rPr>
        <w:t>接用于后期植被恢复区域的表土回覆</w:t>
      </w:r>
      <w:r>
        <w:rPr>
          <w:rFonts w:ascii="FangSong_GB2312" w:hAnsi="FangSong_GB2312" w:eastAsia="FangSong_GB2312" w:cs="FangSong_GB2312"/>
          <w:spacing w:val="-2"/>
          <w:sz w:val="24"/>
          <w:szCs w:val="24"/>
        </w:rPr>
        <w:t>有诸多好处，故表土剥离可行。</w:t>
      </w:r>
    </w:p>
    <w:p w14:paraId="05007EFB">
      <w:pPr>
        <w:spacing w:before="1" w:line="215"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）可剥离表土量分析评价</w:t>
      </w:r>
    </w:p>
    <w:p w14:paraId="138E2AD8">
      <w:pPr>
        <w:spacing w:before="187" w:line="359" w:lineRule="auto"/>
        <w:ind w:left="12" w:firstLine="475"/>
        <w:rPr>
          <w:rFonts w:ascii="FangSong_GB2312" w:hAnsi="FangSong_GB2312" w:eastAsia="FangSong_GB2312" w:cs="FangSong_GB2312"/>
          <w:sz w:val="24"/>
          <w:szCs w:val="24"/>
        </w:rPr>
      </w:pPr>
      <w:r>
        <w:rPr>
          <w:rFonts w:ascii="FangSong_GB2312" w:hAnsi="FangSong_GB2312" w:eastAsia="FangSong_GB2312" w:cs="FangSong_GB2312"/>
          <w:sz w:val="24"/>
          <w:szCs w:val="24"/>
        </w:rPr>
        <w:t>表土剥离范围主要针对项目</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z w:val="24"/>
          <w:szCs w:val="24"/>
        </w:rPr>
        <w:t>占地中</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z w:val="24"/>
          <w:szCs w:val="24"/>
        </w:rPr>
        <w:t>0.03h</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rFonts w:ascii="FangSong_GB2312" w:hAnsi="FangSong_GB2312" w:eastAsia="FangSong_GB2312" w:cs="FangSong_GB2312"/>
          <w:spacing w:val="-1"/>
          <w:sz w:val="24"/>
          <w:szCs w:val="24"/>
        </w:rPr>
        <w:t>林地，剥离厚度为</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
          <w:sz w:val="24"/>
          <w:szCs w:val="24"/>
        </w:rPr>
        <w:t>0.20m</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1"/>
          <w:sz w:val="24"/>
          <w:szCs w:val="24"/>
        </w:rPr>
        <w:t>，可剥离表</w:t>
      </w:r>
      <w:r>
        <w:rPr>
          <w:rFonts w:ascii="FangSong_GB2312" w:hAnsi="FangSong_GB2312" w:eastAsia="FangSong_GB2312" w:cs="FangSong_GB2312"/>
          <w:spacing w:val="-5"/>
          <w:sz w:val="24"/>
          <w:szCs w:val="24"/>
        </w:rPr>
        <w:t>土量</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5"/>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5"/>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rFonts w:ascii="FangSong_GB2312" w:hAnsi="FangSong_GB2312" w:eastAsia="FangSong_GB2312" w:cs="FangSong_GB2312"/>
          <w:spacing w:val="-5"/>
          <w:sz w:val="24"/>
          <w:szCs w:val="24"/>
        </w:rPr>
        <w:t>。</w:t>
      </w:r>
    </w:p>
    <w:p w14:paraId="1AEB6C7D">
      <w:pPr>
        <w:spacing w:before="1" w:line="216"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w:t>
      </w:r>
      <w:r>
        <w:rPr>
          <w:rFonts w:ascii="FangSong_GB2312" w:hAnsi="FangSong_GB2312" w:eastAsia="FangSong_GB2312" w:cs="FangSong_GB2312"/>
          <w:spacing w:val="-1"/>
          <w:sz w:val="24"/>
          <w:szCs w:val="24"/>
        </w:rPr>
        <w:t>）表土防护及利用分析评价</w:t>
      </w:r>
    </w:p>
    <w:p w14:paraId="668E0585">
      <w:pPr>
        <w:spacing w:before="184" w:line="359" w:lineRule="auto"/>
        <w:ind w:left="7" w:firstLine="481"/>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本方案设计剥离量为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3"/>
          <w:sz w:val="24"/>
          <w:szCs w:val="24"/>
        </w:rPr>
        <w:t>，需覆土量</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FangSong_GB2312" w:hAnsi="FangSong_GB2312" w:eastAsia="FangSong_GB2312" w:cs="FangSong_GB2312"/>
          <w:spacing w:val="-3"/>
          <w:sz w:val="24"/>
          <w:szCs w:val="24"/>
        </w:rPr>
        <w:t>，剥离表土及时进行</w:t>
      </w:r>
      <w:r>
        <w:rPr>
          <w:rFonts w:ascii="FangSong_GB2312" w:hAnsi="FangSong_GB2312" w:eastAsia="FangSong_GB2312" w:cs="FangSong_GB2312"/>
          <w:spacing w:val="-4"/>
          <w:sz w:val="24"/>
          <w:szCs w:val="24"/>
        </w:rPr>
        <w:t>表土回</w:t>
      </w:r>
      <w:r>
        <w:rPr>
          <w:rFonts w:ascii="FangSong_GB2312" w:hAnsi="FangSong_GB2312" w:eastAsia="FangSong_GB2312" w:cs="FangSong_GB2312"/>
          <w:sz w:val="24"/>
          <w:szCs w:val="24"/>
        </w:rPr>
        <w:t>覆，并进行灌草绿化。前期剥离的表土满足</w:t>
      </w:r>
      <w:r>
        <w:rPr>
          <w:rFonts w:ascii="FangSong_GB2312" w:hAnsi="FangSong_GB2312" w:eastAsia="FangSong_GB2312" w:cs="FangSong_GB2312"/>
          <w:spacing w:val="-1"/>
          <w:sz w:val="24"/>
          <w:szCs w:val="24"/>
        </w:rPr>
        <w:t>本项目所需覆土量。</w:t>
      </w:r>
    </w:p>
    <w:p w14:paraId="375F4BAF">
      <w:pPr>
        <w:spacing w:before="2" w:line="359" w:lineRule="auto"/>
        <w:ind w:left="12" w:firstLine="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综上所述，本项目进行了表土剥离，且全部用于本项目绿化覆土，最大限度保护项目建设区的表土资源，满足水土保持相关要求。</w:t>
      </w:r>
    </w:p>
    <w:p w14:paraId="5CF40C84">
      <w:pPr>
        <w:spacing w:before="1" w:line="215"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4"/>
          <w:sz w:val="24"/>
          <w:szCs w:val="24"/>
        </w:rPr>
        <w:t>、土石方平衡评价</w:t>
      </w:r>
    </w:p>
    <w:p w14:paraId="7BF62A1A">
      <w:pPr>
        <w:spacing w:before="186" w:line="215"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）土石方平衡及调配</w:t>
      </w:r>
    </w:p>
    <w:p w14:paraId="3D35D91B">
      <w:pPr>
        <w:spacing w:before="188" w:line="359" w:lineRule="auto"/>
        <w:ind w:left="9" w:firstLine="480"/>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本项目采用明挖、暗挖相结合的施工方式，尽可能</w:t>
      </w:r>
      <w:r>
        <w:rPr>
          <w:rFonts w:ascii="FangSong_GB2312" w:hAnsi="FangSong_GB2312" w:eastAsia="FangSong_GB2312" w:cs="FangSong_GB2312"/>
          <w:spacing w:val="-1"/>
          <w:sz w:val="24"/>
          <w:szCs w:val="24"/>
        </w:rPr>
        <w:t>减少挖方量。通过合理安排施</w:t>
      </w:r>
      <w:r>
        <w:rPr>
          <w:rFonts w:ascii="FangSong_GB2312" w:hAnsi="FangSong_GB2312" w:eastAsia="FangSong_GB2312" w:cs="FangSong_GB2312"/>
          <w:sz w:val="24"/>
          <w:szCs w:val="24"/>
        </w:rPr>
        <w:t>工时序完善分区间的土方调运方案，避免了工程外弃土</w:t>
      </w:r>
      <w:r>
        <w:rPr>
          <w:rFonts w:ascii="FangSong_GB2312" w:hAnsi="FangSong_GB2312" w:eastAsia="FangSong_GB2312" w:cs="FangSong_GB2312"/>
          <w:spacing w:val="-1"/>
          <w:sz w:val="24"/>
          <w:szCs w:val="24"/>
        </w:rPr>
        <w:t>方量。土方开挖过程中，一次</w:t>
      </w:r>
      <w:r>
        <w:rPr>
          <w:rFonts w:ascii="FangSong_GB2312" w:hAnsi="FangSong_GB2312" w:eastAsia="FangSong_GB2312" w:cs="FangSong_GB2312"/>
          <w:sz w:val="24"/>
          <w:szCs w:val="24"/>
        </w:rPr>
        <w:t>性开挖到位，不重复开挖。采用挖掘机人工配合协同开</w:t>
      </w:r>
      <w:r>
        <w:rPr>
          <w:rFonts w:ascii="FangSong_GB2312" w:hAnsi="FangSong_GB2312" w:eastAsia="FangSong_GB2312" w:cs="FangSong_GB2312"/>
          <w:spacing w:val="-1"/>
          <w:sz w:val="24"/>
          <w:szCs w:val="24"/>
        </w:rPr>
        <w:t>挖。通过合理安排工序以缩短</w:t>
      </w:r>
      <w:r>
        <w:rPr>
          <w:rFonts w:ascii="FangSong_GB2312" w:hAnsi="FangSong_GB2312" w:eastAsia="FangSong_GB2312" w:cs="FangSong_GB2312"/>
          <w:sz w:val="24"/>
          <w:szCs w:val="24"/>
        </w:rPr>
        <w:t>工期，减少临时堆土量和时间，挖方及时用于项目区回</w:t>
      </w:r>
      <w:r>
        <w:rPr>
          <w:rFonts w:ascii="FangSong_GB2312" w:hAnsi="FangSong_GB2312" w:eastAsia="FangSong_GB2312" w:cs="FangSong_GB2312"/>
          <w:spacing w:val="-1"/>
          <w:sz w:val="24"/>
          <w:szCs w:val="24"/>
        </w:rPr>
        <w:t>填。土石方工程量较大的挖填</w:t>
      </w:r>
      <w:r>
        <w:rPr>
          <w:rFonts w:ascii="FangSong_GB2312" w:hAnsi="FangSong_GB2312" w:eastAsia="FangSong_GB2312" w:cs="FangSong_GB2312"/>
          <w:sz w:val="24"/>
          <w:szCs w:val="24"/>
        </w:rPr>
        <w:t>环节避开了雨季施工，减少扰动地表裸露时间，工程土</w:t>
      </w:r>
      <w:r>
        <w:rPr>
          <w:rFonts w:ascii="FangSong_GB2312" w:hAnsi="FangSong_GB2312" w:eastAsia="FangSong_GB2312" w:cs="FangSong_GB2312"/>
          <w:spacing w:val="-1"/>
          <w:sz w:val="24"/>
          <w:szCs w:val="24"/>
        </w:rPr>
        <w:t>石方调配考虑合理，挖填衔接得当，不存在重复开挖、多次倒运的情况。</w:t>
      </w:r>
    </w:p>
    <w:p w14:paraId="28DBB17E">
      <w:pPr>
        <w:spacing w:before="1" w:line="358" w:lineRule="auto"/>
        <w:ind w:left="12" w:firstLine="477"/>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本项目施工结束后及时进行绿化或硬化，在满足主</w:t>
      </w:r>
      <w:r>
        <w:rPr>
          <w:rFonts w:ascii="FangSong_GB2312" w:hAnsi="FangSong_GB2312" w:eastAsia="FangSong_GB2312" w:cs="FangSong_GB2312"/>
          <w:spacing w:val="-1"/>
          <w:sz w:val="24"/>
          <w:szCs w:val="24"/>
        </w:rPr>
        <w:t>体工程总体布局的前提下，合理、有序地利用和调配土石方资源，符合水土保持要求。</w:t>
      </w:r>
    </w:p>
    <w:p w14:paraId="1AC477C8">
      <w:pPr>
        <w:spacing w:before="2"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）土石方减量化、资源化</w:t>
      </w:r>
    </w:p>
    <w:p w14:paraId="0B8F2164">
      <w:pPr>
        <w:pStyle w:val="2"/>
        <w:spacing w:line="280" w:lineRule="auto"/>
      </w:pPr>
    </w:p>
    <w:p w14:paraId="522B086D">
      <w:pPr>
        <w:spacing w:before="66" w:line="229" w:lineRule="auto"/>
        <w:ind w:left="5384"/>
        <w:rPr>
          <w:rFonts w:ascii="FangSong_GB2312" w:hAnsi="FangSong_GB2312" w:eastAsia="FangSong_GB2312" w:cs="FangSong_GB2312"/>
          <w:sz w:val="20"/>
          <w:szCs w:val="20"/>
        </w:rPr>
      </w:pPr>
      <w:r>
        <w:pict>
          <v:shape id="_x0000_s1060" o:spid="_x0000_s1060" o:spt="202" type="#_x0000_t202" style="position:absolute;left:0pt;margin-left:216.6pt;margin-top:3.05pt;height:10.15pt;width:10.9pt;z-index:251728896;mso-width-relative:page;mso-height-relative:page;" filled="f" stroked="f" coordsize="21600,21600">
            <v:path/>
            <v:fill on="f" focussize="0,0"/>
            <v:stroke on="f"/>
            <v:imagedata o:title=""/>
            <o:lock v:ext="edit" aspectratio="f"/>
            <v:textbox inset="0mm,0mm,0mm,0mm">
              <w:txbxContent>
                <w:p w14:paraId="2D4256B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txbxContent>
            </v:textbox>
          </v:shape>
        </w:pict>
      </w:r>
      <w:r>
        <w:rPr>
          <w:rFonts w:ascii="FangSong_GB2312" w:hAnsi="FangSong_GB2312" w:eastAsia="FangSong_GB2312" w:cs="FangSong_GB2312"/>
          <w:spacing w:val="8"/>
          <w:sz w:val="20"/>
          <w:szCs w:val="20"/>
        </w:rPr>
        <w:t>剑阁县绿森林业勘察设计有限公司</w:t>
      </w:r>
    </w:p>
    <w:p w14:paraId="7969C2CE">
      <w:pPr>
        <w:spacing w:line="229" w:lineRule="auto"/>
        <w:rPr>
          <w:rFonts w:ascii="FangSong_GB2312" w:hAnsi="FangSong_GB2312" w:eastAsia="FangSong_GB2312" w:cs="FangSong_GB2312"/>
          <w:sz w:val="20"/>
          <w:szCs w:val="20"/>
        </w:rPr>
        <w:sectPr>
          <w:headerReference r:id="rId46" w:type="default"/>
          <w:pgSz w:w="11906" w:h="16839"/>
          <w:pgMar w:top="1164" w:right="1514" w:bottom="400" w:left="1513" w:header="831" w:footer="0" w:gutter="0"/>
          <w:cols w:space="720" w:num="1"/>
        </w:sectPr>
      </w:pPr>
    </w:p>
    <w:p w14:paraId="203BBE4D">
      <w:pPr>
        <w:spacing w:before="199" w:line="359" w:lineRule="auto"/>
        <w:ind w:left="12" w:firstLine="475"/>
        <w:jc w:val="both"/>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减量化分析：项目建设一方面局部进行依势设计，另一方</w:t>
      </w:r>
      <w:r>
        <w:rPr>
          <w:rFonts w:ascii="FangSong_GB2312" w:hAnsi="FangSong_GB2312" w:eastAsia="FangSong_GB2312" w:cs="FangSong_GB2312"/>
          <w:spacing w:val="-6"/>
          <w:sz w:val="24"/>
          <w:szCs w:val="24"/>
        </w:rPr>
        <w:t>面采用高挖低填的方式，</w:t>
      </w:r>
      <w:r>
        <w:rPr>
          <w:rFonts w:ascii="FangSong_GB2312" w:hAnsi="FangSong_GB2312" w:eastAsia="FangSong_GB2312" w:cs="FangSong_GB2312"/>
          <w:sz w:val="24"/>
          <w:szCs w:val="24"/>
        </w:rPr>
        <w:t>大大减少土石方开挖量，进而减少余方量；管沟</w:t>
      </w:r>
      <w:r>
        <w:rPr>
          <w:rFonts w:ascii="FangSong_GB2312" w:hAnsi="FangSong_GB2312" w:eastAsia="FangSong_GB2312" w:cs="FangSong_GB2312"/>
          <w:spacing w:val="-1"/>
          <w:sz w:val="24"/>
          <w:szCs w:val="24"/>
        </w:rPr>
        <w:t>等土石方开挖采用多点位施工，避免</w:t>
      </w:r>
      <w:r>
        <w:rPr>
          <w:rFonts w:ascii="FangSong_GB2312" w:hAnsi="FangSong_GB2312" w:eastAsia="FangSong_GB2312" w:cs="FangSong_GB2312"/>
          <w:sz w:val="24"/>
          <w:szCs w:val="24"/>
        </w:rPr>
        <w:t>一次性开挖导致挖方量大、临时堆土量大等不利</w:t>
      </w:r>
      <w:r>
        <w:rPr>
          <w:rFonts w:ascii="FangSong_GB2312" w:hAnsi="FangSong_GB2312" w:eastAsia="FangSong_GB2312" w:cs="FangSong_GB2312"/>
          <w:spacing w:val="-1"/>
          <w:sz w:val="24"/>
          <w:szCs w:val="24"/>
        </w:rPr>
        <w:t>于水土保持的情况；土石方开挖随挖</w:t>
      </w:r>
      <w:r>
        <w:rPr>
          <w:rFonts w:ascii="FangSong_GB2312" w:hAnsi="FangSong_GB2312" w:eastAsia="FangSong_GB2312" w:cs="FangSong_GB2312"/>
          <w:sz w:val="24"/>
          <w:szCs w:val="24"/>
        </w:rPr>
        <w:t>随填随运，及时将多余土石方进行回填亦可减轻</w:t>
      </w:r>
      <w:r>
        <w:rPr>
          <w:rFonts w:ascii="FangSong_GB2312" w:hAnsi="FangSong_GB2312" w:eastAsia="FangSong_GB2312" w:cs="FangSong_GB2312"/>
          <w:spacing w:val="-1"/>
          <w:sz w:val="24"/>
          <w:szCs w:val="24"/>
        </w:rPr>
        <w:t>临时堆放土石方量大的压力；对项目</w:t>
      </w:r>
      <w:r>
        <w:rPr>
          <w:rFonts w:ascii="FangSong_GB2312" w:hAnsi="FangSong_GB2312" w:eastAsia="FangSong_GB2312" w:cs="FangSong_GB2312"/>
          <w:sz w:val="24"/>
          <w:szCs w:val="24"/>
        </w:rPr>
        <w:t>区剥离表土全部用于后期绿化覆土，满足回填要</w:t>
      </w:r>
      <w:r>
        <w:rPr>
          <w:rFonts w:ascii="FangSong_GB2312" w:hAnsi="FangSong_GB2312" w:eastAsia="FangSong_GB2312" w:cs="FangSong_GB2312"/>
          <w:spacing w:val="-1"/>
          <w:sz w:val="24"/>
          <w:szCs w:val="24"/>
        </w:rPr>
        <w:t>求的土石方用于项目区回填，在一定</w:t>
      </w:r>
      <w:r>
        <w:rPr>
          <w:rFonts w:ascii="FangSong_GB2312" w:hAnsi="FangSong_GB2312" w:eastAsia="FangSong_GB2312" w:cs="FangSong_GB2312"/>
          <w:spacing w:val="-2"/>
          <w:sz w:val="24"/>
          <w:szCs w:val="24"/>
        </w:rPr>
        <w:t>程度上也减少了余方量。</w:t>
      </w:r>
    </w:p>
    <w:p w14:paraId="53855EF0">
      <w:pPr>
        <w:spacing w:before="4" w:line="360" w:lineRule="auto"/>
        <w:ind w:left="24" w:right="60" w:firstLine="502"/>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资源化分析：本方案与建设单位进行对接和咨</w:t>
      </w:r>
      <w:r>
        <w:rPr>
          <w:rFonts w:ascii="FangSong_GB2312" w:hAnsi="FangSong_GB2312" w:eastAsia="FangSong_GB2312" w:cs="FangSong_GB2312"/>
          <w:spacing w:val="-2"/>
          <w:sz w:val="24"/>
          <w:szCs w:val="24"/>
        </w:rPr>
        <w:t>询，深入周边村镇进行调查，对工</w:t>
      </w:r>
      <w:r>
        <w:rPr>
          <w:rFonts w:ascii="FangSong_GB2312" w:hAnsi="FangSong_GB2312" w:eastAsia="FangSong_GB2312" w:cs="FangSong_GB2312"/>
          <w:spacing w:val="-1"/>
          <w:sz w:val="24"/>
          <w:szCs w:val="24"/>
        </w:rPr>
        <w:t>程开挖土石方采取合法合规的方式进行综合利用，避免产生永久弃渣量和弃渣场的使</w:t>
      </w:r>
      <w:r>
        <w:rPr>
          <w:rFonts w:ascii="FangSong_GB2312" w:hAnsi="FangSong_GB2312" w:eastAsia="FangSong_GB2312" w:cs="FangSong_GB2312"/>
          <w:spacing w:val="-5"/>
          <w:sz w:val="24"/>
          <w:szCs w:val="24"/>
        </w:rPr>
        <w:t>用。</w:t>
      </w:r>
    </w:p>
    <w:p w14:paraId="5A14004B">
      <w:pPr>
        <w:spacing w:before="114" w:line="214" w:lineRule="auto"/>
        <w:ind w:left="52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综上所述，项目建设在一定程度上实现了土方资源化利用。</w:t>
      </w:r>
    </w:p>
    <w:p w14:paraId="3E5671CE">
      <w:pPr>
        <w:spacing w:before="316" w:line="216" w:lineRule="auto"/>
        <w:ind w:left="4"/>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3.2.4  </w:t>
      </w:r>
      <w:r>
        <w:rPr>
          <w:rFonts w:ascii="FangSong_GB2312" w:hAnsi="FangSong_GB2312" w:eastAsia="FangSong_GB2312" w:cs="FangSong_GB2312"/>
          <w:b/>
          <w:bCs/>
          <w:spacing w:val="-2"/>
          <w:sz w:val="28"/>
          <w:szCs w:val="28"/>
        </w:rPr>
        <w:t>取土场设置评价</w:t>
      </w:r>
    </w:p>
    <w:p w14:paraId="7A852A6D">
      <w:pPr>
        <w:spacing w:before="210" w:line="216"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本项目不涉及取土场。</w:t>
      </w:r>
    </w:p>
    <w:p w14:paraId="55CFD457">
      <w:pPr>
        <w:spacing w:before="191" w:line="216" w:lineRule="auto"/>
        <w:ind w:left="4"/>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3.2.5  </w:t>
      </w:r>
      <w:r>
        <w:rPr>
          <w:rFonts w:ascii="FangSong_GB2312" w:hAnsi="FangSong_GB2312" w:eastAsia="FangSong_GB2312" w:cs="FangSong_GB2312"/>
          <w:b/>
          <w:bCs/>
          <w:spacing w:val="-2"/>
          <w:sz w:val="28"/>
          <w:szCs w:val="28"/>
        </w:rPr>
        <w:t>弃渣场设置评价</w:t>
      </w:r>
    </w:p>
    <w:p w14:paraId="7AC3D0E7">
      <w:pPr>
        <w:spacing w:before="211" w:line="216" w:lineRule="auto"/>
        <w:ind w:left="48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本项目不涉及弃渣场。</w:t>
      </w:r>
    </w:p>
    <w:p w14:paraId="6DD4D097">
      <w:pPr>
        <w:spacing w:before="194" w:line="216" w:lineRule="auto"/>
        <w:ind w:left="4"/>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3.2.6  </w:t>
      </w:r>
      <w:r>
        <w:rPr>
          <w:rFonts w:ascii="FangSong_GB2312" w:hAnsi="FangSong_GB2312" w:eastAsia="FangSong_GB2312" w:cs="FangSong_GB2312"/>
          <w:b/>
          <w:bCs/>
          <w:spacing w:val="-2"/>
          <w:sz w:val="28"/>
          <w:szCs w:val="28"/>
        </w:rPr>
        <w:t>施工方法与工艺评价</w:t>
      </w:r>
    </w:p>
    <w:p w14:paraId="7FECF3F5">
      <w:pPr>
        <w:spacing w:before="210" w:line="358" w:lineRule="auto"/>
        <w:ind w:left="7" w:right="125" w:firstLine="49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主体工程施工组织设计中提出的施工用水、用电方案是可行的，满足施工要求；</w:t>
      </w:r>
      <w:r>
        <w:rPr>
          <w:rFonts w:ascii="FangSong_GB2312" w:hAnsi="FangSong_GB2312" w:eastAsia="FangSong_GB2312" w:cs="FangSong_GB2312"/>
          <w:spacing w:val="-1"/>
          <w:sz w:val="24"/>
          <w:szCs w:val="24"/>
        </w:rPr>
        <w:t>建筑材料采购方式基本合理。</w:t>
      </w:r>
    </w:p>
    <w:p w14:paraId="2399654C">
      <w:pPr>
        <w:spacing w:before="3" w:line="359" w:lineRule="auto"/>
        <w:ind w:left="7" w:right="60" w:firstLine="482"/>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施工时已根据各项目分区具体的工程措施合理安</w:t>
      </w:r>
      <w:r>
        <w:rPr>
          <w:rFonts w:ascii="FangSong_GB2312" w:hAnsi="FangSong_GB2312" w:eastAsia="FangSong_GB2312" w:cs="FangSong_GB2312"/>
          <w:spacing w:val="-1"/>
          <w:sz w:val="24"/>
          <w:szCs w:val="24"/>
        </w:rPr>
        <w:t>排各施工工序，减少或避免各工</w:t>
      </w:r>
      <w:r>
        <w:rPr>
          <w:rFonts w:ascii="FangSong_GB2312" w:hAnsi="FangSong_GB2312" w:eastAsia="FangSong_GB2312" w:cs="FangSong_GB2312"/>
          <w:sz w:val="24"/>
          <w:szCs w:val="24"/>
        </w:rPr>
        <w:t>序间的相互干扰。工程施工采用机械和人工配合进行，机械</w:t>
      </w:r>
      <w:r>
        <w:rPr>
          <w:rFonts w:ascii="FangSong_GB2312" w:hAnsi="FangSong_GB2312" w:eastAsia="FangSong_GB2312" w:cs="FangSong_GB2312"/>
          <w:spacing w:val="-1"/>
          <w:sz w:val="24"/>
          <w:szCs w:val="24"/>
        </w:rPr>
        <w:t>以铲运机、推土机为主，人工则配合机械作零星场地或边角地区的平整。</w:t>
      </w:r>
    </w:p>
    <w:p w14:paraId="264900AE">
      <w:pPr>
        <w:spacing w:line="359" w:lineRule="auto"/>
        <w:ind w:left="10" w:right="60" w:firstLine="48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在工程施工过程中，土石方的挖填采用机械和人工相结合的方法，</w:t>
      </w:r>
      <w:r>
        <w:rPr>
          <w:rFonts w:ascii="FangSong_GB2312" w:hAnsi="FangSong_GB2312" w:eastAsia="FangSong_GB2312" w:cs="FangSong_GB2312"/>
          <w:spacing w:val="-66"/>
          <w:sz w:val="24"/>
          <w:szCs w:val="24"/>
        </w:rPr>
        <w:t xml:space="preserve"> </w:t>
      </w:r>
      <w:r>
        <w:rPr>
          <w:rFonts w:ascii="FangSong_GB2312" w:hAnsi="FangSong_GB2312" w:eastAsia="FangSong_GB2312" w:cs="FangSong_GB2312"/>
          <w:spacing w:val="-2"/>
          <w:sz w:val="24"/>
          <w:szCs w:val="24"/>
        </w:rPr>
        <w:t>已选好土方堆</w:t>
      </w:r>
      <w:r>
        <w:rPr>
          <w:rFonts w:ascii="FangSong_GB2312" w:hAnsi="FangSong_GB2312" w:eastAsia="FangSong_GB2312" w:cs="FangSong_GB2312"/>
          <w:spacing w:val="-1"/>
          <w:sz w:val="24"/>
          <w:szCs w:val="24"/>
        </w:rPr>
        <w:t>放场地（绿化工程区</w:t>
      </w:r>
      <w:r>
        <w:rPr>
          <w:rFonts w:ascii="FangSong_GB2312" w:hAnsi="FangSong_GB2312" w:eastAsia="FangSong_GB2312" w:cs="FangSong_GB2312"/>
          <w:spacing w:val="10"/>
          <w:sz w:val="24"/>
          <w:szCs w:val="24"/>
        </w:rPr>
        <w:t>），</w:t>
      </w:r>
      <w:r>
        <w:rPr>
          <w:rFonts w:ascii="FangSong_GB2312" w:hAnsi="FangSong_GB2312" w:eastAsia="FangSong_GB2312" w:cs="FangSong_GB2312"/>
          <w:spacing w:val="-1"/>
          <w:sz w:val="24"/>
          <w:szCs w:val="24"/>
        </w:rPr>
        <w:t>避免了土方来回移动，防止大风和降雨造成水土流失。</w:t>
      </w:r>
    </w:p>
    <w:p w14:paraId="7C1D4DBF">
      <w:pPr>
        <w:spacing w:before="6" w:line="214" w:lineRule="auto"/>
        <w:ind w:left="4"/>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3.2.6  </w:t>
      </w:r>
      <w:r>
        <w:rPr>
          <w:rFonts w:ascii="FangSong_GB2312" w:hAnsi="FangSong_GB2312" w:eastAsia="FangSong_GB2312" w:cs="FangSong_GB2312"/>
          <w:b/>
          <w:bCs/>
          <w:spacing w:val="-2"/>
          <w:sz w:val="28"/>
          <w:szCs w:val="28"/>
        </w:rPr>
        <w:t>主体工程设计中具有水土保持功能工程的评价</w:t>
      </w:r>
    </w:p>
    <w:p w14:paraId="45F262DC">
      <w:pPr>
        <w:spacing w:before="215" w:line="359" w:lineRule="auto"/>
        <w:ind w:left="6" w:right="60" w:firstLine="488"/>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从贯彻水土保持法和有关法律法规的角度出发，主体工程中包含了场地内的排水</w:t>
      </w:r>
      <w:r>
        <w:rPr>
          <w:rFonts w:ascii="FangSong_GB2312" w:hAnsi="FangSong_GB2312" w:eastAsia="FangSong_GB2312" w:cs="FangSong_GB2312"/>
          <w:sz w:val="24"/>
          <w:szCs w:val="24"/>
        </w:rPr>
        <w:t>设施，表土剥离与回覆、植物绿化等具有一定的水土保持功能</w:t>
      </w:r>
      <w:r>
        <w:rPr>
          <w:rFonts w:ascii="FangSong_GB2312" w:hAnsi="FangSong_GB2312" w:eastAsia="FangSong_GB2312" w:cs="FangSong_GB2312"/>
          <w:spacing w:val="-1"/>
          <w:sz w:val="24"/>
          <w:szCs w:val="24"/>
        </w:rPr>
        <w:t>的措施。在本项目水土</w:t>
      </w:r>
      <w:r>
        <w:rPr>
          <w:rFonts w:ascii="FangSong_GB2312" w:hAnsi="FangSong_GB2312" w:eastAsia="FangSong_GB2312" w:cs="FangSong_GB2312"/>
          <w:sz w:val="24"/>
          <w:szCs w:val="24"/>
        </w:rPr>
        <w:t>保持方案中，需要对主体已采取的防护措施进行分析与评价，</w:t>
      </w:r>
      <w:r>
        <w:rPr>
          <w:rFonts w:ascii="FangSong_GB2312" w:hAnsi="FangSong_GB2312" w:eastAsia="FangSong_GB2312" w:cs="FangSong_GB2312"/>
          <w:spacing w:val="-1"/>
          <w:sz w:val="24"/>
          <w:szCs w:val="24"/>
        </w:rPr>
        <w:t>论证措施的防治能力，以进一步完善工程水土流失防治措施体系。</w:t>
      </w:r>
    </w:p>
    <w:p w14:paraId="6970EC3A">
      <w:pPr>
        <w:pStyle w:val="2"/>
        <w:spacing w:line="252" w:lineRule="auto"/>
      </w:pPr>
    </w:p>
    <w:p w14:paraId="3032AC40">
      <w:pPr>
        <w:pStyle w:val="2"/>
        <w:spacing w:line="253" w:lineRule="auto"/>
      </w:pPr>
    </w:p>
    <w:p w14:paraId="370BE8B7">
      <w:pPr>
        <w:pStyle w:val="2"/>
        <w:spacing w:line="253" w:lineRule="auto"/>
      </w:pPr>
    </w:p>
    <w:p w14:paraId="030D6B1C">
      <w:pPr>
        <w:pStyle w:val="2"/>
        <w:spacing w:line="253" w:lineRule="auto"/>
      </w:pPr>
    </w:p>
    <w:p w14:paraId="1F6D0212">
      <w:pPr>
        <w:spacing w:before="66" w:line="229" w:lineRule="auto"/>
        <w:ind w:left="5384"/>
        <w:rPr>
          <w:rFonts w:ascii="FangSong_GB2312" w:hAnsi="FangSong_GB2312" w:eastAsia="FangSong_GB2312" w:cs="FangSong_GB2312"/>
          <w:sz w:val="20"/>
          <w:szCs w:val="20"/>
        </w:rPr>
      </w:pPr>
      <w:r>
        <w:pict>
          <v:shape id="_x0000_s1061" o:spid="_x0000_s1061" o:spt="202" type="#_x0000_t202" style="position:absolute;left:0pt;margin-left:216.6pt;margin-top:3.05pt;height:10.15pt;width:10.9pt;z-index:251729920;mso-width-relative:page;mso-height-relative:page;" filled="f" stroked="f" coordsize="21600,21600">
            <v:path/>
            <v:fill on="f" focussize="0,0"/>
            <v:stroke on="f"/>
            <v:imagedata o:title=""/>
            <o:lock v:ext="edit" aspectratio="f"/>
            <v:textbox inset="0mm,0mm,0mm,0mm">
              <w:txbxContent>
                <w:p w14:paraId="2A7F5D49">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txbxContent>
            </v:textbox>
          </v:shape>
        </w:pict>
      </w:r>
      <w:r>
        <w:rPr>
          <w:rFonts w:ascii="FangSong_GB2312" w:hAnsi="FangSong_GB2312" w:eastAsia="FangSong_GB2312" w:cs="FangSong_GB2312"/>
          <w:spacing w:val="8"/>
          <w:sz w:val="20"/>
          <w:szCs w:val="20"/>
        </w:rPr>
        <w:t>剑阁县绿森林业勘察设计有限公司</w:t>
      </w:r>
    </w:p>
    <w:p w14:paraId="7D6D97FD">
      <w:pPr>
        <w:spacing w:line="229" w:lineRule="auto"/>
        <w:rPr>
          <w:rFonts w:ascii="FangSong_GB2312" w:hAnsi="FangSong_GB2312" w:eastAsia="FangSong_GB2312" w:cs="FangSong_GB2312"/>
          <w:sz w:val="20"/>
          <w:szCs w:val="20"/>
        </w:rPr>
        <w:sectPr>
          <w:headerReference r:id="rId47" w:type="default"/>
          <w:pgSz w:w="11906" w:h="16839"/>
          <w:pgMar w:top="1164" w:right="1453" w:bottom="400" w:left="1513" w:header="831" w:footer="0" w:gutter="0"/>
          <w:cols w:space="720" w:num="1"/>
        </w:sectPr>
      </w:pPr>
    </w:p>
    <w:p w14:paraId="7F2FDAC5">
      <w:pPr>
        <w:spacing w:before="208" w:line="214" w:lineRule="auto"/>
        <w:ind w:left="26"/>
        <w:outlineLvl w:val="1"/>
        <w:rPr>
          <w:rFonts w:ascii="FangSong_GB2312" w:hAnsi="FangSong_GB2312" w:eastAsia="FangSong_GB2312" w:cs="FangSong_GB2312"/>
          <w:sz w:val="30"/>
          <w:szCs w:val="30"/>
        </w:rPr>
      </w:pPr>
      <w:bookmarkStart w:id="62" w:name="bookmark50"/>
      <w:bookmarkEnd w:id="62"/>
      <w:bookmarkStart w:id="63" w:name="bookmark49"/>
      <w:bookmarkEnd w:id="63"/>
      <w:r>
        <w:rPr>
          <w:rFonts w:ascii="Times New Roman" w:hAnsi="Times New Roman" w:eastAsia="Times New Roman" w:cs="Times New Roman"/>
          <w:b/>
          <w:bCs/>
          <w:spacing w:val="-2"/>
          <w:sz w:val="30"/>
          <w:szCs w:val="30"/>
        </w:rPr>
        <w:t xml:space="preserve">3.3  </w:t>
      </w:r>
      <w:r>
        <w:rPr>
          <w:rFonts w:ascii="FangSong_GB2312" w:hAnsi="FangSong_GB2312" w:eastAsia="FangSong_GB2312" w:cs="FangSong_GB2312"/>
          <w:b/>
          <w:bCs/>
          <w:spacing w:val="-2"/>
          <w:sz w:val="30"/>
          <w:szCs w:val="30"/>
        </w:rPr>
        <w:t>主体工程设计中水土保持措施界定</w:t>
      </w:r>
    </w:p>
    <w:p w14:paraId="6F69FEAA">
      <w:pPr>
        <w:pStyle w:val="2"/>
        <w:spacing w:line="357" w:lineRule="auto"/>
      </w:pPr>
    </w:p>
    <w:p w14:paraId="063B9448">
      <w:pPr>
        <w:spacing w:before="78" w:line="359" w:lineRule="auto"/>
        <w:ind w:left="26" w:right="21" w:firstLine="481"/>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根据《关于印发〈开发建设项目水土保持方案技术审查要</w:t>
      </w:r>
      <w:r>
        <w:rPr>
          <w:rFonts w:ascii="FangSong_GB2312" w:hAnsi="FangSong_GB2312" w:eastAsia="FangSong_GB2312" w:cs="FangSong_GB2312"/>
          <w:spacing w:val="-1"/>
          <w:sz w:val="24"/>
          <w:szCs w:val="24"/>
        </w:rPr>
        <w:t>点〉的通知》（水保监</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2014</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58</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号）和《生产建设项目水土保持技术标准》（</w:t>
      </w:r>
      <w:r>
        <w:rPr>
          <w:rFonts w:ascii="Times New Roman" w:hAnsi="Times New Roman" w:eastAsia="Times New Roman" w:cs="Times New Roman"/>
          <w:spacing w:val="-3"/>
          <w:sz w:val="24"/>
          <w:szCs w:val="24"/>
        </w:rPr>
        <w:t>GB50433-2018</w:t>
      </w:r>
      <w:r>
        <w:rPr>
          <w:rFonts w:ascii="FangSong_GB2312" w:hAnsi="FangSong_GB2312" w:eastAsia="FangSong_GB2312" w:cs="FangSong_GB2312"/>
          <w:spacing w:val="-3"/>
          <w:sz w:val="24"/>
          <w:szCs w:val="24"/>
        </w:rPr>
        <w:t>）中</w:t>
      </w:r>
      <w:r>
        <w:rPr>
          <w:rFonts w:ascii="FangSong_GB2312" w:hAnsi="FangSong_GB2312" w:eastAsia="FangSong_GB2312" w:cs="FangSong_GB2312"/>
          <w:spacing w:val="-4"/>
          <w:sz w:val="24"/>
          <w:szCs w:val="24"/>
        </w:rPr>
        <w:t>相关界定</w:t>
      </w:r>
      <w:r>
        <w:rPr>
          <w:rFonts w:ascii="FangSong_GB2312" w:hAnsi="FangSong_GB2312" w:eastAsia="FangSong_GB2312" w:cs="FangSong_GB2312"/>
          <w:spacing w:val="-2"/>
          <w:sz w:val="24"/>
          <w:szCs w:val="24"/>
        </w:rPr>
        <w:t>原则，主体工程已实施的水土保持措施有建构筑物工程：表土剥离</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3"/>
          <w:position w:val="7"/>
          <w:sz w:val="15"/>
          <w:szCs w:val="15"/>
        </w:rPr>
        <w:t xml:space="preserve"> </w:t>
      </w:r>
      <w:r>
        <w:rPr>
          <w:rFonts w:ascii="FangSong_GB2312" w:hAnsi="FangSong_GB2312" w:eastAsia="FangSong_GB2312" w:cs="FangSong_GB2312"/>
          <w:spacing w:val="-2"/>
          <w:sz w:val="24"/>
          <w:szCs w:val="24"/>
        </w:rPr>
        <w:t>；绿化</w:t>
      </w:r>
      <w:r>
        <w:rPr>
          <w:rFonts w:ascii="FangSong_GB2312" w:hAnsi="FangSong_GB2312" w:eastAsia="FangSong_GB2312" w:cs="FangSong_GB2312"/>
          <w:spacing w:val="-4"/>
          <w:sz w:val="24"/>
          <w:szCs w:val="24"/>
        </w:rPr>
        <w:t>工程：表土回覆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0"/>
          <w:position w:val="8"/>
          <w:sz w:val="15"/>
          <w:szCs w:val="15"/>
        </w:rPr>
        <w:t xml:space="preserve"> </w:t>
      </w:r>
      <w:r>
        <w:rPr>
          <w:rFonts w:ascii="FangSong_GB2312" w:hAnsi="FangSong_GB2312" w:eastAsia="FangSong_GB2312" w:cs="FangSong_GB2312"/>
          <w:spacing w:val="-4"/>
          <w:sz w:val="24"/>
          <w:szCs w:val="24"/>
        </w:rPr>
        <w:t>、盖板排水沟</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4"/>
          <w:sz w:val="24"/>
          <w:szCs w:val="24"/>
        </w:rPr>
        <w:t>80m</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4"/>
          <w:sz w:val="24"/>
          <w:szCs w:val="24"/>
        </w:rPr>
        <w:t>、雨水井</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4"/>
          <w:sz w:val="24"/>
          <w:szCs w:val="24"/>
        </w:rPr>
        <w:t xml:space="preserve">6 </w:t>
      </w:r>
      <w:r>
        <w:rPr>
          <w:rFonts w:ascii="FangSong_GB2312" w:hAnsi="FangSong_GB2312" w:eastAsia="FangSong_GB2312" w:cs="FangSong_GB2312"/>
          <w:spacing w:val="-4"/>
          <w:sz w:val="24"/>
          <w:szCs w:val="24"/>
        </w:rPr>
        <w:t>座、栽植灌</w:t>
      </w:r>
      <w:r>
        <w:rPr>
          <w:rFonts w:ascii="FangSong_GB2312" w:hAnsi="FangSong_GB2312" w:eastAsia="FangSong_GB2312" w:cs="FangSong_GB2312"/>
          <w:spacing w:val="-5"/>
          <w:sz w:val="24"/>
          <w:szCs w:val="24"/>
        </w:rPr>
        <w:t>木</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5"/>
          <w:sz w:val="24"/>
          <w:szCs w:val="24"/>
        </w:rPr>
        <w:t xml:space="preserve">12 </w:t>
      </w:r>
      <w:r>
        <w:rPr>
          <w:rFonts w:ascii="FangSong_GB2312" w:hAnsi="FangSong_GB2312" w:eastAsia="FangSong_GB2312" w:cs="FangSong_GB2312"/>
          <w:spacing w:val="-5"/>
          <w:sz w:val="24"/>
          <w:szCs w:val="24"/>
        </w:rPr>
        <w:t>株、撒播草</w:t>
      </w:r>
      <w:r>
        <w:rPr>
          <w:rFonts w:ascii="FangSong_GB2312" w:hAnsi="FangSong_GB2312" w:eastAsia="FangSong_GB2312" w:cs="FangSong_GB2312"/>
          <w:spacing w:val="-2"/>
          <w:sz w:val="24"/>
          <w:szCs w:val="24"/>
        </w:rPr>
        <w:t>籽</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2"/>
          <w:sz w:val="24"/>
          <w:szCs w:val="24"/>
        </w:rPr>
        <w:t>0.01hm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p>
    <w:p w14:paraId="0DCE76F7">
      <w:pPr>
        <w:spacing w:line="213" w:lineRule="auto"/>
        <w:ind w:left="52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主体工程界定为水土保持工程的工程量详见表</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3.3-1</w:t>
      </w:r>
      <w:r>
        <w:rPr>
          <w:rFonts w:ascii="FangSong_GB2312" w:hAnsi="FangSong_GB2312" w:eastAsia="FangSong_GB2312" w:cs="FangSong_GB2312"/>
          <w:spacing w:val="-2"/>
          <w:sz w:val="24"/>
          <w:szCs w:val="24"/>
        </w:rPr>
        <w:t>。</w:t>
      </w:r>
    </w:p>
    <w:p w14:paraId="1BC22D4B">
      <w:pPr>
        <w:spacing w:before="183" w:line="222" w:lineRule="auto"/>
        <w:ind w:left="1955"/>
        <w:rPr>
          <w:rFonts w:ascii="FangSong_GB2312" w:hAnsi="FangSong_GB2312" w:eastAsia="FangSong_GB2312" w:cs="FangSong_GB2312"/>
          <w:sz w:val="20"/>
          <w:szCs w:val="20"/>
        </w:rPr>
      </w:pPr>
      <w:r>
        <w:rPr>
          <w:rFonts w:ascii="FangSong_GB2312" w:hAnsi="FangSong_GB2312" w:eastAsia="FangSong_GB2312" w:cs="FangSong_GB2312"/>
          <w:b/>
          <w:bCs/>
          <w:spacing w:val="6"/>
          <w:sz w:val="20"/>
          <w:szCs w:val="20"/>
        </w:rPr>
        <w:t>表</w:t>
      </w:r>
      <w:r>
        <w:rPr>
          <w:rFonts w:ascii="FangSong_GB2312" w:hAnsi="FangSong_GB2312" w:eastAsia="FangSong_GB2312" w:cs="FangSong_GB2312"/>
          <w:spacing w:val="-34"/>
          <w:sz w:val="20"/>
          <w:szCs w:val="20"/>
        </w:rPr>
        <w:t xml:space="preserve"> </w:t>
      </w:r>
      <w:r>
        <w:rPr>
          <w:rFonts w:ascii="Times New Roman" w:hAnsi="Times New Roman" w:eastAsia="Times New Roman" w:cs="Times New Roman"/>
          <w:b/>
          <w:bCs/>
          <w:spacing w:val="6"/>
          <w:sz w:val="20"/>
          <w:szCs w:val="20"/>
        </w:rPr>
        <w:t xml:space="preserve">3.3-1      </w:t>
      </w:r>
      <w:r>
        <w:rPr>
          <w:rFonts w:ascii="FangSong_GB2312" w:hAnsi="FangSong_GB2312" w:eastAsia="FangSong_GB2312" w:cs="FangSong_GB2312"/>
          <w:b/>
          <w:bCs/>
          <w:spacing w:val="6"/>
          <w:sz w:val="20"/>
          <w:szCs w:val="20"/>
        </w:rPr>
        <w:t>主体工程中水土保持措施数量及投资统计表</w:t>
      </w:r>
    </w:p>
    <w:tbl>
      <w:tblPr>
        <w:tblStyle w:val="6"/>
        <w:tblW w:w="88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943"/>
        <w:gridCol w:w="1773"/>
        <w:gridCol w:w="1161"/>
        <w:gridCol w:w="1161"/>
        <w:gridCol w:w="1184"/>
        <w:gridCol w:w="1199"/>
      </w:tblGrid>
      <w:tr w14:paraId="3EFF8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74" w:type="dxa"/>
            <w:tcBorders>
              <w:top w:val="single" w:color="000000" w:sz="10" w:space="0"/>
              <w:left w:val="single" w:color="000000" w:sz="10" w:space="0"/>
            </w:tcBorders>
            <w:vAlign w:val="top"/>
          </w:tcPr>
          <w:p w14:paraId="2EE2BA1B">
            <w:pPr>
              <w:spacing w:before="70" w:line="217" w:lineRule="auto"/>
              <w:ind w:left="38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防治分区</w:t>
            </w:r>
          </w:p>
        </w:tc>
        <w:tc>
          <w:tcPr>
            <w:tcW w:w="943" w:type="dxa"/>
            <w:tcBorders>
              <w:top w:val="single" w:color="000000" w:sz="10" w:space="0"/>
            </w:tcBorders>
            <w:vAlign w:val="top"/>
          </w:tcPr>
          <w:p w14:paraId="60C79DC9">
            <w:pPr>
              <w:spacing w:before="70" w:line="213" w:lineRule="auto"/>
              <w:ind w:left="1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措施类型</w:t>
            </w:r>
          </w:p>
        </w:tc>
        <w:tc>
          <w:tcPr>
            <w:tcW w:w="1773" w:type="dxa"/>
            <w:tcBorders>
              <w:top w:val="single" w:color="000000" w:sz="10" w:space="0"/>
            </w:tcBorders>
            <w:vAlign w:val="top"/>
          </w:tcPr>
          <w:p w14:paraId="01EE281E">
            <w:pPr>
              <w:spacing w:before="69" w:line="214" w:lineRule="auto"/>
              <w:ind w:left="52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措施名称</w:t>
            </w:r>
          </w:p>
        </w:tc>
        <w:tc>
          <w:tcPr>
            <w:tcW w:w="1161" w:type="dxa"/>
            <w:tcBorders>
              <w:top w:val="single" w:color="000000" w:sz="10" w:space="0"/>
            </w:tcBorders>
            <w:vAlign w:val="top"/>
          </w:tcPr>
          <w:p w14:paraId="6E003DBD">
            <w:pPr>
              <w:spacing w:before="69" w:line="214" w:lineRule="auto"/>
              <w:ind w:left="40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161" w:type="dxa"/>
            <w:tcBorders>
              <w:top w:val="single" w:color="000000" w:sz="10" w:space="0"/>
            </w:tcBorders>
            <w:vAlign w:val="top"/>
          </w:tcPr>
          <w:p w14:paraId="6040C14F">
            <w:pPr>
              <w:spacing w:before="70" w:line="217" w:lineRule="auto"/>
              <w:ind w:left="41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184" w:type="dxa"/>
            <w:tcBorders>
              <w:top w:val="single" w:color="000000" w:sz="10" w:space="0"/>
            </w:tcBorders>
            <w:vAlign w:val="top"/>
          </w:tcPr>
          <w:p w14:paraId="5C37B6C4">
            <w:pPr>
              <w:spacing w:before="69" w:line="216" w:lineRule="auto"/>
              <w:ind w:left="15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单价（元）</w:t>
            </w:r>
          </w:p>
        </w:tc>
        <w:tc>
          <w:tcPr>
            <w:tcW w:w="1199" w:type="dxa"/>
            <w:tcBorders>
              <w:top w:val="single" w:color="000000" w:sz="10" w:space="0"/>
              <w:right w:val="single" w:color="000000" w:sz="10" w:space="0"/>
            </w:tcBorders>
            <w:vAlign w:val="top"/>
          </w:tcPr>
          <w:p w14:paraId="08308B6F">
            <w:pPr>
              <w:spacing w:before="69" w:line="214" w:lineRule="auto"/>
              <w:ind w:right="7"/>
              <w:jc w:val="right"/>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投资（万元）</w:t>
            </w:r>
          </w:p>
        </w:tc>
      </w:tr>
      <w:tr w14:paraId="60A01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tcBorders>
              <w:left w:val="single" w:color="000000" w:sz="10" w:space="0"/>
            </w:tcBorders>
            <w:vAlign w:val="top"/>
          </w:tcPr>
          <w:p w14:paraId="0704AAEB">
            <w:pPr>
              <w:spacing w:before="68" w:line="214" w:lineRule="auto"/>
              <w:ind w:left="18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943" w:type="dxa"/>
            <w:vAlign w:val="top"/>
          </w:tcPr>
          <w:p w14:paraId="612F1F14">
            <w:pPr>
              <w:spacing w:before="68" w:line="214" w:lineRule="auto"/>
              <w:ind w:left="11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1773" w:type="dxa"/>
            <w:vAlign w:val="top"/>
          </w:tcPr>
          <w:p w14:paraId="44EDD95A">
            <w:pPr>
              <w:spacing w:before="68" w:line="216" w:lineRule="auto"/>
              <w:ind w:left="112"/>
              <w:rPr>
                <w:rFonts w:ascii="Times New Roman" w:hAnsi="Times New Roman" w:eastAsia="Times New Roman" w:cs="Times New Roman"/>
                <w:sz w:val="11"/>
                <w:szCs w:val="11"/>
              </w:rPr>
            </w:pPr>
            <w:r>
              <w:rPr>
                <w:rFonts w:ascii="FangSong_GB2312" w:hAnsi="FangSong_GB2312" w:eastAsia="FangSong_GB2312" w:cs="FangSong_GB2312"/>
                <w:spacing w:val="-3"/>
                <w:sz w:val="18"/>
                <w:szCs w:val="18"/>
              </w:rPr>
              <w:t>表土剥离</w:t>
            </w:r>
            <w:r>
              <w:rPr>
                <w:rFonts w:ascii="FangSong_GB2312" w:hAnsi="FangSong_GB2312" w:eastAsia="FangSong_GB2312" w:cs="FangSong_GB2312"/>
                <w:spacing w:val="-32"/>
                <w:sz w:val="18"/>
                <w:szCs w:val="18"/>
              </w:rPr>
              <w:t xml:space="preserve"> </w:t>
            </w:r>
            <w:r>
              <w:rPr>
                <w:rFonts w:ascii="Times New Roman" w:hAnsi="Times New Roman" w:eastAsia="Times New Roman" w:cs="Times New Roman"/>
                <w:spacing w:val="-3"/>
                <w:sz w:val="18"/>
                <w:szCs w:val="18"/>
              </w:rPr>
              <w:t>0.01</w:t>
            </w:r>
            <w:r>
              <w:rPr>
                <w:rFonts w:ascii="Times New Roman" w:hAnsi="Times New Roman" w:eastAsia="Times New Roman" w:cs="Times New Roman"/>
                <w:spacing w:val="16"/>
                <w:w w:val="101"/>
                <w:sz w:val="18"/>
                <w:szCs w:val="18"/>
              </w:rPr>
              <w:t xml:space="preserve"> </w:t>
            </w:r>
            <w:r>
              <w:rPr>
                <w:rFonts w:ascii="FangSong_GB2312" w:hAnsi="FangSong_GB2312" w:eastAsia="FangSong_GB2312" w:cs="FangSong_GB2312"/>
                <w:spacing w:val="-3"/>
                <w:sz w:val="18"/>
                <w:szCs w:val="18"/>
              </w:rPr>
              <w:t>万</w:t>
            </w:r>
            <w:r>
              <w:rPr>
                <w:rFonts w:ascii="FangSong_GB2312" w:hAnsi="FangSong_GB2312" w:eastAsia="FangSong_GB2312" w:cs="FangSong_GB2312"/>
                <w:spacing w:val="-46"/>
                <w:sz w:val="18"/>
                <w:szCs w:val="18"/>
              </w:rPr>
              <w:t xml:space="preserve"> </w:t>
            </w:r>
            <w:r>
              <w:rPr>
                <w:rFonts w:ascii="Times New Roman" w:hAnsi="Times New Roman" w:eastAsia="Times New Roman" w:cs="Times New Roman"/>
                <w:spacing w:val="-3"/>
                <w:sz w:val="18"/>
                <w:szCs w:val="18"/>
              </w:rPr>
              <w:t>m</w:t>
            </w:r>
            <w:r>
              <w:rPr>
                <w:rFonts w:ascii="Times New Roman" w:hAnsi="Times New Roman" w:eastAsia="Times New Roman" w:cs="Times New Roman"/>
                <w:spacing w:val="-3"/>
                <w:position w:val="5"/>
                <w:sz w:val="11"/>
                <w:szCs w:val="11"/>
              </w:rPr>
              <w:t>3</w:t>
            </w:r>
          </w:p>
        </w:tc>
        <w:tc>
          <w:tcPr>
            <w:tcW w:w="1161" w:type="dxa"/>
            <w:vAlign w:val="top"/>
          </w:tcPr>
          <w:p w14:paraId="00385CA9">
            <w:pPr>
              <w:spacing w:before="83" w:line="206" w:lineRule="auto"/>
              <w:ind w:left="366"/>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2</w:t>
            </w:r>
          </w:p>
        </w:tc>
        <w:tc>
          <w:tcPr>
            <w:tcW w:w="1161" w:type="dxa"/>
            <w:vAlign w:val="top"/>
          </w:tcPr>
          <w:p w14:paraId="20BF21E3">
            <w:pPr>
              <w:spacing w:before="99" w:line="188"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184" w:type="dxa"/>
            <w:vAlign w:val="top"/>
          </w:tcPr>
          <w:p w14:paraId="419E55F4">
            <w:pPr>
              <w:spacing w:before="99" w:line="188" w:lineRule="auto"/>
              <w:ind w:left="40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75.99</w:t>
            </w:r>
          </w:p>
        </w:tc>
        <w:tc>
          <w:tcPr>
            <w:tcW w:w="1199" w:type="dxa"/>
            <w:tcBorders>
              <w:right w:val="single" w:color="000000" w:sz="10" w:space="0"/>
            </w:tcBorders>
            <w:vAlign w:val="top"/>
          </w:tcPr>
          <w:p w14:paraId="0A2859B8">
            <w:pPr>
              <w:spacing w:before="99" w:line="188"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2CAA3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vMerge w:val="restart"/>
            <w:tcBorders>
              <w:left w:val="single" w:color="000000" w:sz="10" w:space="0"/>
              <w:bottom w:val="nil"/>
            </w:tcBorders>
            <w:vAlign w:val="top"/>
          </w:tcPr>
          <w:p w14:paraId="45724EF2">
            <w:pPr>
              <w:spacing w:line="327" w:lineRule="auto"/>
              <w:rPr>
                <w:rFonts w:ascii="Arial"/>
                <w:sz w:val="21"/>
              </w:rPr>
            </w:pPr>
          </w:p>
          <w:p w14:paraId="00511C13">
            <w:pPr>
              <w:spacing w:line="327" w:lineRule="auto"/>
              <w:rPr>
                <w:rFonts w:ascii="Arial"/>
                <w:sz w:val="21"/>
              </w:rPr>
            </w:pPr>
          </w:p>
          <w:p w14:paraId="424A19C6">
            <w:pPr>
              <w:spacing w:before="58" w:line="216" w:lineRule="auto"/>
              <w:ind w:left="37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943" w:type="dxa"/>
            <w:vMerge w:val="restart"/>
            <w:tcBorders>
              <w:bottom w:val="nil"/>
            </w:tcBorders>
            <w:vAlign w:val="top"/>
          </w:tcPr>
          <w:p w14:paraId="743BDBB9">
            <w:pPr>
              <w:spacing w:line="334" w:lineRule="auto"/>
              <w:rPr>
                <w:rFonts w:ascii="Arial"/>
                <w:sz w:val="21"/>
              </w:rPr>
            </w:pPr>
          </w:p>
          <w:p w14:paraId="6DAA6442">
            <w:pPr>
              <w:spacing w:before="58" w:line="214" w:lineRule="auto"/>
              <w:ind w:left="11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1773" w:type="dxa"/>
            <w:vAlign w:val="top"/>
          </w:tcPr>
          <w:p w14:paraId="2291421B">
            <w:pPr>
              <w:spacing w:before="74" w:line="216" w:lineRule="auto"/>
              <w:ind w:left="5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表土回覆</w:t>
            </w:r>
          </w:p>
        </w:tc>
        <w:tc>
          <w:tcPr>
            <w:tcW w:w="1161" w:type="dxa"/>
            <w:vAlign w:val="top"/>
          </w:tcPr>
          <w:p w14:paraId="518DF5A9">
            <w:pPr>
              <w:spacing w:before="86" w:line="206" w:lineRule="auto"/>
              <w:ind w:left="366"/>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3</w:t>
            </w:r>
          </w:p>
        </w:tc>
        <w:tc>
          <w:tcPr>
            <w:tcW w:w="1161" w:type="dxa"/>
            <w:vAlign w:val="top"/>
          </w:tcPr>
          <w:p w14:paraId="43D249FB">
            <w:pPr>
              <w:spacing w:before="102" w:line="188" w:lineRule="auto"/>
              <w:ind w:left="44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w:t>
            </w:r>
          </w:p>
        </w:tc>
        <w:tc>
          <w:tcPr>
            <w:tcW w:w="1184" w:type="dxa"/>
            <w:vAlign w:val="top"/>
          </w:tcPr>
          <w:p w14:paraId="04952977">
            <w:pPr>
              <w:spacing w:before="102" w:line="188" w:lineRule="auto"/>
              <w:ind w:left="3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332.21</w:t>
            </w:r>
          </w:p>
        </w:tc>
        <w:tc>
          <w:tcPr>
            <w:tcW w:w="1199" w:type="dxa"/>
            <w:tcBorders>
              <w:right w:val="single" w:color="000000" w:sz="10" w:space="0"/>
            </w:tcBorders>
            <w:vAlign w:val="top"/>
          </w:tcPr>
          <w:p w14:paraId="5D93E9B4">
            <w:pPr>
              <w:spacing w:before="102" w:line="188"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62A9E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vMerge w:val="continue"/>
            <w:tcBorders>
              <w:top w:val="nil"/>
              <w:left w:val="single" w:color="000000" w:sz="10" w:space="0"/>
              <w:bottom w:val="nil"/>
            </w:tcBorders>
            <w:vAlign w:val="top"/>
          </w:tcPr>
          <w:p w14:paraId="28E605AC">
            <w:pPr>
              <w:rPr>
                <w:rFonts w:ascii="Arial"/>
                <w:sz w:val="21"/>
              </w:rPr>
            </w:pPr>
          </w:p>
        </w:tc>
        <w:tc>
          <w:tcPr>
            <w:tcW w:w="943" w:type="dxa"/>
            <w:vMerge w:val="continue"/>
            <w:tcBorders>
              <w:top w:val="nil"/>
              <w:bottom w:val="nil"/>
            </w:tcBorders>
            <w:vAlign w:val="top"/>
          </w:tcPr>
          <w:p w14:paraId="747C7B71">
            <w:pPr>
              <w:rPr>
                <w:rFonts w:ascii="Arial"/>
                <w:sz w:val="21"/>
              </w:rPr>
            </w:pPr>
          </w:p>
        </w:tc>
        <w:tc>
          <w:tcPr>
            <w:tcW w:w="1773" w:type="dxa"/>
            <w:vAlign w:val="top"/>
          </w:tcPr>
          <w:p w14:paraId="1C53BF16">
            <w:pPr>
              <w:spacing w:before="76" w:line="214" w:lineRule="auto"/>
              <w:ind w:left="44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盖板排水沟</w:t>
            </w:r>
          </w:p>
        </w:tc>
        <w:tc>
          <w:tcPr>
            <w:tcW w:w="1161" w:type="dxa"/>
            <w:vAlign w:val="top"/>
          </w:tcPr>
          <w:p w14:paraId="5E07EB55">
            <w:pPr>
              <w:spacing w:before="143" w:line="123" w:lineRule="exact"/>
              <w:ind w:left="510"/>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1161" w:type="dxa"/>
            <w:vAlign w:val="top"/>
          </w:tcPr>
          <w:p w14:paraId="589A1EB5">
            <w:pPr>
              <w:spacing w:before="104" w:line="188" w:lineRule="auto"/>
              <w:ind w:left="50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1184" w:type="dxa"/>
            <w:vAlign w:val="top"/>
          </w:tcPr>
          <w:p w14:paraId="1445E01B">
            <w:pPr>
              <w:spacing w:before="104" w:line="188" w:lineRule="auto"/>
              <w:ind w:left="35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285.64</w:t>
            </w:r>
          </w:p>
        </w:tc>
        <w:tc>
          <w:tcPr>
            <w:tcW w:w="1199" w:type="dxa"/>
            <w:tcBorders>
              <w:right w:val="single" w:color="000000" w:sz="10" w:space="0"/>
            </w:tcBorders>
            <w:vAlign w:val="top"/>
          </w:tcPr>
          <w:p w14:paraId="5D7A5228">
            <w:pPr>
              <w:spacing w:before="104" w:line="188" w:lineRule="auto"/>
              <w:ind w:left="44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w:t>
            </w:r>
          </w:p>
        </w:tc>
      </w:tr>
      <w:tr w14:paraId="2A56C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vMerge w:val="continue"/>
            <w:tcBorders>
              <w:top w:val="nil"/>
              <w:left w:val="single" w:color="000000" w:sz="10" w:space="0"/>
              <w:bottom w:val="nil"/>
            </w:tcBorders>
            <w:vAlign w:val="top"/>
          </w:tcPr>
          <w:p w14:paraId="09549687">
            <w:pPr>
              <w:rPr>
                <w:rFonts w:ascii="Arial"/>
                <w:sz w:val="21"/>
              </w:rPr>
            </w:pPr>
          </w:p>
        </w:tc>
        <w:tc>
          <w:tcPr>
            <w:tcW w:w="943" w:type="dxa"/>
            <w:vMerge w:val="continue"/>
            <w:tcBorders>
              <w:top w:val="nil"/>
            </w:tcBorders>
            <w:vAlign w:val="top"/>
          </w:tcPr>
          <w:p w14:paraId="6730118B">
            <w:pPr>
              <w:rPr>
                <w:rFonts w:ascii="Arial"/>
                <w:sz w:val="21"/>
              </w:rPr>
            </w:pPr>
          </w:p>
        </w:tc>
        <w:tc>
          <w:tcPr>
            <w:tcW w:w="1773" w:type="dxa"/>
            <w:vAlign w:val="top"/>
          </w:tcPr>
          <w:p w14:paraId="05C82C16">
            <w:pPr>
              <w:spacing w:before="78" w:line="214" w:lineRule="auto"/>
              <w:ind w:left="62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雨水井</w:t>
            </w:r>
          </w:p>
        </w:tc>
        <w:tc>
          <w:tcPr>
            <w:tcW w:w="1161" w:type="dxa"/>
            <w:vAlign w:val="top"/>
          </w:tcPr>
          <w:p w14:paraId="7D36AA3D">
            <w:pPr>
              <w:spacing w:before="78" w:line="219" w:lineRule="auto"/>
              <w:ind w:left="493"/>
              <w:rPr>
                <w:rFonts w:ascii="FangSong_GB2312" w:hAnsi="FangSong_GB2312" w:eastAsia="FangSong_GB2312" w:cs="FangSong_GB2312"/>
                <w:sz w:val="18"/>
                <w:szCs w:val="18"/>
              </w:rPr>
            </w:pPr>
            <w:r>
              <w:rPr>
                <w:rFonts w:ascii="FangSong_GB2312" w:hAnsi="FangSong_GB2312" w:eastAsia="FangSong_GB2312" w:cs="FangSong_GB2312"/>
                <w:sz w:val="18"/>
                <w:szCs w:val="18"/>
              </w:rPr>
              <w:t>座</w:t>
            </w:r>
          </w:p>
        </w:tc>
        <w:tc>
          <w:tcPr>
            <w:tcW w:w="1161" w:type="dxa"/>
            <w:vAlign w:val="top"/>
          </w:tcPr>
          <w:p w14:paraId="45E262B0">
            <w:pPr>
              <w:spacing w:before="109" w:line="188" w:lineRule="auto"/>
              <w:ind w:left="54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184" w:type="dxa"/>
            <w:vAlign w:val="top"/>
          </w:tcPr>
          <w:p w14:paraId="32E5CD09">
            <w:pPr>
              <w:spacing w:before="109" w:line="188" w:lineRule="auto"/>
              <w:ind w:left="30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2000.00</w:t>
            </w:r>
          </w:p>
        </w:tc>
        <w:tc>
          <w:tcPr>
            <w:tcW w:w="1199" w:type="dxa"/>
            <w:tcBorders>
              <w:right w:val="single" w:color="000000" w:sz="10" w:space="0"/>
            </w:tcBorders>
            <w:vAlign w:val="top"/>
          </w:tcPr>
          <w:p w14:paraId="0A1EDE6E">
            <w:pPr>
              <w:spacing w:before="109" w:line="188" w:lineRule="auto"/>
              <w:ind w:left="46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1.20</w:t>
            </w:r>
          </w:p>
        </w:tc>
      </w:tr>
      <w:tr w14:paraId="18549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vMerge w:val="continue"/>
            <w:tcBorders>
              <w:top w:val="nil"/>
              <w:left w:val="single" w:color="000000" w:sz="10" w:space="0"/>
              <w:bottom w:val="nil"/>
            </w:tcBorders>
            <w:vAlign w:val="top"/>
          </w:tcPr>
          <w:p w14:paraId="035C0B01">
            <w:pPr>
              <w:rPr>
                <w:rFonts w:ascii="Arial"/>
                <w:sz w:val="21"/>
              </w:rPr>
            </w:pPr>
          </w:p>
        </w:tc>
        <w:tc>
          <w:tcPr>
            <w:tcW w:w="943" w:type="dxa"/>
            <w:vMerge w:val="restart"/>
            <w:tcBorders>
              <w:bottom w:val="nil"/>
            </w:tcBorders>
            <w:vAlign w:val="top"/>
          </w:tcPr>
          <w:p w14:paraId="62B6E8E2">
            <w:pPr>
              <w:spacing w:before="242" w:line="214" w:lineRule="auto"/>
              <w:ind w:left="10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植物措施</w:t>
            </w:r>
          </w:p>
        </w:tc>
        <w:tc>
          <w:tcPr>
            <w:tcW w:w="1773" w:type="dxa"/>
            <w:vAlign w:val="top"/>
          </w:tcPr>
          <w:p w14:paraId="6BC538CB">
            <w:pPr>
              <w:spacing w:before="81" w:line="216" w:lineRule="auto"/>
              <w:ind w:left="5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栽植灌木</w:t>
            </w:r>
          </w:p>
        </w:tc>
        <w:tc>
          <w:tcPr>
            <w:tcW w:w="1161" w:type="dxa"/>
            <w:vAlign w:val="top"/>
          </w:tcPr>
          <w:p w14:paraId="40D40908">
            <w:pPr>
              <w:spacing w:before="81" w:line="214" w:lineRule="auto"/>
              <w:ind w:left="352"/>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FangSong_GB2312" w:hAnsi="FangSong_GB2312" w:eastAsia="FangSong_GB2312" w:cs="FangSong_GB2312"/>
                <w:spacing w:val="-6"/>
                <w:sz w:val="18"/>
                <w:szCs w:val="18"/>
              </w:rPr>
              <w:t>株</w:t>
            </w:r>
          </w:p>
        </w:tc>
        <w:tc>
          <w:tcPr>
            <w:tcW w:w="1161" w:type="dxa"/>
            <w:vAlign w:val="top"/>
          </w:tcPr>
          <w:p w14:paraId="7020FE7C">
            <w:pPr>
              <w:spacing w:before="112" w:line="188" w:lineRule="auto"/>
              <w:ind w:left="4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0.12</w:t>
            </w:r>
          </w:p>
        </w:tc>
        <w:tc>
          <w:tcPr>
            <w:tcW w:w="1184" w:type="dxa"/>
            <w:vAlign w:val="top"/>
          </w:tcPr>
          <w:p w14:paraId="230B0817">
            <w:pPr>
              <w:spacing w:before="112"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3479.61</w:t>
            </w:r>
          </w:p>
        </w:tc>
        <w:tc>
          <w:tcPr>
            <w:tcW w:w="1199" w:type="dxa"/>
            <w:tcBorders>
              <w:right w:val="single" w:color="000000" w:sz="10" w:space="0"/>
            </w:tcBorders>
            <w:vAlign w:val="top"/>
          </w:tcPr>
          <w:p w14:paraId="1CD17C60">
            <w:pPr>
              <w:spacing w:before="112" w:line="188"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w:t>
            </w:r>
          </w:p>
        </w:tc>
      </w:tr>
      <w:tr w14:paraId="64A4D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74" w:type="dxa"/>
            <w:vMerge w:val="continue"/>
            <w:tcBorders>
              <w:top w:val="nil"/>
              <w:left w:val="single" w:color="000000" w:sz="10" w:space="0"/>
            </w:tcBorders>
            <w:vAlign w:val="top"/>
          </w:tcPr>
          <w:p w14:paraId="6670500E">
            <w:pPr>
              <w:rPr>
                <w:rFonts w:ascii="Arial"/>
                <w:sz w:val="21"/>
              </w:rPr>
            </w:pPr>
          </w:p>
        </w:tc>
        <w:tc>
          <w:tcPr>
            <w:tcW w:w="943" w:type="dxa"/>
            <w:vMerge w:val="continue"/>
            <w:tcBorders>
              <w:top w:val="nil"/>
            </w:tcBorders>
            <w:vAlign w:val="top"/>
          </w:tcPr>
          <w:p w14:paraId="41DE085D">
            <w:pPr>
              <w:rPr>
                <w:rFonts w:ascii="Arial"/>
                <w:sz w:val="21"/>
              </w:rPr>
            </w:pPr>
          </w:p>
        </w:tc>
        <w:tc>
          <w:tcPr>
            <w:tcW w:w="1773" w:type="dxa"/>
            <w:vAlign w:val="top"/>
          </w:tcPr>
          <w:p w14:paraId="4A39B582">
            <w:pPr>
              <w:spacing w:before="81" w:line="216" w:lineRule="auto"/>
              <w:ind w:left="52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撒播草籽</w:t>
            </w:r>
          </w:p>
        </w:tc>
        <w:tc>
          <w:tcPr>
            <w:tcW w:w="1161" w:type="dxa"/>
            <w:vAlign w:val="top"/>
          </w:tcPr>
          <w:p w14:paraId="40C6D8CB">
            <w:pPr>
              <w:spacing w:before="99" w:line="206" w:lineRule="auto"/>
              <w:ind w:left="435"/>
              <w:rPr>
                <w:rFonts w:ascii="Times New Roman" w:hAnsi="Times New Roman" w:eastAsia="Times New Roman" w:cs="Times New Roman"/>
                <w:sz w:val="11"/>
                <w:szCs w:val="11"/>
              </w:rPr>
            </w:pPr>
            <w:r>
              <w:rPr>
                <w:rFonts w:ascii="Times New Roman" w:hAnsi="Times New Roman" w:eastAsia="Times New Roman" w:cs="Times New Roman"/>
                <w:position w:val="-1"/>
                <w:sz w:val="18"/>
                <w:szCs w:val="18"/>
              </w:rPr>
              <w:t>hm</w:t>
            </w:r>
            <w:r>
              <w:rPr>
                <w:rFonts w:ascii="Times New Roman" w:hAnsi="Times New Roman" w:eastAsia="Times New Roman" w:cs="Times New Roman"/>
                <w:spacing w:val="1"/>
                <w:position w:val="4"/>
                <w:sz w:val="11"/>
                <w:szCs w:val="11"/>
              </w:rPr>
              <w:t>2</w:t>
            </w:r>
          </w:p>
        </w:tc>
        <w:tc>
          <w:tcPr>
            <w:tcW w:w="1161" w:type="dxa"/>
            <w:vAlign w:val="top"/>
          </w:tcPr>
          <w:p w14:paraId="5108812B">
            <w:pPr>
              <w:spacing w:before="114" w:line="188" w:lineRule="auto"/>
              <w:ind w:left="43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184" w:type="dxa"/>
            <w:vAlign w:val="top"/>
          </w:tcPr>
          <w:p w14:paraId="385DCC0D">
            <w:pPr>
              <w:spacing w:before="114" w:line="188" w:lineRule="auto"/>
              <w:ind w:left="2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10700.89</w:t>
            </w:r>
          </w:p>
        </w:tc>
        <w:tc>
          <w:tcPr>
            <w:tcW w:w="1199" w:type="dxa"/>
            <w:tcBorders>
              <w:right w:val="single" w:color="000000" w:sz="10" w:space="0"/>
            </w:tcBorders>
            <w:vAlign w:val="top"/>
          </w:tcPr>
          <w:p w14:paraId="0D3CF6C0">
            <w:pPr>
              <w:spacing w:before="114" w:line="188"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r>
      <w:tr w14:paraId="17605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74" w:type="dxa"/>
            <w:tcBorders>
              <w:left w:val="single" w:color="000000" w:sz="10" w:space="0"/>
              <w:bottom w:val="single" w:color="000000" w:sz="10" w:space="0"/>
              <w:right w:val="nil"/>
            </w:tcBorders>
            <w:vAlign w:val="top"/>
          </w:tcPr>
          <w:p w14:paraId="1908EF01">
            <w:pPr>
              <w:rPr>
                <w:rFonts w:ascii="Arial"/>
                <w:sz w:val="21"/>
              </w:rPr>
            </w:pPr>
          </w:p>
        </w:tc>
        <w:tc>
          <w:tcPr>
            <w:tcW w:w="943" w:type="dxa"/>
            <w:tcBorders>
              <w:left w:val="nil"/>
              <w:bottom w:val="single" w:color="000000" w:sz="10" w:space="0"/>
              <w:right w:val="nil"/>
            </w:tcBorders>
            <w:vAlign w:val="top"/>
          </w:tcPr>
          <w:p w14:paraId="5C2C8F57">
            <w:pPr>
              <w:rPr>
                <w:rFonts w:ascii="Arial"/>
                <w:sz w:val="21"/>
              </w:rPr>
            </w:pPr>
          </w:p>
        </w:tc>
        <w:tc>
          <w:tcPr>
            <w:tcW w:w="1773" w:type="dxa"/>
            <w:tcBorders>
              <w:left w:val="nil"/>
              <w:bottom w:val="single" w:color="000000" w:sz="10" w:space="0"/>
              <w:right w:val="nil"/>
            </w:tcBorders>
            <w:vAlign w:val="top"/>
          </w:tcPr>
          <w:p w14:paraId="475E5523">
            <w:pPr>
              <w:spacing w:before="86" w:line="216" w:lineRule="auto"/>
              <w:ind w:left="126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161" w:type="dxa"/>
            <w:tcBorders>
              <w:left w:val="nil"/>
              <w:bottom w:val="single" w:color="000000" w:sz="10" w:space="0"/>
              <w:right w:val="nil"/>
            </w:tcBorders>
            <w:vAlign w:val="top"/>
          </w:tcPr>
          <w:p w14:paraId="15D5C85F">
            <w:pPr>
              <w:rPr>
                <w:rFonts w:ascii="Arial"/>
                <w:sz w:val="21"/>
              </w:rPr>
            </w:pPr>
          </w:p>
        </w:tc>
        <w:tc>
          <w:tcPr>
            <w:tcW w:w="1161" w:type="dxa"/>
            <w:tcBorders>
              <w:left w:val="nil"/>
              <w:bottom w:val="single" w:color="000000" w:sz="10" w:space="0"/>
              <w:right w:val="nil"/>
            </w:tcBorders>
            <w:vAlign w:val="top"/>
          </w:tcPr>
          <w:p w14:paraId="4E7F95F4">
            <w:pPr>
              <w:rPr>
                <w:rFonts w:ascii="Arial"/>
                <w:sz w:val="21"/>
              </w:rPr>
            </w:pPr>
          </w:p>
        </w:tc>
        <w:tc>
          <w:tcPr>
            <w:tcW w:w="1184" w:type="dxa"/>
            <w:tcBorders>
              <w:left w:val="nil"/>
              <w:bottom w:val="single" w:color="000000" w:sz="10" w:space="0"/>
            </w:tcBorders>
            <w:vAlign w:val="top"/>
          </w:tcPr>
          <w:p w14:paraId="53E66062">
            <w:pPr>
              <w:rPr>
                <w:rFonts w:ascii="Arial"/>
                <w:sz w:val="21"/>
              </w:rPr>
            </w:pPr>
          </w:p>
        </w:tc>
        <w:tc>
          <w:tcPr>
            <w:tcW w:w="1199" w:type="dxa"/>
            <w:tcBorders>
              <w:bottom w:val="single" w:color="000000" w:sz="10" w:space="0"/>
              <w:right w:val="single" w:color="000000" w:sz="10" w:space="0"/>
            </w:tcBorders>
            <w:vAlign w:val="top"/>
          </w:tcPr>
          <w:p w14:paraId="4148B59A">
            <w:pPr>
              <w:spacing w:before="117" w:line="188" w:lineRule="auto"/>
              <w:ind w:left="45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3.59</w:t>
            </w:r>
          </w:p>
        </w:tc>
      </w:tr>
    </w:tbl>
    <w:p w14:paraId="4406F17C">
      <w:pPr>
        <w:pStyle w:val="2"/>
        <w:spacing w:before="1" w:line="247" w:lineRule="auto"/>
      </w:pPr>
    </w:p>
    <w:p w14:paraId="4B11696B">
      <w:pPr>
        <w:pStyle w:val="2"/>
        <w:spacing w:line="247" w:lineRule="auto"/>
      </w:pPr>
    </w:p>
    <w:p w14:paraId="3BCA9CC5">
      <w:pPr>
        <w:pStyle w:val="2"/>
        <w:spacing w:line="247" w:lineRule="auto"/>
      </w:pPr>
    </w:p>
    <w:p w14:paraId="6AF8FFE6">
      <w:pPr>
        <w:pStyle w:val="2"/>
        <w:spacing w:line="247" w:lineRule="auto"/>
      </w:pPr>
    </w:p>
    <w:p w14:paraId="01E625EE">
      <w:pPr>
        <w:pStyle w:val="2"/>
        <w:spacing w:line="247" w:lineRule="auto"/>
      </w:pPr>
    </w:p>
    <w:p w14:paraId="5A6DD52D">
      <w:pPr>
        <w:pStyle w:val="2"/>
        <w:spacing w:line="247" w:lineRule="auto"/>
      </w:pPr>
    </w:p>
    <w:p w14:paraId="79FAF0BC">
      <w:pPr>
        <w:pStyle w:val="2"/>
        <w:spacing w:line="247" w:lineRule="auto"/>
      </w:pPr>
    </w:p>
    <w:p w14:paraId="0BF03386">
      <w:pPr>
        <w:pStyle w:val="2"/>
        <w:spacing w:line="247" w:lineRule="auto"/>
      </w:pPr>
    </w:p>
    <w:p w14:paraId="018BC7C1">
      <w:pPr>
        <w:pStyle w:val="2"/>
        <w:spacing w:line="247" w:lineRule="auto"/>
      </w:pPr>
    </w:p>
    <w:p w14:paraId="5F4ACD58">
      <w:pPr>
        <w:pStyle w:val="2"/>
        <w:spacing w:line="247" w:lineRule="auto"/>
      </w:pPr>
    </w:p>
    <w:p w14:paraId="275C40E3">
      <w:pPr>
        <w:pStyle w:val="2"/>
        <w:spacing w:line="247" w:lineRule="auto"/>
      </w:pPr>
    </w:p>
    <w:p w14:paraId="72F762B4">
      <w:pPr>
        <w:pStyle w:val="2"/>
        <w:spacing w:line="247" w:lineRule="auto"/>
      </w:pPr>
    </w:p>
    <w:p w14:paraId="600AFFDE">
      <w:pPr>
        <w:pStyle w:val="2"/>
        <w:spacing w:line="247" w:lineRule="auto"/>
      </w:pPr>
    </w:p>
    <w:p w14:paraId="40EE1AEC">
      <w:pPr>
        <w:pStyle w:val="2"/>
        <w:spacing w:line="247" w:lineRule="auto"/>
      </w:pPr>
    </w:p>
    <w:p w14:paraId="623303A8">
      <w:pPr>
        <w:pStyle w:val="2"/>
        <w:spacing w:line="247" w:lineRule="auto"/>
      </w:pPr>
    </w:p>
    <w:p w14:paraId="7672DF80">
      <w:pPr>
        <w:pStyle w:val="2"/>
        <w:spacing w:line="248" w:lineRule="auto"/>
      </w:pPr>
    </w:p>
    <w:p w14:paraId="5AC9C14F">
      <w:pPr>
        <w:pStyle w:val="2"/>
        <w:spacing w:line="248" w:lineRule="auto"/>
      </w:pPr>
    </w:p>
    <w:p w14:paraId="1D6069AB">
      <w:pPr>
        <w:pStyle w:val="2"/>
        <w:spacing w:line="248" w:lineRule="auto"/>
      </w:pPr>
    </w:p>
    <w:p w14:paraId="05413C6B">
      <w:pPr>
        <w:pStyle w:val="2"/>
        <w:spacing w:line="248" w:lineRule="auto"/>
      </w:pPr>
    </w:p>
    <w:p w14:paraId="3521E521">
      <w:pPr>
        <w:pStyle w:val="2"/>
        <w:spacing w:line="248" w:lineRule="auto"/>
      </w:pPr>
    </w:p>
    <w:p w14:paraId="1ACF64C8">
      <w:pPr>
        <w:pStyle w:val="2"/>
        <w:spacing w:line="248" w:lineRule="auto"/>
      </w:pPr>
    </w:p>
    <w:p w14:paraId="080B720B">
      <w:pPr>
        <w:pStyle w:val="2"/>
        <w:spacing w:line="248" w:lineRule="auto"/>
      </w:pPr>
    </w:p>
    <w:p w14:paraId="15A851B5">
      <w:pPr>
        <w:pStyle w:val="2"/>
        <w:spacing w:line="248" w:lineRule="auto"/>
      </w:pPr>
    </w:p>
    <w:p w14:paraId="3DAAFED8">
      <w:pPr>
        <w:pStyle w:val="2"/>
        <w:spacing w:line="248" w:lineRule="auto"/>
      </w:pPr>
    </w:p>
    <w:p w14:paraId="29757E20">
      <w:pPr>
        <w:pStyle w:val="2"/>
        <w:spacing w:line="248" w:lineRule="auto"/>
      </w:pPr>
    </w:p>
    <w:p w14:paraId="38A62737">
      <w:pPr>
        <w:pStyle w:val="2"/>
        <w:spacing w:line="248" w:lineRule="auto"/>
      </w:pPr>
    </w:p>
    <w:p w14:paraId="02E83C4D">
      <w:pPr>
        <w:pStyle w:val="2"/>
        <w:spacing w:line="248" w:lineRule="auto"/>
      </w:pPr>
    </w:p>
    <w:p w14:paraId="6DD6C6A1">
      <w:pPr>
        <w:pStyle w:val="2"/>
        <w:spacing w:line="248" w:lineRule="auto"/>
      </w:pPr>
    </w:p>
    <w:p w14:paraId="066770FB">
      <w:pPr>
        <w:pStyle w:val="2"/>
        <w:spacing w:line="248" w:lineRule="auto"/>
      </w:pPr>
    </w:p>
    <w:p w14:paraId="73BA945B">
      <w:pPr>
        <w:pStyle w:val="2"/>
        <w:spacing w:line="248" w:lineRule="auto"/>
      </w:pPr>
    </w:p>
    <w:p w14:paraId="52D70CA4">
      <w:pPr>
        <w:pStyle w:val="2"/>
        <w:spacing w:line="248" w:lineRule="auto"/>
      </w:pPr>
    </w:p>
    <w:p w14:paraId="3AD0EC1B">
      <w:pPr>
        <w:spacing w:before="66" w:line="229" w:lineRule="auto"/>
        <w:ind w:left="5406"/>
        <w:rPr>
          <w:rFonts w:ascii="FangSong_GB2312" w:hAnsi="FangSong_GB2312" w:eastAsia="FangSong_GB2312" w:cs="FangSong_GB2312"/>
          <w:sz w:val="20"/>
          <w:szCs w:val="20"/>
        </w:rPr>
      </w:pPr>
      <w:r>
        <w:pict>
          <v:shape id="_x0000_s1062" o:spid="_x0000_s1062" o:spt="202" type="#_x0000_t202" style="position:absolute;left:0pt;margin-left:217.85pt;margin-top:3.05pt;height:10.15pt;width:10.7pt;z-index:251730944;mso-width-relative:page;mso-height-relative:page;" filled="f" stroked="f" coordsize="21600,21600">
            <v:path/>
            <v:fill on="f" focussize="0,0"/>
            <v:stroke on="f"/>
            <v:imagedata o:title=""/>
            <o:lock v:ext="edit" aspectratio="f"/>
            <v:textbox inset="0mm,0mm,0mm,0mm">
              <w:txbxContent>
                <w:p w14:paraId="0E4DC229">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xbxContent>
            </v:textbox>
          </v:shape>
        </w:pict>
      </w:r>
      <w:r>
        <w:rPr>
          <w:rFonts w:ascii="FangSong_GB2312" w:hAnsi="FangSong_GB2312" w:eastAsia="FangSong_GB2312" w:cs="FangSong_GB2312"/>
          <w:spacing w:val="8"/>
          <w:sz w:val="20"/>
          <w:szCs w:val="20"/>
        </w:rPr>
        <w:t>剑阁县绿森林业勘察设计有限公司</w:t>
      </w:r>
    </w:p>
    <w:p w14:paraId="02902177">
      <w:pPr>
        <w:spacing w:line="229" w:lineRule="auto"/>
        <w:rPr>
          <w:rFonts w:ascii="FangSong_GB2312" w:hAnsi="FangSong_GB2312" w:eastAsia="FangSong_GB2312" w:cs="FangSong_GB2312"/>
          <w:sz w:val="20"/>
          <w:szCs w:val="20"/>
        </w:rPr>
        <w:sectPr>
          <w:headerReference r:id="rId48" w:type="default"/>
          <w:pgSz w:w="11906" w:h="16839"/>
          <w:pgMar w:top="1164" w:right="1492" w:bottom="400" w:left="1492" w:header="831" w:footer="0" w:gutter="0"/>
          <w:cols w:space="720" w:num="1"/>
        </w:sectPr>
      </w:pPr>
    </w:p>
    <w:p w14:paraId="1CF3D5DB">
      <w:pPr>
        <w:pStyle w:val="2"/>
        <w:spacing w:line="354" w:lineRule="auto"/>
      </w:pPr>
    </w:p>
    <w:p w14:paraId="72C9DF4C">
      <w:pPr>
        <w:spacing w:before="100" w:line="221" w:lineRule="auto"/>
        <w:ind w:left="2840"/>
        <w:outlineLvl w:val="0"/>
        <w:rPr>
          <w:rFonts w:ascii="FangSong_GB2312" w:hAnsi="FangSong_GB2312" w:eastAsia="FangSong_GB2312" w:cs="FangSong_GB2312"/>
          <w:sz w:val="31"/>
          <w:szCs w:val="31"/>
        </w:rPr>
      </w:pPr>
      <w:bookmarkStart w:id="64" w:name="bookmark52"/>
      <w:bookmarkEnd w:id="64"/>
      <w:bookmarkStart w:id="65" w:name="bookmark51"/>
      <w:bookmarkEnd w:id="65"/>
      <w:r>
        <w:rPr>
          <w:rFonts w:ascii="Times New Roman" w:hAnsi="Times New Roman" w:eastAsia="Times New Roman" w:cs="Times New Roman"/>
          <w:b/>
          <w:bCs/>
          <w:spacing w:val="6"/>
          <w:sz w:val="31"/>
          <w:szCs w:val="31"/>
        </w:rPr>
        <w:t xml:space="preserve">4  </w:t>
      </w:r>
      <w:r>
        <w:rPr>
          <w:rFonts w:ascii="FangSong_GB2312" w:hAnsi="FangSong_GB2312" w:eastAsia="FangSong_GB2312" w:cs="FangSong_GB2312"/>
          <w:b/>
          <w:bCs/>
          <w:spacing w:val="6"/>
          <w:sz w:val="31"/>
          <w:szCs w:val="31"/>
        </w:rPr>
        <w:t>水土流失分析与调查</w:t>
      </w:r>
    </w:p>
    <w:p w14:paraId="5B01B1C9">
      <w:pPr>
        <w:spacing w:before="299" w:line="216" w:lineRule="auto"/>
        <w:ind w:left="7"/>
        <w:outlineLvl w:val="1"/>
        <w:rPr>
          <w:rFonts w:ascii="FangSong_GB2312" w:hAnsi="FangSong_GB2312" w:eastAsia="FangSong_GB2312" w:cs="FangSong_GB2312"/>
          <w:sz w:val="30"/>
          <w:szCs w:val="30"/>
        </w:rPr>
      </w:pPr>
      <w:bookmarkStart w:id="66" w:name="bookmark54"/>
      <w:bookmarkEnd w:id="66"/>
      <w:bookmarkStart w:id="67" w:name="bookmark53"/>
      <w:bookmarkEnd w:id="67"/>
      <w:r>
        <w:rPr>
          <w:rFonts w:ascii="Times New Roman" w:hAnsi="Times New Roman" w:eastAsia="Times New Roman" w:cs="Times New Roman"/>
          <w:b/>
          <w:bCs/>
          <w:spacing w:val="-3"/>
          <w:sz w:val="30"/>
          <w:szCs w:val="30"/>
        </w:rPr>
        <w:t xml:space="preserve">4.1 </w:t>
      </w:r>
      <w:r>
        <w:rPr>
          <w:rFonts w:ascii="FangSong_GB2312" w:hAnsi="FangSong_GB2312" w:eastAsia="FangSong_GB2312" w:cs="FangSong_GB2312"/>
          <w:b/>
          <w:bCs/>
          <w:spacing w:val="-3"/>
          <w:sz w:val="30"/>
          <w:szCs w:val="30"/>
        </w:rPr>
        <w:t>水土流失现状</w:t>
      </w:r>
    </w:p>
    <w:p w14:paraId="64224C81">
      <w:pPr>
        <w:pStyle w:val="2"/>
        <w:spacing w:line="354" w:lineRule="auto"/>
      </w:pPr>
    </w:p>
    <w:p w14:paraId="1BF59CF8">
      <w:pPr>
        <w:spacing w:before="78" w:line="216"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6"/>
          <w:sz w:val="24"/>
          <w:szCs w:val="24"/>
        </w:rPr>
        <w:t>、区域水土流失现状</w:t>
      </w:r>
    </w:p>
    <w:p w14:paraId="4932EC21">
      <w:pPr>
        <w:spacing w:before="187" w:line="359" w:lineRule="auto"/>
        <w:ind w:left="7" w:right="44" w:firstLine="479"/>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w:t>
      </w:r>
      <w:r>
        <w:rPr>
          <w:rFonts w:ascii="FangSong_GB2312" w:hAnsi="FangSong_GB2312" w:eastAsia="FangSong_GB2312" w:cs="FangSong_GB2312"/>
          <w:spacing w:val="6"/>
          <w:sz w:val="24"/>
          <w:szCs w:val="24"/>
        </w:rPr>
        <w:t>点治理区复核划分成</w:t>
      </w:r>
      <w:r>
        <w:rPr>
          <w:rFonts w:ascii="FangSong_GB2312" w:hAnsi="FangSong_GB2312" w:eastAsia="FangSong_GB2312" w:cs="FangSong_GB2312"/>
          <w:sz w:val="24"/>
          <w:szCs w:val="24"/>
        </w:rPr>
        <w:t>果》（办水保〔</w:t>
      </w:r>
      <w:r>
        <w:rPr>
          <w:rFonts w:ascii="Times New Roman" w:hAnsi="Times New Roman" w:eastAsia="Times New Roman" w:cs="Times New Roman"/>
          <w:sz w:val="24"/>
          <w:szCs w:val="24"/>
        </w:rPr>
        <w:t>2013</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188</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z w:val="24"/>
          <w:szCs w:val="24"/>
        </w:rPr>
        <w:t>号</w:t>
      </w:r>
      <w:r>
        <w:rPr>
          <w:rFonts w:ascii="FangSong_GB2312" w:hAnsi="FangSong_GB2312" w:eastAsia="FangSong_GB2312" w:cs="FangSong_GB2312"/>
          <w:spacing w:val="13"/>
          <w:sz w:val="24"/>
          <w:szCs w:val="24"/>
        </w:rPr>
        <w:t>），</w:t>
      </w:r>
      <w:r>
        <w:rPr>
          <w:rFonts w:ascii="FangSong_GB2312" w:hAnsi="FangSong_GB2312" w:eastAsia="FangSong_GB2312" w:cs="FangSong_GB2312"/>
          <w:sz w:val="24"/>
          <w:szCs w:val="24"/>
        </w:rPr>
        <w:t>本工程涉及的剑阁县属于国家级水土流失重点治理</w:t>
      </w:r>
      <w:r>
        <w:rPr>
          <w:rFonts w:ascii="FangSong_GB2312" w:hAnsi="FangSong_GB2312" w:eastAsia="FangSong_GB2312" w:cs="FangSong_GB2312"/>
          <w:spacing w:val="-1"/>
          <w:sz w:val="24"/>
          <w:szCs w:val="24"/>
        </w:rPr>
        <w:t>区（嘉陵江及沱江中下游国家级水土流失重点治理区</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1"/>
          <w:sz w:val="24"/>
          <w:szCs w:val="24"/>
        </w:rPr>
        <w:t>根据区域水土流失遥感资料</w:t>
      </w:r>
      <w:r>
        <w:rPr>
          <w:rFonts w:ascii="FangSong_GB2312" w:hAnsi="FangSong_GB2312" w:eastAsia="FangSong_GB2312" w:cs="FangSong_GB2312"/>
          <w:spacing w:val="-5"/>
          <w:sz w:val="24"/>
          <w:szCs w:val="24"/>
        </w:rPr>
        <w:t>分析及水土流失现状调查，项目区水土流失类型主要为水力侵蚀，尤其以面蚀、片蚀、</w:t>
      </w:r>
      <w:r>
        <w:rPr>
          <w:rFonts w:ascii="FangSong_GB2312" w:hAnsi="FangSong_GB2312" w:eastAsia="FangSong_GB2312" w:cs="FangSong_GB2312"/>
          <w:sz w:val="24"/>
          <w:szCs w:val="24"/>
        </w:rPr>
        <w:t>沟蚀等类型为主，面蚀主要发生在疏幼林中，片蚀主要发生</w:t>
      </w:r>
      <w:r>
        <w:rPr>
          <w:rFonts w:ascii="FangSong_GB2312" w:hAnsi="FangSong_GB2312" w:eastAsia="FangSong_GB2312" w:cs="FangSong_GB2312"/>
          <w:spacing w:val="-1"/>
          <w:sz w:val="24"/>
          <w:szCs w:val="24"/>
        </w:rPr>
        <w:t>在植被局部遭受破坏的山</w:t>
      </w:r>
      <w:r>
        <w:rPr>
          <w:rFonts w:ascii="FangSong_GB2312" w:hAnsi="FangSong_GB2312" w:eastAsia="FangSong_GB2312" w:cs="FangSong_GB2312"/>
          <w:sz w:val="24"/>
          <w:szCs w:val="24"/>
        </w:rPr>
        <w:t>坡，沟蚀是在面蚀和片蚀的基础上产生的，主要发生在岩性</w:t>
      </w:r>
      <w:r>
        <w:rPr>
          <w:rFonts w:ascii="FangSong_GB2312" w:hAnsi="FangSong_GB2312" w:eastAsia="FangSong_GB2312" w:cs="FangSong_GB2312"/>
          <w:spacing w:val="-1"/>
          <w:sz w:val="24"/>
          <w:szCs w:val="24"/>
        </w:rPr>
        <w:t>松软的裸露山坡地带。项目区土壤侵蚀见附图。</w:t>
      </w:r>
    </w:p>
    <w:p w14:paraId="5B1CB8F8">
      <w:pPr>
        <w:spacing w:before="1" w:line="359" w:lineRule="auto"/>
        <w:ind w:left="11" w:right="115" w:firstLine="483"/>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剑阁县全境幅员面积</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3204km</w:t>
      </w:r>
      <w:r>
        <w:rPr>
          <w:rFonts w:ascii="Times New Roman" w:hAnsi="Times New Roman" w:eastAsia="Times New Roman" w:cs="Times New Roman"/>
          <w:spacing w:val="-2"/>
          <w:position w:val="8"/>
          <w:sz w:val="15"/>
          <w:szCs w:val="15"/>
        </w:rPr>
        <w:t xml:space="preserve">2 </w:t>
      </w:r>
      <w:r>
        <w:rPr>
          <w:rFonts w:ascii="FangSong_GB2312" w:hAnsi="FangSong_GB2312" w:eastAsia="FangSong_GB2312" w:cs="FangSong_GB2312"/>
          <w:spacing w:val="-2"/>
          <w:sz w:val="24"/>
          <w:szCs w:val="24"/>
        </w:rPr>
        <w:t>，轻度</w:t>
      </w:r>
      <w:r>
        <w:rPr>
          <w:rFonts w:ascii="FangSong_GB2312" w:hAnsi="FangSong_GB2312" w:eastAsia="FangSong_GB2312" w:cs="FangSong_GB2312"/>
          <w:spacing w:val="-3"/>
          <w:sz w:val="24"/>
          <w:szCs w:val="24"/>
        </w:rPr>
        <w:t>及以上水土流失面积</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1383.39km</w:t>
      </w:r>
      <w:r>
        <w:rPr>
          <w:rFonts w:ascii="Times New Roman" w:hAnsi="Times New Roman" w:eastAsia="Times New Roman" w:cs="Times New Roman"/>
          <w:spacing w:val="-3"/>
          <w:position w:val="8"/>
          <w:sz w:val="15"/>
          <w:szCs w:val="15"/>
        </w:rPr>
        <w:t xml:space="preserve">2 </w:t>
      </w:r>
      <w:r>
        <w:rPr>
          <w:rFonts w:ascii="FangSong_GB2312" w:hAnsi="FangSong_GB2312" w:eastAsia="FangSong_GB2312" w:cs="FangSong_GB2312"/>
          <w:spacing w:val="-3"/>
          <w:sz w:val="24"/>
          <w:szCs w:val="24"/>
        </w:rPr>
        <w:t>，占幅员面积的</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3"/>
          <w:sz w:val="24"/>
          <w:szCs w:val="24"/>
        </w:rPr>
        <w:t>43.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w:t>
      </w:r>
      <w:r>
        <w:rPr>
          <w:rFonts w:ascii="FangSong_GB2312" w:hAnsi="FangSong_GB2312" w:eastAsia="FangSong_GB2312" w:cs="FangSong_GB2312"/>
          <w:spacing w:val="-3"/>
          <w:sz w:val="24"/>
          <w:szCs w:val="24"/>
        </w:rPr>
        <w:t>，总体侵蚀强度属轻度侵蚀，流失类型以水力侵蚀为主，</w:t>
      </w:r>
      <w:r>
        <w:rPr>
          <w:rFonts w:ascii="FangSong_GB2312" w:hAnsi="FangSong_GB2312" w:eastAsia="FangSong_GB2312" w:cs="FangSong_GB2312"/>
          <w:spacing w:val="-4"/>
          <w:sz w:val="24"/>
          <w:szCs w:val="24"/>
        </w:rPr>
        <w:t>侵蚀形式主要表</w:t>
      </w:r>
      <w:r>
        <w:rPr>
          <w:rFonts w:ascii="FangSong_GB2312" w:hAnsi="FangSong_GB2312" w:eastAsia="FangSong_GB2312" w:cs="FangSong_GB2312"/>
          <w:spacing w:val="-2"/>
          <w:sz w:val="24"/>
          <w:szCs w:val="24"/>
        </w:rPr>
        <w:t>现为面蚀和沟蚀。</w:t>
      </w:r>
    </w:p>
    <w:p w14:paraId="4898E4C9">
      <w:pPr>
        <w:spacing w:before="1" w:line="213"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3"/>
          <w:sz w:val="24"/>
          <w:szCs w:val="24"/>
        </w:rPr>
        <w:t>、项目建设区水土流失现状</w:t>
      </w:r>
    </w:p>
    <w:p w14:paraId="3FBE253F">
      <w:pPr>
        <w:spacing w:before="183" w:line="359" w:lineRule="auto"/>
        <w:ind w:left="14" w:firstLine="472"/>
        <w:rPr>
          <w:rFonts w:ascii="FangSong_GB2312" w:hAnsi="FangSong_GB2312" w:eastAsia="FangSong_GB2312" w:cs="FangSong_GB2312"/>
          <w:sz w:val="24"/>
          <w:szCs w:val="24"/>
        </w:rPr>
      </w:pPr>
      <w:r>
        <w:rPr>
          <w:rFonts w:ascii="FangSong_GB2312" w:hAnsi="FangSong_GB2312" w:eastAsia="FangSong_GB2312" w:cs="FangSong_GB2312"/>
          <w:sz w:val="24"/>
          <w:szCs w:val="24"/>
        </w:rPr>
        <w:t>根据水利普查数据，结合项目区地形图分析，并经现场踏</w:t>
      </w:r>
      <w:r>
        <w:rPr>
          <w:rFonts w:ascii="FangSong_GB2312" w:hAnsi="FangSong_GB2312" w:eastAsia="FangSong_GB2312" w:cs="FangSong_GB2312"/>
          <w:spacing w:val="-1"/>
          <w:sz w:val="24"/>
          <w:szCs w:val="24"/>
        </w:rPr>
        <w:t>勘调查项目区土地利用</w:t>
      </w:r>
      <w:r>
        <w:rPr>
          <w:rFonts w:ascii="FangSong_GB2312" w:hAnsi="FangSong_GB2312" w:eastAsia="FangSong_GB2312" w:cs="FangSong_GB2312"/>
          <w:spacing w:val="-10"/>
          <w:sz w:val="24"/>
          <w:szCs w:val="24"/>
        </w:rPr>
        <w:t>类型、面积、地形坡度和植被覆盖率等，参考</w:t>
      </w:r>
      <w:r>
        <w:rPr>
          <w:rFonts w:ascii="FangSong_GB2312" w:hAnsi="FangSong_GB2312" w:eastAsia="FangSong_GB2312" w:cs="FangSong_GB2312"/>
          <w:spacing w:val="-11"/>
          <w:sz w:val="24"/>
          <w:szCs w:val="24"/>
        </w:rPr>
        <w:t>《土壤侵蚀分类分级标准》（</w:t>
      </w:r>
      <w:r>
        <w:rPr>
          <w:rFonts w:ascii="Times New Roman" w:hAnsi="Times New Roman" w:eastAsia="Times New Roman" w:cs="Times New Roman"/>
          <w:spacing w:val="-11"/>
          <w:sz w:val="24"/>
          <w:szCs w:val="24"/>
        </w:rPr>
        <w:t>SL</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1"/>
          <w:sz w:val="24"/>
          <w:szCs w:val="24"/>
        </w:rPr>
        <w:t>190-2007</w:t>
      </w:r>
      <w:r>
        <w:rPr>
          <w:rFonts w:ascii="FangSong_GB2312" w:hAnsi="FangSong_GB2312" w:eastAsia="FangSong_GB2312" w:cs="FangSong_GB2312"/>
          <w:spacing w:val="-11"/>
          <w:sz w:val="24"/>
          <w:szCs w:val="24"/>
        </w:rPr>
        <w:t>）</w:t>
      </w:r>
      <w:r>
        <w:rPr>
          <w:rFonts w:ascii="FangSong_GB2312" w:hAnsi="FangSong_GB2312" w:eastAsia="FangSong_GB2312" w:cs="FangSong_GB2312"/>
          <w:sz w:val="24"/>
          <w:szCs w:val="24"/>
        </w:rPr>
        <w:t>中的</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土壤侵蚀强度分级标准表</w:t>
      </w:r>
      <w:r>
        <w:rPr>
          <w:rFonts w:ascii="Times New Roman" w:hAnsi="Times New Roman" w:eastAsia="Times New Roman" w:cs="Times New Roman"/>
          <w:sz w:val="24"/>
          <w:szCs w:val="24"/>
        </w:rPr>
        <w:t>”</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面蚀分级指标表</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以及《生产建设项目水土流失防</w:t>
      </w:r>
      <w:r>
        <w:rPr>
          <w:rFonts w:ascii="FangSong_GB2312" w:hAnsi="FangSong_GB2312" w:eastAsia="FangSong_GB2312" w:cs="FangSong_GB2312"/>
          <w:spacing w:val="-2"/>
          <w:sz w:val="24"/>
          <w:szCs w:val="24"/>
        </w:rPr>
        <w:t>治标准》（</w:t>
      </w:r>
      <w:r>
        <w:rPr>
          <w:rFonts w:ascii="Times New Roman" w:hAnsi="Times New Roman" w:eastAsia="Times New Roman" w:cs="Times New Roman"/>
          <w:spacing w:val="-2"/>
          <w:sz w:val="24"/>
          <w:szCs w:val="24"/>
        </w:rPr>
        <w:t>GB /T50434-2018</w:t>
      </w:r>
      <w:r>
        <w:rPr>
          <w:rFonts w:ascii="FangSong_GB2312" w:hAnsi="FangSong_GB2312" w:eastAsia="FangSong_GB2312" w:cs="FangSong_GB2312"/>
          <w:spacing w:val="-2"/>
          <w:sz w:val="24"/>
          <w:szCs w:val="24"/>
        </w:rPr>
        <w:t>）等相关规程规范，结</w:t>
      </w:r>
      <w:r>
        <w:rPr>
          <w:rFonts w:ascii="FangSong_GB2312" w:hAnsi="FangSong_GB2312" w:eastAsia="FangSong_GB2312" w:cs="FangSong_GB2312"/>
          <w:spacing w:val="-3"/>
          <w:sz w:val="24"/>
          <w:szCs w:val="24"/>
        </w:rPr>
        <w:t>合区域地形地貌、地表植被及土壤</w:t>
      </w:r>
      <w:r>
        <w:rPr>
          <w:rFonts w:ascii="FangSong_GB2312" w:hAnsi="FangSong_GB2312" w:eastAsia="FangSong_GB2312" w:cs="FangSong_GB2312"/>
          <w:spacing w:val="2"/>
          <w:sz w:val="24"/>
          <w:szCs w:val="24"/>
        </w:rPr>
        <w:t>等水土流失因子进行综合分析。按照《土壤侵蚀分类分级标准》</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SL</w:t>
      </w:r>
      <w:r>
        <w:rPr>
          <w:rFonts w:ascii="Times New Roman" w:hAnsi="Times New Roman" w:eastAsia="Times New Roman" w:cs="Times New Roman"/>
          <w:spacing w:val="2"/>
          <w:sz w:val="24"/>
          <w:szCs w:val="24"/>
        </w:rPr>
        <w:t>190-2007)</w:t>
      </w:r>
      <w:r>
        <w:rPr>
          <w:rFonts w:ascii="FangSong_GB2312" w:hAnsi="FangSong_GB2312" w:eastAsia="FangSong_GB2312" w:cs="FangSong_GB2312"/>
          <w:spacing w:val="2"/>
          <w:sz w:val="24"/>
          <w:szCs w:val="24"/>
        </w:rPr>
        <w:t>确定，</w:t>
      </w:r>
      <w:r>
        <w:rPr>
          <w:rFonts w:ascii="FangSong_GB2312" w:hAnsi="FangSong_GB2312" w:eastAsia="FangSong_GB2312" w:cs="FangSong_GB2312"/>
          <w:sz w:val="24"/>
          <w:szCs w:val="24"/>
        </w:rPr>
        <w:t>对水域、硬化地面、裸岩等无土体的微度流</w:t>
      </w:r>
      <w:r>
        <w:rPr>
          <w:rFonts w:ascii="FangSong_GB2312" w:hAnsi="FangSong_GB2312" w:eastAsia="FangSong_GB2312" w:cs="FangSong_GB2312"/>
          <w:spacing w:val="-1"/>
          <w:sz w:val="24"/>
          <w:szCs w:val="24"/>
        </w:rPr>
        <w:t>失区可不计背景值；根据《四川省水利厅</w:t>
      </w:r>
      <w:r>
        <w:rPr>
          <w:rFonts w:ascii="FangSong_GB2312" w:hAnsi="FangSong_GB2312" w:eastAsia="FangSong_GB2312" w:cs="FangSong_GB2312"/>
          <w:spacing w:val="3"/>
          <w:sz w:val="24"/>
          <w:szCs w:val="24"/>
        </w:rPr>
        <w:t>关于印发</w:t>
      </w:r>
      <w:r>
        <w:rPr>
          <w:rFonts w:ascii="Times New Roman" w:hAnsi="Times New Roman" w:eastAsia="Times New Roman" w:cs="Times New Roman"/>
          <w:spacing w:val="3"/>
          <w:sz w:val="24"/>
          <w:szCs w:val="24"/>
        </w:rPr>
        <w:t>&lt;</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pacing w:val="3"/>
          <w:sz w:val="24"/>
          <w:szCs w:val="24"/>
        </w:rPr>
        <w:t>四川省水土保持方案编制与审查若干技术问题暂行规定</w:t>
      </w:r>
      <w:r>
        <w:rPr>
          <w:rFonts w:ascii="Times New Roman" w:hAnsi="Times New Roman" w:eastAsia="Times New Roman" w:cs="Times New Roman"/>
          <w:spacing w:val="3"/>
          <w:sz w:val="24"/>
          <w:szCs w:val="24"/>
        </w:rPr>
        <w:t>&gt;</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3"/>
          <w:sz w:val="24"/>
          <w:szCs w:val="24"/>
        </w:rPr>
        <w:t>的函》（川水函</w:t>
      </w:r>
      <w:r>
        <w:rPr>
          <w:rFonts w:ascii="FangSong_GB2312" w:hAnsi="FangSong_GB2312" w:eastAsia="FangSong_GB2312" w:cs="FangSong_GB2312"/>
          <w:sz w:val="24"/>
          <w:szCs w:val="24"/>
        </w:rPr>
        <w:t xml:space="preserve"> </w:t>
      </w:r>
      <w:r>
        <w:rPr>
          <w:rFonts w:hint="eastAsia"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t>2014</w:t>
      </w:r>
      <w:r>
        <w:rPr>
          <w:rFonts w:hint="eastAsia"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rPr>
        <w:t>1723</w:t>
      </w:r>
      <w:r>
        <w:rPr>
          <w:rFonts w:ascii="FangSong_GB2312" w:hAnsi="FangSong_GB2312" w:eastAsia="FangSong_GB2312" w:cs="FangSong_GB2312"/>
          <w:spacing w:val="-2"/>
          <w:sz w:val="24"/>
          <w:szCs w:val="24"/>
        </w:rPr>
        <w:t>号）规定，对有土体的微度流失区，背景值可直接取</w:t>
      </w:r>
      <w:r>
        <w:rPr>
          <w:rFonts w:ascii="Times New Roman" w:hAnsi="Times New Roman" w:eastAsia="Times New Roman" w:cs="Times New Roman"/>
          <w:spacing w:val="-2"/>
          <w:sz w:val="24"/>
          <w:szCs w:val="24"/>
        </w:rPr>
        <w:t>300t/km²</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2"/>
          <w:sz w:val="24"/>
          <w:szCs w:val="24"/>
        </w:rPr>
        <w:t>。轻度及以</w:t>
      </w:r>
      <w:r>
        <w:rPr>
          <w:rFonts w:ascii="FangSong_GB2312" w:hAnsi="FangSong_GB2312" w:eastAsia="FangSong_GB2312" w:cs="FangSong_GB2312"/>
          <w:spacing w:val="-1"/>
          <w:sz w:val="24"/>
          <w:szCs w:val="24"/>
        </w:rPr>
        <w:t>上的流失区，背景值一般取标准中的区间平均值。</w:t>
      </w:r>
    </w:p>
    <w:p w14:paraId="4E3E5D50">
      <w:pPr>
        <w:spacing w:before="8" w:line="359" w:lineRule="auto"/>
        <w:ind w:left="10" w:right="115" w:firstLine="485"/>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经调查测算，确定水土流失强度主要表现为轻度侵蚀，水土流失类型主要为面浊</w:t>
      </w:r>
      <w:r>
        <w:rPr>
          <w:rFonts w:ascii="FangSong_GB2312" w:hAnsi="FangSong_GB2312" w:eastAsia="FangSong_GB2312" w:cs="FangSong_GB2312"/>
          <w:spacing w:val="10"/>
          <w:sz w:val="24"/>
          <w:szCs w:val="24"/>
        </w:rPr>
        <w:t>和沟蚀，水土流失形式以水力侵蚀为主，项</w:t>
      </w:r>
      <w:r>
        <w:rPr>
          <w:rFonts w:ascii="FangSong_GB2312" w:hAnsi="FangSong_GB2312" w:eastAsia="FangSong_GB2312" w:cs="FangSong_GB2312"/>
          <w:spacing w:val="-53"/>
          <w:sz w:val="24"/>
          <w:szCs w:val="24"/>
        </w:rPr>
        <w:t xml:space="preserve"> </w:t>
      </w:r>
      <w:r>
        <w:rPr>
          <w:rFonts w:ascii="FangSong_GB2312" w:hAnsi="FangSong_GB2312" w:eastAsia="FangSong_GB2312" w:cs="FangSong_GB2312"/>
          <w:spacing w:val="10"/>
          <w:sz w:val="24"/>
          <w:szCs w:val="24"/>
        </w:rPr>
        <w:t>目</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10"/>
          <w:sz w:val="24"/>
          <w:szCs w:val="24"/>
        </w:rPr>
        <w:t>占地</w:t>
      </w:r>
      <w:r>
        <w:rPr>
          <w:rFonts w:ascii="FangSong_GB2312" w:hAnsi="FangSong_GB2312" w:eastAsia="FangSong_GB2312" w:cs="FangSong_GB2312"/>
          <w:spacing w:val="9"/>
          <w:sz w:val="24"/>
          <w:szCs w:val="24"/>
        </w:rPr>
        <w:t>区域的土壤侵蚀模数背景值为</w:t>
      </w:r>
      <w:r>
        <w:rPr>
          <w:rFonts w:ascii="Times New Roman" w:hAnsi="Times New Roman" w:eastAsia="Times New Roman" w:cs="Times New Roman"/>
          <w:spacing w:val="-3"/>
          <w:sz w:val="24"/>
          <w:szCs w:val="24"/>
        </w:rPr>
        <w:t>900km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8"/>
          <w:position w:val="8"/>
          <w:sz w:val="15"/>
          <w:szCs w:val="15"/>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3"/>
          <w:sz w:val="24"/>
          <w:szCs w:val="24"/>
        </w:rPr>
        <w:t>，项目占地范围内年平均土壤侵蚀量约为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0.27t</w:t>
      </w:r>
      <w:r>
        <w:rPr>
          <w:rFonts w:ascii="FangSong_GB2312" w:hAnsi="FangSong_GB2312" w:eastAsia="FangSong_GB2312" w:cs="FangSong_GB2312"/>
          <w:spacing w:val="-3"/>
          <w:sz w:val="24"/>
          <w:szCs w:val="24"/>
        </w:rPr>
        <w:t>。</w:t>
      </w:r>
    </w:p>
    <w:p w14:paraId="7212B61F">
      <w:pPr>
        <w:spacing w:before="1"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3"/>
          <w:sz w:val="24"/>
          <w:szCs w:val="24"/>
        </w:rPr>
        <w:t>、项目区所处的水土流失重点防治区</w:t>
      </w:r>
    </w:p>
    <w:p w14:paraId="085B552C">
      <w:pPr>
        <w:spacing w:before="187" w:line="331" w:lineRule="auto"/>
        <w:ind w:left="8" w:right="115" w:firstLine="478"/>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根据《全国水土保持规划国家级水土流失重点预防区和重点治理区划分成果》（办</w:t>
      </w:r>
      <w:r>
        <w:rPr>
          <w:rFonts w:ascii="FangSong_GB2312" w:hAnsi="FangSong_GB2312" w:eastAsia="FangSong_GB2312" w:cs="FangSong_GB2312"/>
          <w:sz w:val="24"/>
          <w:szCs w:val="24"/>
        </w:rPr>
        <w:t>水保〔</w:t>
      </w:r>
      <w:r>
        <w:rPr>
          <w:rFonts w:ascii="Times New Roman" w:hAnsi="Times New Roman" w:eastAsia="Times New Roman" w:cs="Times New Roman"/>
          <w:sz w:val="24"/>
          <w:szCs w:val="24"/>
        </w:rPr>
        <w:t>2013</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188</w:t>
      </w:r>
      <w:r>
        <w:rPr>
          <w:rFonts w:ascii="FangSong_GB2312" w:hAnsi="FangSong_GB2312" w:eastAsia="FangSong_GB2312" w:cs="FangSong_GB2312"/>
          <w:sz w:val="24"/>
          <w:szCs w:val="24"/>
        </w:rPr>
        <w:t>号</w:t>
      </w:r>
      <w:r>
        <w:rPr>
          <w:rFonts w:ascii="FangSong_GB2312" w:hAnsi="FangSong_GB2312" w:eastAsia="FangSong_GB2312" w:cs="FangSong_GB2312"/>
          <w:spacing w:val="7"/>
          <w:sz w:val="24"/>
          <w:szCs w:val="24"/>
        </w:rPr>
        <w:t>），</w:t>
      </w:r>
      <w:r>
        <w:rPr>
          <w:rFonts w:ascii="FangSong_GB2312" w:hAnsi="FangSong_GB2312" w:eastAsia="FangSong_GB2312" w:cs="FangSong_GB2312"/>
          <w:sz w:val="24"/>
          <w:szCs w:val="24"/>
        </w:rPr>
        <w:t>项目所在地广元市剑阁县属于国</w:t>
      </w:r>
      <w:r>
        <w:rPr>
          <w:rFonts w:ascii="FangSong_GB2312" w:hAnsi="FangSong_GB2312" w:eastAsia="FangSong_GB2312" w:cs="FangSong_GB2312"/>
          <w:spacing w:val="-1"/>
          <w:sz w:val="24"/>
          <w:szCs w:val="24"/>
        </w:rPr>
        <w:t>家级水土流失重点治理区</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嘉</w:t>
      </w:r>
    </w:p>
    <w:p w14:paraId="2D7E5BB9">
      <w:pPr>
        <w:spacing w:before="1" w:line="228" w:lineRule="auto"/>
        <w:ind w:left="5384"/>
        <w:rPr>
          <w:rFonts w:ascii="FangSong_GB2312" w:hAnsi="FangSong_GB2312" w:eastAsia="FangSong_GB2312" w:cs="FangSong_GB2312"/>
          <w:sz w:val="20"/>
          <w:szCs w:val="20"/>
        </w:rPr>
      </w:pPr>
      <w:r>
        <w:pict>
          <v:shape id="_x0000_s1063" o:spid="_x0000_s1063" o:spt="202" type="#_x0000_t202" style="position:absolute;left:0pt;margin-left:216.8pt;margin-top:-0.2pt;height:10.15pt;width:10.7pt;z-index:251731968;mso-width-relative:page;mso-height-relative:page;" filled="f" stroked="f" coordsize="21600,21600">
            <v:path/>
            <v:fill on="f" focussize="0,0"/>
            <v:stroke on="f"/>
            <v:imagedata o:title=""/>
            <o:lock v:ext="edit" aspectratio="f"/>
            <v:textbox inset="0mm,0mm,0mm,0mm">
              <w:txbxContent>
                <w:p w14:paraId="0B4D9F4F">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txbxContent>
            </v:textbox>
          </v:shape>
        </w:pict>
      </w:r>
      <w:r>
        <w:rPr>
          <w:rFonts w:ascii="FangSong_GB2312" w:hAnsi="FangSong_GB2312" w:eastAsia="FangSong_GB2312" w:cs="FangSong_GB2312"/>
          <w:spacing w:val="8"/>
          <w:sz w:val="20"/>
          <w:szCs w:val="20"/>
        </w:rPr>
        <w:t>剑阁县绿森林业勘察设计有限公司</w:t>
      </w:r>
    </w:p>
    <w:p w14:paraId="5F2B2E2F">
      <w:pPr>
        <w:spacing w:line="228" w:lineRule="auto"/>
        <w:rPr>
          <w:rFonts w:ascii="FangSong_GB2312" w:hAnsi="FangSong_GB2312" w:eastAsia="FangSong_GB2312" w:cs="FangSong_GB2312"/>
          <w:sz w:val="20"/>
          <w:szCs w:val="20"/>
        </w:rPr>
        <w:sectPr>
          <w:headerReference r:id="rId49" w:type="default"/>
          <w:pgSz w:w="11906" w:h="16839"/>
          <w:pgMar w:top="1159" w:right="1399" w:bottom="400" w:left="1513" w:header="831" w:footer="0" w:gutter="0"/>
          <w:cols w:space="720" w:num="1"/>
        </w:sectPr>
      </w:pPr>
    </w:p>
    <w:p w14:paraId="6F9A8080">
      <w:pPr>
        <w:spacing w:before="204" w:line="357" w:lineRule="auto"/>
        <w:ind w:left="149" w:right="89"/>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陵江及沱江中下游国家级水土流失重点治理区</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，项目区水土流失以水力侵蚀为主，按</w:t>
      </w:r>
      <w:r>
        <w:rPr>
          <w:rFonts w:ascii="FangSong_GB2312" w:hAnsi="FangSong_GB2312" w:eastAsia="FangSong_GB2312" w:cs="FangSong_GB2312"/>
          <w:spacing w:val="-2"/>
          <w:sz w:val="24"/>
          <w:szCs w:val="24"/>
        </w:rPr>
        <w:t>照《土壤侵蚀分类分级标准》（</w:t>
      </w:r>
      <w:r>
        <w:rPr>
          <w:rFonts w:ascii="Times New Roman" w:hAnsi="Times New Roman" w:eastAsia="Times New Roman" w:cs="Times New Roman"/>
          <w:spacing w:val="-2"/>
          <w:sz w:val="24"/>
          <w:szCs w:val="24"/>
        </w:rPr>
        <w:t>SL190-2007</w:t>
      </w:r>
      <w:r>
        <w:rPr>
          <w:rFonts w:ascii="FangSong_GB2312" w:hAnsi="FangSong_GB2312" w:eastAsia="FangSong_GB2312" w:cs="FangSong_GB2312"/>
          <w:spacing w:val="7"/>
          <w:sz w:val="24"/>
          <w:szCs w:val="24"/>
        </w:rPr>
        <w:t>），</w:t>
      </w:r>
      <w:r>
        <w:rPr>
          <w:rFonts w:ascii="FangSong_GB2312" w:hAnsi="FangSong_GB2312" w:eastAsia="FangSong_GB2312" w:cs="FangSong_GB2312"/>
          <w:spacing w:val="-2"/>
          <w:sz w:val="24"/>
          <w:szCs w:val="24"/>
        </w:rPr>
        <w:t>项目区容许土壤流失量为</w:t>
      </w:r>
      <w:r>
        <w:rPr>
          <w:rFonts w:ascii="Times New Roman" w:hAnsi="Times New Roman" w:eastAsia="Times New Roman" w:cs="Times New Roman"/>
          <w:spacing w:val="-2"/>
          <w:sz w:val="24"/>
          <w:szCs w:val="24"/>
        </w:rPr>
        <w:t>500t/km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3"/>
          <w:sz w:val="24"/>
          <w:szCs w:val="24"/>
        </w:rPr>
        <w:t>.a</w:t>
      </w:r>
      <w:r>
        <w:rPr>
          <w:rFonts w:ascii="FangSong_GB2312" w:hAnsi="FangSong_GB2312" w:eastAsia="FangSong_GB2312" w:cs="FangSong_GB2312"/>
          <w:spacing w:val="-3"/>
          <w:sz w:val="24"/>
          <w:szCs w:val="24"/>
        </w:rPr>
        <w:t>。</w:t>
      </w:r>
    </w:p>
    <w:p w14:paraId="513FF7FD">
      <w:pPr>
        <w:spacing w:before="273" w:line="214" w:lineRule="auto"/>
        <w:ind w:left="130"/>
        <w:outlineLvl w:val="1"/>
        <w:rPr>
          <w:rFonts w:ascii="FangSong_GB2312" w:hAnsi="FangSong_GB2312" w:eastAsia="FangSong_GB2312" w:cs="FangSong_GB2312"/>
          <w:sz w:val="30"/>
          <w:szCs w:val="30"/>
        </w:rPr>
      </w:pPr>
      <w:bookmarkStart w:id="68" w:name="bookmark56"/>
      <w:bookmarkEnd w:id="68"/>
      <w:bookmarkStart w:id="69" w:name="bookmark55"/>
      <w:bookmarkEnd w:id="69"/>
      <w:r>
        <w:rPr>
          <w:rFonts w:ascii="Times New Roman" w:hAnsi="Times New Roman" w:eastAsia="Times New Roman" w:cs="Times New Roman"/>
          <w:b/>
          <w:bCs/>
          <w:spacing w:val="-3"/>
          <w:sz w:val="30"/>
          <w:szCs w:val="30"/>
        </w:rPr>
        <w:t xml:space="preserve">4.2 </w:t>
      </w:r>
      <w:r>
        <w:rPr>
          <w:rFonts w:ascii="FangSong_GB2312" w:hAnsi="FangSong_GB2312" w:eastAsia="FangSong_GB2312" w:cs="FangSong_GB2312"/>
          <w:b/>
          <w:bCs/>
          <w:spacing w:val="-3"/>
          <w:sz w:val="30"/>
          <w:szCs w:val="30"/>
        </w:rPr>
        <w:t>水土流失影响因素分析</w:t>
      </w:r>
    </w:p>
    <w:p w14:paraId="2E930A86">
      <w:pPr>
        <w:pStyle w:val="2"/>
        <w:spacing w:line="351" w:lineRule="auto"/>
      </w:pPr>
    </w:p>
    <w:p w14:paraId="31ABC100">
      <w:pPr>
        <w:spacing w:before="91" w:line="213" w:lineRule="auto"/>
        <w:ind w:left="12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4.2.1  </w:t>
      </w:r>
      <w:r>
        <w:rPr>
          <w:rFonts w:ascii="FangSong_GB2312" w:hAnsi="FangSong_GB2312" w:eastAsia="FangSong_GB2312" w:cs="FangSong_GB2312"/>
          <w:b/>
          <w:bCs/>
          <w:spacing w:val="-2"/>
          <w:sz w:val="28"/>
          <w:szCs w:val="28"/>
        </w:rPr>
        <w:t>工程建设与生产对水土流失的影响</w:t>
      </w:r>
    </w:p>
    <w:p w14:paraId="4E6B130B">
      <w:pPr>
        <w:pStyle w:val="2"/>
        <w:spacing w:line="372" w:lineRule="auto"/>
      </w:pPr>
    </w:p>
    <w:p w14:paraId="0EABC547">
      <w:pPr>
        <w:spacing w:before="78" w:line="359" w:lineRule="auto"/>
        <w:ind w:left="125" w:right="122" w:firstLine="486"/>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本项目在建设过程中新增水土流失主要是由于人为</w:t>
      </w:r>
      <w:r>
        <w:rPr>
          <w:rFonts w:ascii="FangSong_GB2312" w:hAnsi="FangSong_GB2312" w:eastAsia="FangSong_GB2312" w:cs="FangSong_GB2312"/>
          <w:spacing w:val="-1"/>
          <w:sz w:val="24"/>
          <w:szCs w:val="24"/>
        </w:rPr>
        <w:t>扰动地表、构筑人工再塑地貌</w:t>
      </w:r>
      <w:r>
        <w:rPr>
          <w:rFonts w:ascii="FangSong_GB2312" w:hAnsi="FangSong_GB2312" w:eastAsia="FangSong_GB2312" w:cs="FangSong_GB2312"/>
          <w:sz w:val="24"/>
          <w:szCs w:val="24"/>
        </w:rPr>
        <w:t>等活动，由于人为因素损毁原有地貌和地表结皮，改变了侵蚀营力与</w:t>
      </w:r>
      <w:r>
        <w:rPr>
          <w:rFonts w:ascii="FangSong_GB2312" w:hAnsi="FangSong_GB2312" w:eastAsia="FangSong_GB2312" w:cs="FangSong_GB2312"/>
          <w:spacing w:val="-1"/>
          <w:sz w:val="24"/>
          <w:szCs w:val="24"/>
        </w:rPr>
        <w:t>土体抵抗力之间</w:t>
      </w:r>
      <w:r>
        <w:rPr>
          <w:rFonts w:ascii="FangSong_GB2312" w:hAnsi="FangSong_GB2312" w:eastAsia="FangSong_GB2312" w:cs="FangSong_GB2312"/>
          <w:sz w:val="24"/>
          <w:szCs w:val="24"/>
        </w:rPr>
        <w:t>形成的自然相对平衡，破坏了土地的水土保持功能，使潜在的自然因</w:t>
      </w:r>
      <w:r>
        <w:rPr>
          <w:rFonts w:ascii="FangSong_GB2312" w:hAnsi="FangSong_GB2312" w:eastAsia="FangSong_GB2312" w:cs="FangSong_GB2312"/>
          <w:spacing w:val="-1"/>
          <w:sz w:val="24"/>
          <w:szCs w:val="24"/>
        </w:rPr>
        <w:t>素在人为因素的诱发下发挥作用，导致原地面水土流失加剧。</w:t>
      </w:r>
    </w:p>
    <w:p w14:paraId="0B66095C">
      <w:pPr>
        <w:spacing w:before="3" w:line="213" w:lineRule="auto"/>
        <w:ind w:left="61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本项目建设施工对水土流失的影响人为因素主要表现在以下方面：</w:t>
      </w:r>
    </w:p>
    <w:p w14:paraId="768E7E61">
      <w:pPr>
        <w:spacing w:before="189" w:line="214" w:lineRule="auto"/>
        <w:ind w:left="611"/>
        <w:rPr>
          <w:rFonts w:ascii="FangSong_GB2312" w:hAnsi="FangSong_GB2312" w:eastAsia="FangSong_GB2312" w:cs="FangSong_GB2312"/>
          <w:sz w:val="24"/>
          <w:szCs w:val="24"/>
        </w:rPr>
      </w:pPr>
      <w:r>
        <w:rPr>
          <w:rFonts w:ascii="宋体" w:hAnsi="宋体" w:eastAsia="宋体" w:cs="宋体"/>
          <w:spacing w:val="-1"/>
          <w:sz w:val="24"/>
          <w:szCs w:val="24"/>
        </w:rPr>
        <w:t>①</w:t>
      </w:r>
      <w:r>
        <w:rPr>
          <w:rFonts w:ascii="FangSong_GB2312" w:hAnsi="FangSong_GB2312" w:eastAsia="FangSong_GB2312" w:cs="FangSong_GB2312"/>
          <w:spacing w:val="-1"/>
          <w:sz w:val="24"/>
          <w:szCs w:val="24"/>
        </w:rPr>
        <w:t>工程开挖与回填对水土流失的影响</w:t>
      </w:r>
    </w:p>
    <w:p w14:paraId="53B4B4AE">
      <w:pPr>
        <w:spacing w:before="190" w:line="359" w:lineRule="auto"/>
        <w:ind w:left="130" w:right="122" w:firstLine="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工程在建设过程中，开挖和填筑将会对沿线的原始地貌造成较大的变化，产生大</w:t>
      </w:r>
      <w:r>
        <w:rPr>
          <w:rFonts w:ascii="FangSong_GB2312" w:hAnsi="FangSong_GB2312" w:eastAsia="FangSong_GB2312" w:cs="FangSong_GB2312"/>
          <w:sz w:val="24"/>
          <w:szCs w:val="24"/>
        </w:rPr>
        <w:t>量的光滑、裸露的边坡，这将导致坡面径流速度加大，冲刷</w:t>
      </w:r>
      <w:r>
        <w:rPr>
          <w:rFonts w:ascii="FangSong_GB2312" w:hAnsi="FangSong_GB2312" w:eastAsia="FangSong_GB2312" w:cs="FangSong_GB2312"/>
          <w:spacing w:val="-1"/>
          <w:sz w:val="24"/>
          <w:szCs w:val="24"/>
        </w:rPr>
        <w:t>力增强。同时，施工过程</w:t>
      </w:r>
      <w:r>
        <w:rPr>
          <w:rFonts w:ascii="FangSong_GB2312" w:hAnsi="FangSong_GB2312" w:eastAsia="FangSong_GB2312" w:cs="FangSong_GB2312"/>
          <w:sz w:val="24"/>
          <w:szCs w:val="24"/>
        </w:rPr>
        <w:t>中将直接导致地表原始植被的丧失和土壤结构的破坏，使得</w:t>
      </w:r>
      <w:r>
        <w:rPr>
          <w:rFonts w:ascii="FangSong_GB2312" w:hAnsi="FangSong_GB2312" w:eastAsia="FangSong_GB2312" w:cs="FangSong_GB2312"/>
          <w:spacing w:val="-1"/>
          <w:sz w:val="24"/>
          <w:szCs w:val="24"/>
        </w:rPr>
        <w:t>地表土壤的抗冲蚀能力降低，为水土流失的加剧创造了条件。</w:t>
      </w:r>
    </w:p>
    <w:p w14:paraId="13567B86">
      <w:pPr>
        <w:spacing w:before="1" w:line="214" w:lineRule="auto"/>
        <w:ind w:left="610"/>
        <w:rPr>
          <w:rFonts w:ascii="FangSong_GB2312" w:hAnsi="FangSong_GB2312" w:eastAsia="FangSong_GB2312" w:cs="FangSong_GB2312"/>
          <w:sz w:val="24"/>
          <w:szCs w:val="24"/>
        </w:rPr>
      </w:pPr>
      <w:r>
        <w:rPr>
          <w:rFonts w:ascii="宋体" w:hAnsi="宋体" w:eastAsia="宋体" w:cs="宋体"/>
          <w:spacing w:val="-1"/>
          <w:sz w:val="24"/>
          <w:szCs w:val="24"/>
        </w:rPr>
        <w:t>②</w:t>
      </w:r>
      <w:r>
        <w:rPr>
          <w:rFonts w:ascii="FangSong_GB2312" w:hAnsi="FangSong_GB2312" w:eastAsia="FangSong_GB2312" w:cs="FangSong_GB2312"/>
          <w:spacing w:val="-1"/>
          <w:sz w:val="24"/>
          <w:szCs w:val="24"/>
        </w:rPr>
        <w:t>扰动原地表对水土流失的影响</w:t>
      </w:r>
    </w:p>
    <w:p w14:paraId="6AA3180E">
      <w:pPr>
        <w:spacing w:before="188" w:line="359" w:lineRule="auto"/>
        <w:ind w:left="126" w:right="122" w:firstLine="488"/>
        <w:rPr>
          <w:rFonts w:ascii="FangSong_GB2312" w:hAnsi="FangSong_GB2312" w:eastAsia="FangSong_GB2312" w:cs="FangSong_GB2312"/>
          <w:sz w:val="24"/>
          <w:szCs w:val="24"/>
        </w:rPr>
      </w:pPr>
      <w:r>
        <w:rPr>
          <w:rFonts w:ascii="FangSong_GB2312" w:hAnsi="FangSong_GB2312" w:eastAsia="FangSong_GB2312" w:cs="FangSong_GB2312"/>
          <w:sz w:val="24"/>
          <w:szCs w:val="24"/>
        </w:rPr>
        <w:t>项目建设期间，将项目占地区域产生占压或</w:t>
      </w:r>
      <w:r>
        <w:rPr>
          <w:rFonts w:ascii="FangSong_GB2312" w:hAnsi="FangSong_GB2312" w:eastAsia="FangSong_GB2312" w:cs="FangSong_GB2312"/>
          <w:spacing w:val="-1"/>
          <w:sz w:val="24"/>
          <w:szCs w:val="24"/>
        </w:rPr>
        <w:t>开挖的扰动，将原有地表结皮及地表</w:t>
      </w:r>
      <w:r>
        <w:rPr>
          <w:rFonts w:ascii="FangSong_GB2312" w:hAnsi="FangSong_GB2312" w:eastAsia="FangSong_GB2312" w:cs="FangSong_GB2312"/>
          <w:sz w:val="24"/>
          <w:szCs w:val="24"/>
        </w:rPr>
        <w:t>植被破坏，导致地表土层松散，在无排水、遮盖、拦挡等措施防护</w:t>
      </w:r>
      <w:r>
        <w:rPr>
          <w:rFonts w:ascii="FangSong_GB2312" w:hAnsi="FangSong_GB2312" w:eastAsia="FangSong_GB2312" w:cs="FangSong_GB2312"/>
          <w:spacing w:val="-1"/>
          <w:sz w:val="24"/>
          <w:szCs w:val="24"/>
        </w:rPr>
        <w:t>的情况，极易因降雨大风等发生水土流失。</w:t>
      </w:r>
    </w:p>
    <w:p w14:paraId="1DD5CADD">
      <w:pPr>
        <w:spacing w:before="8" w:line="216" w:lineRule="auto"/>
        <w:ind w:left="12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4.2.2  </w:t>
      </w:r>
      <w:r>
        <w:rPr>
          <w:rFonts w:ascii="FangSong_GB2312" w:hAnsi="FangSong_GB2312" w:eastAsia="FangSong_GB2312" w:cs="FangSong_GB2312"/>
          <w:b/>
          <w:bCs/>
          <w:spacing w:val="-2"/>
          <w:sz w:val="28"/>
          <w:szCs w:val="28"/>
        </w:rPr>
        <w:t>扰动地表、损毁植被面积</w:t>
      </w:r>
    </w:p>
    <w:p w14:paraId="56CDEC08">
      <w:pPr>
        <w:spacing w:before="212" w:line="356" w:lineRule="auto"/>
        <w:ind w:left="170" w:right="216" w:firstLine="44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本项目扰动地表面积为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0.05hm</w:t>
      </w:r>
      <w:r>
        <w:rPr>
          <w:rFonts w:ascii="Times New Roman" w:hAnsi="Times New Roman" w:eastAsia="Times New Roman" w:cs="Times New Roman"/>
          <w:spacing w:val="-1"/>
          <w:position w:val="8"/>
          <w:sz w:val="15"/>
          <w:szCs w:val="15"/>
        </w:rPr>
        <w:t xml:space="preserve">2 </w:t>
      </w:r>
      <w:r>
        <w:rPr>
          <w:rFonts w:ascii="FangSong_GB2312" w:hAnsi="FangSong_GB2312" w:eastAsia="FangSong_GB2312" w:cs="FangSong_GB2312"/>
          <w:spacing w:val="-1"/>
          <w:sz w:val="24"/>
          <w:szCs w:val="24"/>
        </w:rPr>
        <w:t>，均为本项</w:t>
      </w:r>
      <w:r>
        <w:rPr>
          <w:rFonts w:ascii="FangSong_GB2312" w:hAnsi="FangSong_GB2312" w:eastAsia="FangSong_GB2312" w:cs="FangSong_GB2312"/>
          <w:spacing w:val="-2"/>
          <w:sz w:val="24"/>
          <w:szCs w:val="24"/>
        </w:rPr>
        <w:t>目建设用地。损坏植被面积为本项目</w:t>
      </w:r>
      <w:r>
        <w:rPr>
          <w:rFonts w:ascii="FangSong_GB2312" w:hAnsi="FangSong_GB2312" w:eastAsia="FangSong_GB2312" w:cs="FangSong_GB2312"/>
          <w:spacing w:val="-3"/>
          <w:sz w:val="24"/>
          <w:szCs w:val="24"/>
        </w:rPr>
        <w:t>占地中原有绿化面积，共</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0.03hm</w:t>
      </w:r>
      <w:r>
        <w:rPr>
          <w:rFonts w:ascii="Times New Roman" w:hAnsi="Times New Roman" w:eastAsia="Times New Roman" w:cs="Times New Roman"/>
          <w:spacing w:val="-3"/>
          <w:position w:val="8"/>
          <w:sz w:val="15"/>
          <w:szCs w:val="15"/>
        </w:rPr>
        <w:t>2</w:t>
      </w:r>
      <w:r>
        <w:rPr>
          <w:rFonts w:ascii="FangSong_GB2312" w:hAnsi="FangSong_GB2312" w:eastAsia="FangSong_GB2312" w:cs="FangSong_GB2312"/>
          <w:spacing w:val="-3"/>
          <w:sz w:val="24"/>
          <w:szCs w:val="24"/>
        </w:rPr>
        <w:t>。</w:t>
      </w:r>
    </w:p>
    <w:p w14:paraId="0710D748">
      <w:pPr>
        <w:spacing w:before="1" w:line="221" w:lineRule="auto"/>
        <w:ind w:left="2422"/>
        <w:rPr>
          <w:rFonts w:ascii="FangSong_GB2312" w:hAnsi="FangSong_GB2312" w:eastAsia="FangSong_GB2312" w:cs="FangSong_GB2312"/>
          <w:sz w:val="20"/>
          <w:szCs w:val="20"/>
        </w:rPr>
      </w:pPr>
      <w:r>
        <w:rPr>
          <w:rFonts w:ascii="Times New Roman" w:hAnsi="Times New Roman" w:eastAsia="Times New Roman" w:cs="Times New Roman"/>
          <w:b/>
          <w:bCs/>
          <w:spacing w:val="7"/>
          <w:sz w:val="20"/>
          <w:szCs w:val="20"/>
        </w:rPr>
        <w:t xml:space="preserve">4.2-1 </w:t>
      </w:r>
      <w:r>
        <w:rPr>
          <w:rFonts w:ascii="FangSong_GB2312" w:hAnsi="FangSong_GB2312" w:eastAsia="FangSong_GB2312" w:cs="FangSong_GB2312"/>
          <w:b/>
          <w:bCs/>
          <w:spacing w:val="7"/>
          <w:sz w:val="20"/>
          <w:szCs w:val="20"/>
        </w:rPr>
        <w:t>工程建设扰动地表、谁坏植被面积情况表</w:t>
      </w:r>
    </w:p>
    <w:p w14:paraId="0778CA09">
      <w:pPr>
        <w:spacing w:line="137" w:lineRule="exact"/>
      </w:pPr>
    </w:p>
    <w:tbl>
      <w:tblPr>
        <w:tblStyle w:val="6"/>
        <w:tblW w:w="909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6"/>
        <w:gridCol w:w="3022"/>
        <w:gridCol w:w="3039"/>
      </w:tblGrid>
      <w:tr w14:paraId="4426B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3036" w:type="dxa"/>
            <w:tcBorders>
              <w:top w:val="single" w:color="000000" w:sz="10" w:space="0"/>
              <w:left w:val="single" w:color="000000" w:sz="10" w:space="0"/>
            </w:tcBorders>
            <w:vAlign w:val="top"/>
          </w:tcPr>
          <w:p w14:paraId="04A52336">
            <w:pPr>
              <w:spacing w:before="32" w:line="217" w:lineRule="auto"/>
              <w:ind w:left="115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项目分区</w:t>
            </w:r>
          </w:p>
        </w:tc>
        <w:tc>
          <w:tcPr>
            <w:tcW w:w="3022" w:type="dxa"/>
            <w:tcBorders>
              <w:top w:val="single" w:color="000000" w:sz="10" w:space="0"/>
            </w:tcBorders>
            <w:vAlign w:val="top"/>
          </w:tcPr>
          <w:p w14:paraId="7E4ADB95">
            <w:pPr>
              <w:spacing w:before="32" w:line="217" w:lineRule="auto"/>
              <w:ind w:left="86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占地面积（</w:t>
            </w:r>
            <w:r>
              <w:rPr>
                <w:rFonts w:ascii="Times New Roman" w:hAnsi="Times New Roman" w:eastAsia="Times New Roman" w:cs="Times New Roman"/>
                <w:spacing w:val="-4"/>
                <w:sz w:val="18"/>
                <w:szCs w:val="18"/>
              </w:rPr>
              <w:t>hm</w:t>
            </w:r>
            <w:r>
              <w:rPr>
                <w:rFonts w:ascii="Times New Roman" w:hAnsi="Times New Roman" w:eastAsia="Times New Roman" w:cs="Times New Roman"/>
                <w:spacing w:val="-4"/>
                <w:position w:val="5"/>
                <w:sz w:val="11"/>
                <w:szCs w:val="11"/>
              </w:rPr>
              <w:t>2</w:t>
            </w:r>
            <w:r>
              <w:rPr>
                <w:rFonts w:ascii="FangSong_GB2312" w:hAnsi="FangSong_GB2312" w:eastAsia="FangSong_GB2312" w:cs="FangSong_GB2312"/>
                <w:spacing w:val="-4"/>
                <w:sz w:val="18"/>
                <w:szCs w:val="18"/>
              </w:rPr>
              <w:t>）</w:t>
            </w:r>
          </w:p>
        </w:tc>
        <w:tc>
          <w:tcPr>
            <w:tcW w:w="3039" w:type="dxa"/>
            <w:tcBorders>
              <w:top w:val="single" w:color="000000" w:sz="10" w:space="0"/>
              <w:right w:val="single" w:color="000000" w:sz="10" w:space="0"/>
            </w:tcBorders>
            <w:vAlign w:val="top"/>
          </w:tcPr>
          <w:p w14:paraId="0D001224">
            <w:pPr>
              <w:spacing w:before="32" w:line="216" w:lineRule="auto"/>
              <w:ind w:left="66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损坏植被面积（</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pacing w:val="-1"/>
                <w:sz w:val="18"/>
                <w:szCs w:val="18"/>
              </w:rPr>
              <w:t>）</w:t>
            </w:r>
          </w:p>
        </w:tc>
      </w:tr>
      <w:tr w14:paraId="27026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036" w:type="dxa"/>
            <w:tcBorders>
              <w:left w:val="single" w:color="000000" w:sz="10" w:space="0"/>
            </w:tcBorders>
            <w:vAlign w:val="top"/>
          </w:tcPr>
          <w:p w14:paraId="5E781E6A">
            <w:pPr>
              <w:spacing w:before="108" w:line="214" w:lineRule="auto"/>
              <w:ind w:left="96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3022" w:type="dxa"/>
            <w:vAlign w:val="top"/>
          </w:tcPr>
          <w:p w14:paraId="0C90BEC8">
            <w:pPr>
              <w:spacing w:before="86" w:line="188" w:lineRule="auto"/>
              <w:ind w:left="1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3039" w:type="dxa"/>
            <w:tcBorders>
              <w:right w:val="single" w:color="000000" w:sz="10" w:space="0"/>
            </w:tcBorders>
            <w:vAlign w:val="top"/>
          </w:tcPr>
          <w:p w14:paraId="74BD637B">
            <w:pPr>
              <w:spacing w:before="86" w:line="188" w:lineRule="auto"/>
              <w:ind w:left="13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68D30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3036" w:type="dxa"/>
            <w:tcBorders>
              <w:left w:val="single" w:color="000000" w:sz="10" w:space="0"/>
            </w:tcBorders>
            <w:vAlign w:val="top"/>
          </w:tcPr>
          <w:p w14:paraId="1704BB5C">
            <w:pPr>
              <w:spacing w:before="112" w:line="216" w:lineRule="auto"/>
              <w:ind w:left="114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p>
        </w:tc>
        <w:tc>
          <w:tcPr>
            <w:tcW w:w="3022" w:type="dxa"/>
            <w:vAlign w:val="top"/>
          </w:tcPr>
          <w:p w14:paraId="20A80317">
            <w:pPr>
              <w:spacing w:before="93" w:line="188" w:lineRule="auto"/>
              <w:ind w:left="1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3039" w:type="dxa"/>
            <w:tcBorders>
              <w:right w:val="single" w:color="000000" w:sz="10" w:space="0"/>
            </w:tcBorders>
            <w:vAlign w:val="top"/>
          </w:tcPr>
          <w:p w14:paraId="6ADF9232">
            <w:pPr>
              <w:spacing w:before="89" w:line="192" w:lineRule="auto"/>
              <w:ind w:left="14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0F515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 w:hRule="atLeast"/>
        </w:trPr>
        <w:tc>
          <w:tcPr>
            <w:tcW w:w="3036" w:type="dxa"/>
            <w:tcBorders>
              <w:left w:val="single" w:color="000000" w:sz="10" w:space="0"/>
            </w:tcBorders>
            <w:vAlign w:val="top"/>
          </w:tcPr>
          <w:p w14:paraId="750B7465">
            <w:pPr>
              <w:spacing w:before="119" w:line="216" w:lineRule="auto"/>
              <w:ind w:left="115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3022" w:type="dxa"/>
            <w:vAlign w:val="top"/>
          </w:tcPr>
          <w:p w14:paraId="2D63F106">
            <w:pPr>
              <w:spacing w:before="97" w:line="188" w:lineRule="auto"/>
              <w:ind w:left="1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3039" w:type="dxa"/>
            <w:tcBorders>
              <w:right w:val="single" w:color="000000" w:sz="10" w:space="0"/>
            </w:tcBorders>
            <w:vAlign w:val="top"/>
          </w:tcPr>
          <w:p w14:paraId="34E14D56">
            <w:pPr>
              <w:spacing w:before="93" w:line="192" w:lineRule="auto"/>
              <w:ind w:left="14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14:paraId="5CDDD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036" w:type="dxa"/>
            <w:tcBorders>
              <w:left w:val="single" w:color="000000" w:sz="10" w:space="0"/>
              <w:bottom w:val="single" w:color="000000" w:sz="10" w:space="0"/>
            </w:tcBorders>
            <w:vAlign w:val="top"/>
          </w:tcPr>
          <w:p w14:paraId="2D465D88">
            <w:pPr>
              <w:spacing w:before="48" w:line="216" w:lineRule="auto"/>
              <w:ind w:left="133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3022" w:type="dxa"/>
            <w:tcBorders>
              <w:bottom w:val="single" w:color="000000" w:sz="10" w:space="0"/>
            </w:tcBorders>
            <w:vAlign w:val="top"/>
          </w:tcPr>
          <w:p w14:paraId="08F8E0B3">
            <w:pPr>
              <w:spacing w:before="103" w:line="188" w:lineRule="auto"/>
              <w:ind w:left="13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3039" w:type="dxa"/>
            <w:tcBorders>
              <w:bottom w:val="single" w:color="000000" w:sz="10" w:space="0"/>
              <w:right w:val="single" w:color="000000" w:sz="10" w:space="0"/>
            </w:tcBorders>
            <w:vAlign w:val="top"/>
          </w:tcPr>
          <w:p w14:paraId="48FC5498">
            <w:pPr>
              <w:spacing w:before="103" w:line="188" w:lineRule="auto"/>
              <w:ind w:left="13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bl>
    <w:p w14:paraId="33ED4F0C">
      <w:pPr>
        <w:pStyle w:val="2"/>
        <w:spacing w:line="249" w:lineRule="auto"/>
      </w:pPr>
    </w:p>
    <w:p w14:paraId="144BD781">
      <w:pPr>
        <w:pStyle w:val="2"/>
        <w:spacing w:line="249" w:lineRule="auto"/>
      </w:pPr>
    </w:p>
    <w:p w14:paraId="4FF9E897">
      <w:pPr>
        <w:pStyle w:val="2"/>
        <w:spacing w:line="249" w:lineRule="auto"/>
      </w:pPr>
    </w:p>
    <w:p w14:paraId="6E5B6449">
      <w:pPr>
        <w:pStyle w:val="2"/>
        <w:spacing w:line="249" w:lineRule="auto"/>
      </w:pPr>
    </w:p>
    <w:p w14:paraId="6ADFE37A">
      <w:pPr>
        <w:spacing w:before="66" w:line="229" w:lineRule="auto"/>
        <w:ind w:left="5507"/>
        <w:rPr>
          <w:rFonts w:ascii="FangSong_GB2312" w:hAnsi="FangSong_GB2312" w:eastAsia="FangSong_GB2312" w:cs="FangSong_GB2312"/>
          <w:sz w:val="20"/>
          <w:szCs w:val="20"/>
        </w:rPr>
      </w:pPr>
      <w:r>
        <w:pict>
          <v:shape id="_x0000_s1064" o:spid="_x0000_s1064" o:spt="202" type="#_x0000_t202" style="position:absolute;left:0pt;margin-left:222.9pt;margin-top:3.05pt;height:10.15pt;width:10.7pt;z-index:251732992;mso-width-relative:page;mso-height-relative:page;" filled="f" stroked="f" coordsize="21600,21600">
            <v:path/>
            <v:fill on="f" focussize="0,0"/>
            <v:stroke on="f"/>
            <v:imagedata o:title=""/>
            <o:lock v:ext="edit" aspectratio="f"/>
            <v:textbox inset="0mm,0mm,0mm,0mm">
              <w:txbxContent>
                <w:p w14:paraId="496C1D6B">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txbxContent>
            </v:textbox>
          </v:shape>
        </w:pict>
      </w:r>
      <w:r>
        <w:rPr>
          <w:rFonts w:ascii="FangSong_GB2312" w:hAnsi="FangSong_GB2312" w:eastAsia="FangSong_GB2312" w:cs="FangSong_GB2312"/>
          <w:spacing w:val="8"/>
          <w:sz w:val="20"/>
          <w:szCs w:val="20"/>
        </w:rPr>
        <w:t>剑阁县绿森林业勘察设计有限公司</w:t>
      </w:r>
    </w:p>
    <w:p w14:paraId="0B9CEB7B">
      <w:pPr>
        <w:spacing w:line="229" w:lineRule="auto"/>
        <w:rPr>
          <w:rFonts w:ascii="FangSong_GB2312" w:hAnsi="FangSong_GB2312" w:eastAsia="FangSong_GB2312" w:cs="FangSong_GB2312"/>
          <w:sz w:val="20"/>
          <w:szCs w:val="20"/>
        </w:rPr>
        <w:sectPr>
          <w:headerReference r:id="rId50" w:type="default"/>
          <w:pgSz w:w="11906" w:h="16839"/>
          <w:pgMar w:top="1159" w:right="1391" w:bottom="400" w:left="1391" w:header="831" w:footer="0" w:gutter="0"/>
          <w:cols w:space="720" w:num="1"/>
        </w:sectPr>
      </w:pPr>
    </w:p>
    <w:p w14:paraId="7D4CDB88">
      <w:pPr>
        <w:spacing w:before="209" w:line="214"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1"/>
          <w:sz w:val="28"/>
          <w:szCs w:val="28"/>
        </w:rPr>
        <w:t xml:space="preserve">4.2.3  </w:t>
      </w:r>
      <w:r>
        <w:rPr>
          <w:rFonts w:ascii="FangSong_GB2312" w:hAnsi="FangSong_GB2312" w:eastAsia="FangSong_GB2312" w:cs="FangSong_GB2312"/>
          <w:b/>
          <w:bCs/>
          <w:spacing w:val="-1"/>
          <w:sz w:val="28"/>
          <w:szCs w:val="28"/>
        </w:rPr>
        <w:t>废弃土（石、渣、灰、矸石、尾矿）量</w:t>
      </w:r>
    </w:p>
    <w:p w14:paraId="415C51E2">
      <w:pPr>
        <w:spacing w:before="213" w:line="360" w:lineRule="auto"/>
        <w:ind w:left="2" w:right="190" w:firstLine="48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本项目挖方总量为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FangSong_GB2312" w:hAnsi="FangSong_GB2312" w:eastAsia="FangSong_GB2312" w:cs="FangSong_GB2312"/>
          <w:spacing w:val="-3"/>
          <w:sz w:val="24"/>
          <w:szCs w:val="24"/>
        </w:rPr>
        <w:t>（其中表土剥离</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FangSong_GB2312" w:hAnsi="FangSong_GB2312" w:eastAsia="FangSong_GB2312" w:cs="FangSong_GB2312"/>
          <w:spacing w:val="6"/>
          <w:sz w:val="24"/>
          <w:szCs w:val="24"/>
        </w:rPr>
        <w:t>），</w:t>
      </w:r>
      <w:r>
        <w:rPr>
          <w:rFonts w:ascii="FangSong_GB2312" w:hAnsi="FangSong_GB2312" w:eastAsia="FangSong_GB2312" w:cs="FangSong_GB2312"/>
          <w:spacing w:val="-3"/>
          <w:sz w:val="24"/>
          <w:szCs w:val="24"/>
        </w:rPr>
        <w:t>填方总量为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2"/>
          <w:sz w:val="24"/>
          <w:szCs w:val="24"/>
        </w:rPr>
        <w:t>（其中表土回覆</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FangSong_GB2312" w:hAnsi="FangSong_GB2312" w:eastAsia="FangSong_GB2312" w:cs="FangSong_GB2312"/>
          <w:spacing w:val="9"/>
          <w:sz w:val="24"/>
          <w:szCs w:val="24"/>
        </w:rPr>
        <w:t>），</w:t>
      </w:r>
      <w:r>
        <w:rPr>
          <w:rFonts w:ascii="FangSong_GB2312" w:hAnsi="FangSong_GB2312" w:eastAsia="FangSong_GB2312" w:cs="FangSong_GB2312"/>
          <w:spacing w:val="-2"/>
          <w:sz w:val="24"/>
          <w:szCs w:val="24"/>
        </w:rPr>
        <w:t>无借方，无余</w:t>
      </w:r>
      <w:r>
        <w:rPr>
          <w:rFonts w:ascii="FangSong_GB2312" w:hAnsi="FangSong_GB2312" w:eastAsia="FangSong_GB2312" w:cs="FangSong_GB2312"/>
          <w:spacing w:val="-3"/>
          <w:sz w:val="24"/>
          <w:szCs w:val="24"/>
        </w:rPr>
        <w:t>方。</w:t>
      </w:r>
    </w:p>
    <w:p w14:paraId="2F4AA683">
      <w:pPr>
        <w:spacing w:before="268" w:line="216" w:lineRule="auto"/>
        <w:ind w:left="7"/>
        <w:outlineLvl w:val="1"/>
        <w:rPr>
          <w:rFonts w:ascii="FangSong_GB2312" w:hAnsi="FangSong_GB2312" w:eastAsia="FangSong_GB2312" w:cs="FangSong_GB2312"/>
          <w:sz w:val="30"/>
          <w:szCs w:val="30"/>
        </w:rPr>
      </w:pPr>
      <w:bookmarkStart w:id="70" w:name="bookmark57"/>
      <w:bookmarkEnd w:id="70"/>
      <w:bookmarkStart w:id="71" w:name="bookmark58"/>
      <w:bookmarkEnd w:id="71"/>
      <w:r>
        <w:rPr>
          <w:rFonts w:ascii="Times New Roman" w:hAnsi="Times New Roman" w:eastAsia="Times New Roman" w:cs="Times New Roman"/>
          <w:b/>
          <w:bCs/>
          <w:spacing w:val="-3"/>
          <w:sz w:val="30"/>
          <w:szCs w:val="30"/>
        </w:rPr>
        <w:t xml:space="preserve">4.3 </w:t>
      </w:r>
      <w:r>
        <w:rPr>
          <w:rFonts w:ascii="FangSong_GB2312" w:hAnsi="FangSong_GB2312" w:eastAsia="FangSong_GB2312" w:cs="FangSong_GB2312"/>
          <w:b/>
          <w:bCs/>
          <w:spacing w:val="-3"/>
          <w:sz w:val="30"/>
          <w:szCs w:val="30"/>
        </w:rPr>
        <w:t>土壤流失量调查</w:t>
      </w:r>
    </w:p>
    <w:p w14:paraId="15247786">
      <w:pPr>
        <w:pStyle w:val="2"/>
        <w:spacing w:line="353" w:lineRule="auto"/>
      </w:pPr>
    </w:p>
    <w:p w14:paraId="1C450DDC">
      <w:pPr>
        <w:spacing w:before="78" w:line="359" w:lineRule="auto"/>
        <w:ind w:left="12" w:right="60" w:firstLine="476"/>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根据对项目区水土流失现状调查及项目建设对水土</w:t>
      </w:r>
      <w:r>
        <w:rPr>
          <w:rFonts w:ascii="FangSong_GB2312" w:hAnsi="FangSong_GB2312" w:eastAsia="FangSong_GB2312" w:cs="FangSong_GB2312"/>
          <w:spacing w:val="-1"/>
          <w:sz w:val="24"/>
          <w:szCs w:val="24"/>
        </w:rPr>
        <w:t>流失的相关性分析，如果不采</w:t>
      </w:r>
      <w:r>
        <w:rPr>
          <w:rFonts w:ascii="FangSong_GB2312" w:hAnsi="FangSong_GB2312" w:eastAsia="FangSong_GB2312" w:cs="FangSong_GB2312"/>
          <w:sz w:val="24"/>
          <w:szCs w:val="24"/>
        </w:rPr>
        <w:t>取任何防护和治理措施，项目建设将加剧建设区</w:t>
      </w:r>
      <w:r>
        <w:rPr>
          <w:rFonts w:ascii="FangSong_GB2312" w:hAnsi="FangSong_GB2312" w:eastAsia="FangSong_GB2312" w:cs="FangSong_GB2312"/>
          <w:spacing w:val="-1"/>
          <w:sz w:val="24"/>
          <w:szCs w:val="24"/>
        </w:rPr>
        <w:t>水土流失。新增水土流失主要集中在</w:t>
      </w:r>
      <w:r>
        <w:rPr>
          <w:rFonts w:ascii="FangSong_GB2312" w:hAnsi="FangSong_GB2312" w:eastAsia="FangSong_GB2312" w:cs="FangSong_GB2312"/>
          <w:sz w:val="24"/>
          <w:szCs w:val="24"/>
        </w:rPr>
        <w:t>项目建设期间；项目运行期无开挖等活动，不再</w:t>
      </w:r>
      <w:r>
        <w:rPr>
          <w:rFonts w:ascii="FangSong_GB2312" w:hAnsi="FangSong_GB2312" w:eastAsia="FangSong_GB2312" w:cs="FangSong_GB2312"/>
          <w:spacing w:val="-1"/>
          <w:sz w:val="24"/>
          <w:szCs w:val="24"/>
        </w:rPr>
        <w:t>增加新的水土流失，此时项目区的水</w:t>
      </w:r>
      <w:r>
        <w:rPr>
          <w:rFonts w:ascii="FangSong_GB2312" w:hAnsi="FangSong_GB2312" w:eastAsia="FangSong_GB2312" w:cs="FangSong_GB2312"/>
          <w:sz w:val="24"/>
          <w:szCs w:val="24"/>
        </w:rPr>
        <w:t>土流失主要是建设期工程新增水土流失的延后</w:t>
      </w:r>
      <w:r>
        <w:rPr>
          <w:rFonts w:ascii="FangSong_GB2312" w:hAnsi="FangSong_GB2312" w:eastAsia="FangSong_GB2312" w:cs="FangSong_GB2312"/>
          <w:spacing w:val="-1"/>
          <w:sz w:val="24"/>
          <w:szCs w:val="24"/>
        </w:rPr>
        <w:t>和项目区原有水土流失的继续。</w:t>
      </w:r>
    </w:p>
    <w:p w14:paraId="205C79FF">
      <w:pPr>
        <w:spacing w:before="7" w:line="215"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4.3.1 </w:t>
      </w:r>
      <w:r>
        <w:rPr>
          <w:rFonts w:ascii="FangSong_GB2312" w:hAnsi="FangSong_GB2312" w:eastAsia="FangSong_GB2312" w:cs="FangSong_GB2312"/>
          <w:b/>
          <w:bCs/>
          <w:spacing w:val="-2"/>
          <w:sz w:val="28"/>
          <w:szCs w:val="28"/>
        </w:rPr>
        <w:t>调查单元划分</w:t>
      </w:r>
    </w:p>
    <w:p w14:paraId="52DE9418">
      <w:pPr>
        <w:pStyle w:val="2"/>
        <w:spacing w:line="254" w:lineRule="auto"/>
      </w:pPr>
    </w:p>
    <w:p w14:paraId="6D52E33E">
      <w:pPr>
        <w:spacing w:before="78" w:line="216"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2"/>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2"/>
          <w:sz w:val="24"/>
          <w:szCs w:val="24"/>
        </w:rPr>
        <w:t>、施工期</w:t>
      </w:r>
    </w:p>
    <w:p w14:paraId="3381122C">
      <w:pPr>
        <w:spacing w:before="184" w:line="359" w:lineRule="auto"/>
        <w:ind w:left="11" w:right="60" w:firstLine="478"/>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本方案对施工期采取水土流失回顾调查，调查单元划分为</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1"/>
          <w:sz w:val="24"/>
          <w:szCs w:val="24"/>
        </w:rPr>
        <w:t xml:space="preserve">3 </w:t>
      </w:r>
      <w:r>
        <w:rPr>
          <w:rFonts w:ascii="FangSong_GB2312" w:hAnsi="FangSong_GB2312" w:eastAsia="FangSong_GB2312" w:cs="FangSong_GB2312"/>
          <w:spacing w:val="-1"/>
          <w:sz w:val="24"/>
          <w:szCs w:val="24"/>
        </w:rPr>
        <w:t>个调查单元：建构筑</w:t>
      </w:r>
      <w:r>
        <w:rPr>
          <w:rFonts w:ascii="FangSong_GB2312" w:hAnsi="FangSong_GB2312" w:eastAsia="FangSong_GB2312" w:cs="FangSong_GB2312"/>
          <w:sz w:val="24"/>
          <w:szCs w:val="24"/>
        </w:rPr>
        <w:t>物工程单元、硬化工程单元、绿化工程区单元。根</w:t>
      </w:r>
      <w:r>
        <w:rPr>
          <w:rFonts w:ascii="FangSong_GB2312" w:hAnsi="FangSong_GB2312" w:eastAsia="FangSong_GB2312" w:cs="FangSong_GB2312"/>
          <w:spacing w:val="-1"/>
          <w:sz w:val="24"/>
          <w:szCs w:val="24"/>
        </w:rPr>
        <w:t>据扰动方式、扰动后地表的物质组成、气象特征等相近的原则划分为工程开挖面</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 xml:space="preserve">1 </w:t>
      </w:r>
      <w:r>
        <w:rPr>
          <w:rFonts w:ascii="FangSong_GB2312" w:hAnsi="FangSong_GB2312" w:eastAsia="FangSong_GB2312" w:cs="FangSong_GB2312"/>
          <w:spacing w:val="-1"/>
          <w:sz w:val="24"/>
          <w:szCs w:val="24"/>
        </w:rPr>
        <w:t>个二级调查单元。施工期</w:t>
      </w:r>
      <w:r>
        <w:rPr>
          <w:rFonts w:ascii="FangSong_GB2312" w:hAnsi="FangSong_GB2312" w:eastAsia="FangSong_GB2312" w:cs="FangSong_GB2312"/>
          <w:spacing w:val="-2"/>
          <w:sz w:val="24"/>
          <w:szCs w:val="24"/>
        </w:rPr>
        <w:t>调查范围面积为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0.05hm</w:t>
      </w:r>
      <w:r>
        <w:rPr>
          <w:rFonts w:ascii="Times New Roman" w:hAnsi="Times New Roman" w:eastAsia="Times New Roman" w:cs="Times New Roman"/>
          <w:spacing w:val="-2"/>
          <w:position w:val="7"/>
          <w:sz w:val="15"/>
          <w:szCs w:val="15"/>
        </w:rPr>
        <w:t>2</w:t>
      </w:r>
      <w:r>
        <w:rPr>
          <w:rFonts w:ascii="FangSong_GB2312" w:hAnsi="FangSong_GB2312" w:eastAsia="FangSong_GB2312" w:cs="FangSong_GB2312"/>
          <w:spacing w:val="-2"/>
          <w:sz w:val="24"/>
          <w:szCs w:val="24"/>
        </w:rPr>
        <w:t>。</w:t>
      </w:r>
    </w:p>
    <w:p w14:paraId="0831C0BA">
      <w:pPr>
        <w:spacing w:before="1" w:line="213"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13"/>
          <w:sz w:val="24"/>
          <w:szCs w:val="24"/>
        </w:rPr>
        <w:t>、</w:t>
      </w:r>
      <w:r>
        <w:rPr>
          <w:rFonts w:ascii="FangSong_GB2312" w:hAnsi="FangSong_GB2312" w:eastAsia="FangSong_GB2312" w:cs="FangSong_GB2312"/>
          <w:spacing w:val="-68"/>
          <w:sz w:val="24"/>
          <w:szCs w:val="24"/>
        </w:rPr>
        <w:t xml:space="preserve"> </w:t>
      </w:r>
      <w:r>
        <w:rPr>
          <w:rFonts w:ascii="FangSong_GB2312" w:hAnsi="FangSong_GB2312" w:eastAsia="FangSong_GB2312" w:cs="FangSong_GB2312"/>
          <w:spacing w:val="-13"/>
          <w:sz w:val="24"/>
          <w:szCs w:val="24"/>
        </w:rPr>
        <w:t>自然恢复期</w:t>
      </w:r>
    </w:p>
    <w:p w14:paraId="35DB2740">
      <w:pPr>
        <w:spacing w:before="188" w:line="359" w:lineRule="auto"/>
        <w:ind w:left="6" w:right="111" w:firstLine="48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本方案对自然恢复期采取水土流失调查，划分为</w:t>
      </w:r>
      <w:r>
        <w:rPr>
          <w:rFonts w:ascii="FangSong_GB2312" w:hAnsi="FangSong_GB2312" w:eastAsia="FangSong_GB2312" w:cs="FangSong_GB2312"/>
          <w:spacing w:val="-17"/>
          <w:sz w:val="24"/>
          <w:szCs w:val="24"/>
        </w:rPr>
        <w:t xml:space="preserve"> </w:t>
      </w:r>
      <w:r>
        <w:rPr>
          <w:rFonts w:ascii="Times New Roman" w:hAnsi="Times New Roman" w:eastAsia="Times New Roman" w:cs="Times New Roman"/>
          <w:spacing w:val="-3"/>
          <w:sz w:val="24"/>
          <w:szCs w:val="24"/>
        </w:rPr>
        <w:t xml:space="preserve">1 </w:t>
      </w:r>
      <w:r>
        <w:rPr>
          <w:rFonts w:ascii="FangSong_GB2312" w:hAnsi="FangSong_GB2312" w:eastAsia="FangSong_GB2312" w:cs="FangSong_GB2312"/>
          <w:spacing w:val="-3"/>
          <w:sz w:val="24"/>
          <w:szCs w:val="24"/>
        </w:rPr>
        <w:t>个调查单元：绿化工程单元。</w:t>
      </w:r>
      <w:r>
        <w:rPr>
          <w:rFonts w:ascii="FangSong_GB2312" w:hAnsi="FangSong_GB2312" w:eastAsia="FangSong_GB2312" w:cs="FangSong_GB2312"/>
          <w:spacing w:val="-2"/>
          <w:sz w:val="24"/>
          <w:szCs w:val="24"/>
        </w:rPr>
        <w:t>根据现场调查，现阶段表土已全部回覆，故本次水土流失预测仅针对绿化工程单元，</w:t>
      </w:r>
      <w:r>
        <w:rPr>
          <w:rFonts w:ascii="FangSong_GB2312" w:hAnsi="FangSong_GB2312" w:eastAsia="FangSong_GB2312" w:cs="FangSong_GB2312"/>
          <w:spacing w:val="-1"/>
          <w:sz w:val="24"/>
          <w:szCs w:val="24"/>
        </w:rPr>
        <w:t>根据扰动方式、扰动后地表的物质组成、气象特征等相近的原则划分一般扰动地表</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3"/>
          <w:sz w:val="24"/>
          <w:szCs w:val="24"/>
        </w:rPr>
        <w:t>个二级预测单元。</w:t>
      </w:r>
      <w:r>
        <w:rPr>
          <w:rFonts w:ascii="FangSong_GB2312" w:hAnsi="FangSong_GB2312" w:eastAsia="FangSong_GB2312" w:cs="FangSong_GB2312"/>
          <w:spacing w:val="-52"/>
          <w:sz w:val="24"/>
          <w:szCs w:val="24"/>
        </w:rPr>
        <w:t xml:space="preserve"> </w:t>
      </w:r>
      <w:r>
        <w:rPr>
          <w:rFonts w:ascii="FangSong_GB2312" w:hAnsi="FangSong_GB2312" w:eastAsia="FangSong_GB2312" w:cs="FangSong_GB2312"/>
          <w:spacing w:val="-3"/>
          <w:sz w:val="24"/>
          <w:szCs w:val="24"/>
        </w:rPr>
        <w:t>自然恢复期预测范围面积为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2</w:t>
      </w:r>
      <w:r>
        <w:rPr>
          <w:rFonts w:ascii="FangSong_GB2312" w:hAnsi="FangSong_GB2312" w:eastAsia="FangSong_GB2312" w:cs="FangSong_GB2312"/>
          <w:spacing w:val="-3"/>
          <w:sz w:val="24"/>
          <w:szCs w:val="24"/>
        </w:rPr>
        <w:t>。</w:t>
      </w:r>
    </w:p>
    <w:p w14:paraId="7F2D3DE6">
      <w:pPr>
        <w:spacing w:before="8" w:line="216" w:lineRule="auto"/>
        <w:ind w:left="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4.3.2 </w:t>
      </w:r>
      <w:r>
        <w:rPr>
          <w:rFonts w:ascii="FangSong_GB2312" w:hAnsi="FangSong_GB2312" w:eastAsia="FangSong_GB2312" w:cs="FangSong_GB2312"/>
          <w:b/>
          <w:bCs/>
          <w:spacing w:val="-2"/>
          <w:sz w:val="28"/>
          <w:szCs w:val="28"/>
        </w:rPr>
        <w:t>调查时段</w:t>
      </w:r>
    </w:p>
    <w:p w14:paraId="3523CB8E">
      <w:pPr>
        <w:pStyle w:val="2"/>
        <w:spacing w:line="251" w:lineRule="auto"/>
      </w:pPr>
    </w:p>
    <w:p w14:paraId="4ED1629F">
      <w:pPr>
        <w:spacing w:before="79" w:line="359" w:lineRule="auto"/>
        <w:ind w:left="12" w:firstLine="474"/>
        <w:jc w:val="both"/>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根据现场踏勘及查阅施工资料，本项目</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3"/>
          <w:sz w:val="24"/>
          <w:szCs w:val="24"/>
        </w:rPr>
        <w:t>已于</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14"/>
          <w:sz w:val="24"/>
          <w:szCs w:val="24"/>
        </w:rPr>
        <w:t xml:space="preserve">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3"/>
          <w:sz w:val="24"/>
          <w:szCs w:val="24"/>
        </w:rPr>
        <w:t>月开工</w:t>
      </w:r>
      <w:r>
        <w:rPr>
          <w:rFonts w:ascii="FangSong_GB2312" w:hAnsi="FangSong_GB2312" w:eastAsia="FangSong_GB2312" w:cs="FangSong_GB2312"/>
          <w:spacing w:val="-4"/>
          <w:sz w:val="24"/>
          <w:szCs w:val="24"/>
        </w:rPr>
        <w:t>建设，</w:t>
      </w:r>
      <w:r>
        <w:rPr>
          <w:rFonts w:ascii="Times New Roman" w:hAnsi="Times New Roman" w:eastAsia="Times New Roman" w:cs="Times New Roman"/>
          <w:spacing w:val="-4"/>
          <w:sz w:val="24"/>
          <w:szCs w:val="24"/>
        </w:rPr>
        <w:t>2023</w:t>
      </w:r>
      <w:r>
        <w:rPr>
          <w:rFonts w:ascii="Times New Roman" w:hAnsi="Times New Roman" w:eastAsia="Times New Roman" w:cs="Times New Roman"/>
          <w:spacing w:val="14"/>
          <w:sz w:val="24"/>
          <w:szCs w:val="24"/>
        </w:rPr>
        <w:t xml:space="preserve"> </w:t>
      </w:r>
      <w:r>
        <w:rPr>
          <w:rFonts w:ascii="FangSong_GB2312" w:hAnsi="FangSong_GB2312" w:eastAsia="FangSong_GB2312" w:cs="FangSong_GB2312"/>
          <w:spacing w:val="-4"/>
          <w:sz w:val="24"/>
          <w:szCs w:val="24"/>
        </w:rPr>
        <w:t>年</w:t>
      </w:r>
      <w:r>
        <w:rPr>
          <w:rFonts w:ascii="FangSong_GB2312" w:hAnsi="FangSong_GB2312" w:eastAsia="FangSong_GB2312" w:cs="FangSong_GB2312"/>
          <w:spacing w:val="-29"/>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4"/>
          <w:sz w:val="24"/>
          <w:szCs w:val="24"/>
        </w:rPr>
        <w:t>月</w:t>
      </w:r>
      <w:r>
        <w:rPr>
          <w:rFonts w:ascii="FangSong_GB2312" w:hAnsi="FangSong_GB2312" w:eastAsia="FangSong_GB2312" w:cs="FangSong_GB2312"/>
          <w:sz w:val="24"/>
          <w:szCs w:val="24"/>
        </w:rPr>
        <w:t>竣工。由于施工准备期较短，本项目将施工准备</w:t>
      </w:r>
      <w:r>
        <w:rPr>
          <w:rFonts w:ascii="FangSong_GB2312" w:hAnsi="FangSong_GB2312" w:eastAsia="FangSong_GB2312" w:cs="FangSong_GB2312"/>
          <w:spacing w:val="-1"/>
          <w:sz w:val="24"/>
          <w:szCs w:val="24"/>
        </w:rPr>
        <w:t>期和施工期合并为一个时段，水土流</w:t>
      </w:r>
      <w:r>
        <w:rPr>
          <w:rFonts w:ascii="FangSong_GB2312" w:hAnsi="FangSong_GB2312" w:eastAsia="FangSong_GB2312" w:cs="FangSong_GB2312"/>
          <w:sz w:val="24"/>
          <w:szCs w:val="24"/>
        </w:rPr>
        <w:t>失分为施工期（含施工准备期）和自然恢复期两</w:t>
      </w:r>
      <w:r>
        <w:rPr>
          <w:rFonts w:ascii="FangSong_GB2312" w:hAnsi="FangSong_GB2312" w:eastAsia="FangSong_GB2312" w:cs="FangSong_GB2312"/>
          <w:spacing w:val="-1"/>
          <w:sz w:val="24"/>
          <w:szCs w:val="24"/>
        </w:rPr>
        <w:t>个时段。按照《开发建设项目水土保</w:t>
      </w:r>
      <w:r>
        <w:rPr>
          <w:rFonts w:ascii="FangSong_GB2312" w:hAnsi="FangSong_GB2312" w:eastAsia="FangSong_GB2312" w:cs="FangSong_GB2312"/>
          <w:spacing w:val="-6"/>
          <w:sz w:val="24"/>
          <w:szCs w:val="24"/>
        </w:rPr>
        <w:t>持技术规范》（</w:t>
      </w:r>
      <w:r>
        <w:rPr>
          <w:rFonts w:ascii="Times New Roman" w:hAnsi="Times New Roman" w:eastAsia="Times New Roman" w:cs="Times New Roman"/>
          <w:spacing w:val="-6"/>
          <w:sz w:val="24"/>
          <w:szCs w:val="24"/>
        </w:rPr>
        <w:t>GB50433-2008</w:t>
      </w:r>
      <w:r>
        <w:rPr>
          <w:rFonts w:ascii="FangSong_GB2312" w:hAnsi="FangSong_GB2312" w:eastAsia="FangSong_GB2312" w:cs="FangSong_GB2312"/>
          <w:spacing w:val="-6"/>
          <w:sz w:val="24"/>
          <w:szCs w:val="24"/>
        </w:rPr>
        <w:t>）中水土流失预测的要求，根据各单元的施工扰动时间，</w:t>
      </w:r>
      <w:r>
        <w:rPr>
          <w:rFonts w:ascii="FangSong_GB2312" w:hAnsi="FangSong_GB2312" w:eastAsia="FangSong_GB2312" w:cs="FangSong_GB2312"/>
          <w:spacing w:val="-1"/>
          <w:sz w:val="24"/>
          <w:szCs w:val="24"/>
        </w:rPr>
        <w:t>结合产生水土流失的季节，按最不利的条件确定。</w:t>
      </w:r>
    </w:p>
    <w:p w14:paraId="5BF4806D">
      <w:pPr>
        <w:spacing w:before="120" w:line="216" w:lineRule="auto"/>
        <w:ind w:left="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）施工期</w:t>
      </w:r>
    </w:p>
    <w:p w14:paraId="7556E40D">
      <w:pPr>
        <w:spacing w:before="187" w:line="355" w:lineRule="auto"/>
        <w:ind w:left="9" w:right="60" w:firstLine="48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本项目施工期调查时段为</w:t>
      </w:r>
      <w:r>
        <w:rPr>
          <w:rFonts w:ascii="Times New Roman" w:hAnsi="Times New Roman" w:eastAsia="Times New Roman" w:cs="Times New Roman"/>
          <w:spacing w:val="-3"/>
          <w:sz w:val="24"/>
          <w:szCs w:val="24"/>
        </w:rPr>
        <w:t xml:space="preserve">2022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w:t>
      </w:r>
      <w:r>
        <w:rPr>
          <w:rFonts w:ascii="Times New Roman" w:hAnsi="Times New Roman" w:eastAsia="Times New Roman" w:cs="Times New Roman"/>
          <w:spacing w:val="-3"/>
          <w:sz w:val="24"/>
          <w:szCs w:val="24"/>
        </w:rPr>
        <w:t xml:space="preserve">~2023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月，共计</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 xml:space="preserve">7 </w:t>
      </w:r>
      <w:r>
        <w:rPr>
          <w:rFonts w:ascii="FangSong_GB2312" w:hAnsi="FangSong_GB2312" w:eastAsia="FangSong_GB2312" w:cs="FangSong_GB2312"/>
          <w:spacing w:val="-3"/>
          <w:sz w:val="24"/>
          <w:szCs w:val="24"/>
        </w:rPr>
        <w:t>个月，根据《生产建</w:t>
      </w:r>
      <w:r>
        <w:rPr>
          <w:rFonts w:ascii="FangSong_GB2312" w:hAnsi="FangSong_GB2312" w:eastAsia="FangSong_GB2312" w:cs="FangSong_GB2312"/>
          <w:sz w:val="24"/>
          <w:szCs w:val="24"/>
        </w:rPr>
        <w:t>设项目水土保持技术标准》</w:t>
      </w:r>
      <w:r>
        <w:rPr>
          <w:rFonts w:ascii="Times New Roman" w:hAnsi="Times New Roman" w:eastAsia="Times New Roman" w:cs="Times New Roman"/>
          <w:sz w:val="24"/>
          <w:szCs w:val="24"/>
        </w:rPr>
        <w:t>GB50433-2018</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z w:val="24"/>
          <w:szCs w:val="24"/>
        </w:rPr>
        <w:t>，施工期预测时间</w:t>
      </w:r>
      <w:r>
        <w:rPr>
          <w:rFonts w:ascii="FangSong_GB2312" w:hAnsi="FangSong_GB2312" w:eastAsia="FangSong_GB2312" w:cs="FangSong_GB2312"/>
          <w:spacing w:val="-1"/>
          <w:sz w:val="24"/>
          <w:szCs w:val="24"/>
        </w:rPr>
        <w:t>应按连续</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 xml:space="preserve">12 </w:t>
      </w:r>
      <w:r>
        <w:rPr>
          <w:rFonts w:ascii="FangSong_GB2312" w:hAnsi="FangSong_GB2312" w:eastAsia="FangSong_GB2312" w:cs="FangSong_GB2312"/>
          <w:spacing w:val="-1"/>
          <w:sz w:val="24"/>
          <w:szCs w:val="24"/>
        </w:rPr>
        <w:t>个月为一年</w:t>
      </w:r>
    </w:p>
    <w:p w14:paraId="585F3568">
      <w:pPr>
        <w:spacing w:before="1" w:line="228" w:lineRule="auto"/>
        <w:ind w:left="5384"/>
        <w:rPr>
          <w:rFonts w:ascii="FangSong_GB2312" w:hAnsi="FangSong_GB2312" w:eastAsia="FangSong_GB2312" w:cs="FangSong_GB2312"/>
          <w:sz w:val="20"/>
          <w:szCs w:val="20"/>
        </w:rPr>
      </w:pPr>
      <w:r>
        <w:pict>
          <v:shape id="_x0000_s1065" o:spid="_x0000_s1065" o:spt="202" type="#_x0000_t202" style="position:absolute;left:0pt;margin-left:216.8pt;margin-top:-0.2pt;height:10.15pt;width:10.7pt;z-index:251734016;mso-width-relative:page;mso-height-relative:page;" filled="f" stroked="f" coordsize="21600,21600">
            <v:path/>
            <v:fill on="f" focussize="0,0"/>
            <v:stroke on="f"/>
            <v:imagedata o:title=""/>
            <o:lock v:ext="edit" aspectratio="f"/>
            <v:textbox inset="0mm,0mm,0mm,0mm">
              <w:txbxContent>
                <w:p w14:paraId="36406B14">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txbxContent>
            </v:textbox>
          </v:shape>
        </w:pict>
      </w:r>
      <w:r>
        <w:rPr>
          <w:rFonts w:ascii="FangSong_GB2312" w:hAnsi="FangSong_GB2312" w:eastAsia="FangSong_GB2312" w:cs="FangSong_GB2312"/>
          <w:spacing w:val="8"/>
          <w:sz w:val="20"/>
          <w:szCs w:val="20"/>
        </w:rPr>
        <w:t>剑阁县绿森林业勘察设计有限公司</w:t>
      </w:r>
    </w:p>
    <w:p w14:paraId="2A66D2D8">
      <w:pPr>
        <w:spacing w:line="228" w:lineRule="auto"/>
        <w:rPr>
          <w:rFonts w:ascii="FangSong_GB2312" w:hAnsi="FangSong_GB2312" w:eastAsia="FangSong_GB2312" w:cs="FangSong_GB2312"/>
          <w:sz w:val="20"/>
          <w:szCs w:val="20"/>
        </w:rPr>
        <w:sectPr>
          <w:headerReference r:id="rId51" w:type="default"/>
          <w:pgSz w:w="11906" w:h="16839"/>
          <w:pgMar w:top="1159" w:right="1453" w:bottom="400" w:left="1513" w:header="831" w:footer="0" w:gutter="0"/>
          <w:cols w:space="720" w:num="1"/>
        </w:sectPr>
      </w:pPr>
    </w:p>
    <w:p w14:paraId="569C2759">
      <w:pPr>
        <w:spacing w:before="202" w:line="358" w:lineRule="auto"/>
        <w:ind w:left="42" w:right="117" w:firstLine="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计，不足</w:t>
      </w:r>
      <w:r>
        <w:rPr>
          <w:rFonts w:ascii="FangSong_GB2312" w:hAnsi="FangSong_GB2312" w:eastAsia="FangSong_GB2312" w:cs="FangSong_GB2312"/>
          <w:spacing w:val="-30"/>
          <w:sz w:val="24"/>
          <w:szCs w:val="24"/>
        </w:rPr>
        <w:t xml:space="preserve"> </w:t>
      </w:r>
      <w:r>
        <w:rPr>
          <w:rFonts w:ascii="Times New Roman" w:hAnsi="Times New Roman" w:eastAsia="Times New Roman" w:cs="Times New Roman"/>
          <w:spacing w:val="2"/>
          <w:sz w:val="24"/>
          <w:szCs w:val="24"/>
        </w:rPr>
        <w:t xml:space="preserve">12 </w:t>
      </w:r>
      <w:r>
        <w:rPr>
          <w:rFonts w:ascii="FangSong_GB2312" w:hAnsi="FangSong_GB2312" w:eastAsia="FangSong_GB2312" w:cs="FangSong_GB2312"/>
          <w:spacing w:val="2"/>
          <w:sz w:val="24"/>
          <w:szCs w:val="24"/>
        </w:rPr>
        <w:t>个月，但到达一个雨（风）季长度的，按一年计，不</w:t>
      </w:r>
      <w:r>
        <w:rPr>
          <w:rFonts w:ascii="FangSong_GB2312" w:hAnsi="FangSong_GB2312" w:eastAsia="FangSong_GB2312" w:cs="FangSong_GB2312"/>
          <w:spacing w:val="1"/>
          <w:sz w:val="24"/>
          <w:szCs w:val="24"/>
        </w:rPr>
        <w:t>足一个雨（风）季</w:t>
      </w:r>
      <w:r>
        <w:rPr>
          <w:rFonts w:ascii="FangSong_GB2312" w:hAnsi="FangSong_GB2312" w:eastAsia="FangSong_GB2312" w:cs="FangSong_GB2312"/>
          <w:spacing w:val="-1"/>
          <w:sz w:val="24"/>
          <w:szCs w:val="24"/>
        </w:rPr>
        <w:t>长度的，按占雨（风）季长度的比例计算，故本项目施工期调查</w:t>
      </w:r>
      <w:r>
        <w:rPr>
          <w:rFonts w:ascii="FangSong_GB2312" w:hAnsi="FangSong_GB2312" w:eastAsia="FangSong_GB2312" w:cs="FangSong_GB2312"/>
          <w:spacing w:val="-2"/>
          <w:sz w:val="24"/>
          <w:szCs w:val="24"/>
        </w:rPr>
        <w:t>时段为</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 xml:space="preserve">1 </w:t>
      </w:r>
      <w:r>
        <w:rPr>
          <w:rFonts w:ascii="FangSong_GB2312" w:hAnsi="FangSong_GB2312" w:eastAsia="FangSong_GB2312" w:cs="FangSong_GB2312"/>
          <w:spacing w:val="-2"/>
          <w:sz w:val="24"/>
          <w:szCs w:val="24"/>
        </w:rPr>
        <w:t>年。</w:t>
      </w:r>
    </w:p>
    <w:p w14:paraId="1EB8F6FE">
      <w:pPr>
        <w:spacing w:before="2" w:line="214" w:lineRule="auto"/>
        <w:ind w:left="514"/>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w:t>
      </w:r>
      <w:r>
        <w:rPr>
          <w:rFonts w:ascii="Times New Roman" w:hAnsi="Times New Roman" w:eastAsia="Times New Roman" w:cs="Times New Roman"/>
          <w:spacing w:val="-8"/>
          <w:sz w:val="24"/>
          <w:szCs w:val="24"/>
        </w:rPr>
        <w:t>2</w:t>
      </w:r>
      <w:r>
        <w:rPr>
          <w:rFonts w:ascii="FangSong_GB2312" w:hAnsi="FangSong_GB2312" w:eastAsia="FangSong_GB2312" w:cs="FangSong_GB2312"/>
          <w:spacing w:val="-8"/>
          <w:sz w:val="24"/>
          <w:szCs w:val="24"/>
        </w:rPr>
        <w:t>）</w:t>
      </w:r>
      <w:r>
        <w:rPr>
          <w:rFonts w:ascii="FangSong_GB2312" w:hAnsi="FangSong_GB2312" w:eastAsia="FangSong_GB2312" w:cs="FangSong_GB2312"/>
          <w:spacing w:val="-63"/>
          <w:sz w:val="24"/>
          <w:szCs w:val="24"/>
        </w:rPr>
        <w:t xml:space="preserve"> </w:t>
      </w:r>
      <w:r>
        <w:rPr>
          <w:rFonts w:ascii="FangSong_GB2312" w:hAnsi="FangSong_GB2312" w:eastAsia="FangSong_GB2312" w:cs="FangSong_GB2312"/>
          <w:spacing w:val="-8"/>
          <w:sz w:val="24"/>
          <w:szCs w:val="24"/>
        </w:rPr>
        <w:t>自然恢复期</w:t>
      </w:r>
    </w:p>
    <w:p w14:paraId="69896706">
      <w:pPr>
        <w:spacing w:before="190" w:line="359" w:lineRule="auto"/>
        <w:ind w:left="32" w:right="54" w:firstLine="492"/>
        <w:rPr>
          <w:rFonts w:ascii="FangSong_GB2312" w:hAnsi="FangSong_GB2312" w:eastAsia="FangSong_GB2312" w:cs="FangSong_GB2312"/>
          <w:sz w:val="24"/>
          <w:szCs w:val="24"/>
        </w:rPr>
      </w:pPr>
      <w:r>
        <w:rPr>
          <w:rFonts w:ascii="FangSong_GB2312" w:hAnsi="FangSong_GB2312" w:eastAsia="FangSong_GB2312" w:cs="FangSong_GB2312"/>
          <w:spacing w:val="-6"/>
          <w:sz w:val="24"/>
          <w:szCs w:val="24"/>
        </w:rPr>
        <w:t>工程施工结束后，因施工引起水土流失的各项因素逐渐消失，地表扰动基本停止，</w:t>
      </w:r>
      <w:r>
        <w:rPr>
          <w:rFonts w:ascii="FangSong_GB2312" w:hAnsi="FangSong_GB2312" w:eastAsia="FangSong_GB2312" w:cs="FangSong_GB2312"/>
          <w:sz w:val="24"/>
          <w:szCs w:val="24"/>
        </w:rPr>
        <w:t>植被得到逐步恢复，松散裸露面逐步趋于稳定，水土流失将逐步减小</w:t>
      </w:r>
      <w:r>
        <w:rPr>
          <w:rFonts w:ascii="FangSong_GB2312" w:hAnsi="FangSong_GB2312" w:eastAsia="FangSong_GB2312" w:cs="FangSong_GB2312"/>
          <w:spacing w:val="-1"/>
          <w:sz w:val="24"/>
          <w:szCs w:val="24"/>
        </w:rPr>
        <w:t>，但自然恢复期</w:t>
      </w:r>
      <w:r>
        <w:rPr>
          <w:rFonts w:ascii="FangSong_GB2312" w:hAnsi="FangSong_GB2312" w:eastAsia="FangSong_GB2312" w:cs="FangSong_GB2312"/>
          <w:spacing w:val="-2"/>
          <w:sz w:val="24"/>
          <w:szCs w:val="24"/>
        </w:rPr>
        <w:t>仍有一定量的水土流失。广元市剑阁县多年平均降水量</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1086.60mm</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2"/>
          <w:sz w:val="24"/>
          <w:szCs w:val="24"/>
        </w:rPr>
        <w:t>，多年平均蒸发量</w:t>
      </w:r>
      <w:r>
        <w:rPr>
          <w:rFonts w:ascii="Times New Roman" w:hAnsi="Times New Roman" w:eastAsia="Times New Roman" w:cs="Times New Roman"/>
          <w:spacing w:val="-1"/>
          <w:sz w:val="24"/>
          <w:szCs w:val="24"/>
        </w:rPr>
        <w:t>1002.00mm</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1"/>
          <w:sz w:val="24"/>
          <w:szCs w:val="24"/>
        </w:rPr>
        <w:t>，干燥度（最大可能蒸发量与降水量之比）采用近似估算为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0.92</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1"/>
          <w:sz w:val="24"/>
          <w:szCs w:val="24"/>
        </w:rPr>
        <w:t>，对比气</w:t>
      </w:r>
      <w:r>
        <w:rPr>
          <w:rFonts w:ascii="FangSong_GB2312" w:hAnsi="FangSong_GB2312" w:eastAsia="FangSong_GB2312" w:cs="FangSong_GB2312"/>
          <w:spacing w:val="-5"/>
          <w:sz w:val="24"/>
          <w:szCs w:val="24"/>
        </w:rPr>
        <w:t>候大区年干燥度指标，本项目位于湿润区，因此本项目各单元自然恢复期按</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 xml:space="preserve">2 </w:t>
      </w:r>
      <w:r>
        <w:rPr>
          <w:rFonts w:ascii="FangSong_GB2312" w:hAnsi="FangSong_GB2312" w:eastAsia="FangSong_GB2312" w:cs="FangSong_GB2312"/>
          <w:spacing w:val="-5"/>
          <w:sz w:val="24"/>
          <w:szCs w:val="24"/>
        </w:rPr>
        <w:t>年计算，</w:t>
      </w:r>
      <w:r>
        <w:rPr>
          <w:rFonts w:ascii="FangSong_GB2312" w:hAnsi="FangSong_GB2312" w:eastAsia="FangSong_GB2312" w:cs="FangSong_GB2312"/>
          <w:spacing w:val="-1"/>
          <w:sz w:val="24"/>
          <w:szCs w:val="24"/>
        </w:rPr>
        <w:t>预测范围为绿化区域，共计</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1"/>
          <w:sz w:val="24"/>
          <w:szCs w:val="24"/>
        </w:rPr>
        <w:t>0.01hm</w:t>
      </w:r>
      <w:r>
        <w:rPr>
          <w:rFonts w:ascii="Times New Roman" w:hAnsi="Times New Roman" w:eastAsia="Times New Roman" w:cs="Times New Roman"/>
          <w:spacing w:val="-1"/>
          <w:position w:val="8"/>
          <w:sz w:val="15"/>
          <w:szCs w:val="15"/>
        </w:rPr>
        <w:t>2</w:t>
      </w:r>
      <w:r>
        <w:rPr>
          <w:rFonts w:ascii="FangSong_GB2312" w:hAnsi="FangSong_GB2312" w:eastAsia="FangSong_GB2312" w:cs="FangSong_GB2312"/>
          <w:spacing w:val="-1"/>
          <w:sz w:val="24"/>
          <w:szCs w:val="24"/>
        </w:rPr>
        <w:t>。</w:t>
      </w:r>
    </w:p>
    <w:p w14:paraId="262F9718">
      <w:pPr>
        <w:spacing w:before="1" w:line="215" w:lineRule="auto"/>
        <w:ind w:left="518"/>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水土流失调查详见下表</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1"/>
          <w:sz w:val="24"/>
          <w:szCs w:val="24"/>
        </w:rPr>
        <w:t>4.4-1</w:t>
      </w:r>
      <w:r>
        <w:rPr>
          <w:rFonts w:ascii="FangSong_GB2312" w:hAnsi="FangSong_GB2312" w:eastAsia="FangSong_GB2312" w:cs="FangSong_GB2312"/>
          <w:spacing w:val="-1"/>
          <w:sz w:val="24"/>
          <w:szCs w:val="24"/>
        </w:rPr>
        <w:t>。</w:t>
      </w:r>
    </w:p>
    <w:p w14:paraId="6336E9D9">
      <w:pPr>
        <w:spacing w:before="180" w:line="223" w:lineRule="auto"/>
        <w:ind w:left="3069"/>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2"/>
          <w:sz w:val="20"/>
          <w:szCs w:val="20"/>
        </w:rPr>
        <w:t xml:space="preserve"> </w:t>
      </w:r>
      <w:r>
        <w:rPr>
          <w:rFonts w:ascii="Times New Roman" w:hAnsi="Times New Roman" w:eastAsia="Times New Roman" w:cs="Times New Roman"/>
          <w:b/>
          <w:bCs/>
          <w:spacing w:val="5"/>
          <w:sz w:val="20"/>
          <w:szCs w:val="20"/>
        </w:rPr>
        <w:t xml:space="preserve">4.4-1    </w:t>
      </w:r>
      <w:r>
        <w:rPr>
          <w:rFonts w:ascii="FangSong_GB2312" w:hAnsi="FangSong_GB2312" w:eastAsia="FangSong_GB2312" w:cs="FangSong_GB2312"/>
          <w:b/>
          <w:bCs/>
          <w:spacing w:val="5"/>
          <w:sz w:val="20"/>
          <w:szCs w:val="20"/>
        </w:rPr>
        <w:t>水土流失调查情况表</w:t>
      </w:r>
    </w:p>
    <w:tbl>
      <w:tblPr>
        <w:tblStyle w:val="6"/>
        <w:tblW w:w="890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1"/>
        <w:gridCol w:w="2346"/>
        <w:gridCol w:w="2409"/>
        <w:gridCol w:w="2533"/>
      </w:tblGrid>
      <w:tr w14:paraId="685EF817">
        <w:tblPrEx>
          <w:tblCellMar>
            <w:top w:w="0" w:type="dxa"/>
            <w:left w:w="0" w:type="dxa"/>
            <w:bottom w:w="0" w:type="dxa"/>
            <w:right w:w="0" w:type="dxa"/>
          </w:tblCellMar>
        </w:tblPrEx>
        <w:trPr>
          <w:trHeight w:val="429" w:hRule="atLeast"/>
        </w:trPr>
        <w:tc>
          <w:tcPr>
            <w:tcW w:w="3967" w:type="dxa"/>
            <w:gridSpan w:val="2"/>
            <w:vMerge w:val="restart"/>
            <w:tcBorders>
              <w:top w:val="single" w:color="000000" w:sz="10" w:space="0"/>
              <w:left w:val="single" w:color="000000" w:sz="10" w:space="0"/>
              <w:bottom w:val="nil"/>
            </w:tcBorders>
            <w:vAlign w:val="top"/>
          </w:tcPr>
          <w:p w14:paraId="7BB8DBD6">
            <w:pPr>
              <w:spacing w:line="302" w:lineRule="auto"/>
              <w:rPr>
                <w:rFonts w:ascii="Arial"/>
                <w:sz w:val="21"/>
              </w:rPr>
            </w:pPr>
          </w:p>
          <w:p w14:paraId="4368C6FF">
            <w:pPr>
              <w:spacing w:before="58" w:line="216" w:lineRule="auto"/>
              <w:ind w:left="161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调查单元</w:t>
            </w:r>
          </w:p>
        </w:tc>
        <w:tc>
          <w:tcPr>
            <w:tcW w:w="4942" w:type="dxa"/>
            <w:gridSpan w:val="2"/>
            <w:tcBorders>
              <w:top w:val="single" w:color="000000" w:sz="10" w:space="0"/>
              <w:right w:val="single" w:color="000000" w:sz="10" w:space="0"/>
            </w:tcBorders>
            <w:vAlign w:val="top"/>
          </w:tcPr>
          <w:p w14:paraId="1E8FC279">
            <w:pPr>
              <w:spacing w:before="134" w:line="215" w:lineRule="auto"/>
              <w:ind w:left="184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调查时段及面积</w:t>
            </w:r>
          </w:p>
        </w:tc>
      </w:tr>
      <w:tr w14:paraId="3784D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967" w:type="dxa"/>
            <w:gridSpan w:val="2"/>
            <w:vMerge w:val="continue"/>
            <w:tcBorders>
              <w:top w:val="nil"/>
              <w:left w:val="single" w:color="000000" w:sz="10" w:space="0"/>
            </w:tcBorders>
            <w:vAlign w:val="top"/>
          </w:tcPr>
          <w:p w14:paraId="2D523785">
            <w:pPr>
              <w:rPr>
                <w:rFonts w:ascii="Arial"/>
                <w:sz w:val="21"/>
              </w:rPr>
            </w:pPr>
          </w:p>
        </w:tc>
        <w:tc>
          <w:tcPr>
            <w:tcW w:w="2409" w:type="dxa"/>
            <w:vAlign w:val="top"/>
          </w:tcPr>
          <w:p w14:paraId="1494AE96">
            <w:pPr>
              <w:spacing w:before="145" w:line="217" w:lineRule="auto"/>
              <w:ind w:left="52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调查面积（</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pacing w:val="-1"/>
                <w:sz w:val="18"/>
                <w:szCs w:val="18"/>
              </w:rPr>
              <w:t>）</w:t>
            </w:r>
          </w:p>
        </w:tc>
        <w:tc>
          <w:tcPr>
            <w:tcW w:w="2533" w:type="dxa"/>
            <w:tcBorders>
              <w:right w:val="single" w:color="000000" w:sz="10" w:space="0"/>
            </w:tcBorders>
            <w:vAlign w:val="top"/>
          </w:tcPr>
          <w:p w14:paraId="3F4D8C0F">
            <w:pPr>
              <w:spacing w:before="144" w:line="215" w:lineRule="auto"/>
              <w:ind w:left="6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调查时段（</w:t>
            </w:r>
            <w:r>
              <w:rPr>
                <w:rFonts w:ascii="Times New Roman" w:hAnsi="Times New Roman" w:eastAsia="Times New Roman" w:cs="Times New Roman"/>
                <w:spacing w:val="-2"/>
                <w:sz w:val="18"/>
                <w:szCs w:val="18"/>
              </w:rPr>
              <w:t>a</w:t>
            </w:r>
            <w:r>
              <w:rPr>
                <w:rFonts w:ascii="FangSong_GB2312" w:hAnsi="FangSong_GB2312" w:eastAsia="FangSong_GB2312" w:cs="FangSong_GB2312"/>
                <w:spacing w:val="-2"/>
                <w:sz w:val="18"/>
                <w:szCs w:val="18"/>
              </w:rPr>
              <w:t>）</w:t>
            </w:r>
          </w:p>
        </w:tc>
      </w:tr>
      <w:tr w14:paraId="384AE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21" w:type="dxa"/>
            <w:vMerge w:val="restart"/>
            <w:tcBorders>
              <w:left w:val="single" w:color="000000" w:sz="10" w:space="0"/>
              <w:bottom w:val="nil"/>
            </w:tcBorders>
            <w:vAlign w:val="top"/>
          </w:tcPr>
          <w:p w14:paraId="0AA72001">
            <w:pPr>
              <w:spacing w:line="270" w:lineRule="auto"/>
              <w:rPr>
                <w:rFonts w:ascii="Arial"/>
                <w:sz w:val="21"/>
              </w:rPr>
            </w:pPr>
          </w:p>
          <w:p w14:paraId="119D8749">
            <w:pPr>
              <w:spacing w:line="270" w:lineRule="auto"/>
              <w:rPr>
                <w:rFonts w:ascii="Arial"/>
                <w:sz w:val="21"/>
              </w:rPr>
            </w:pPr>
          </w:p>
          <w:p w14:paraId="7EFDF84F">
            <w:pPr>
              <w:spacing w:before="59" w:line="216" w:lineRule="auto"/>
              <w:ind w:left="53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施工期</w:t>
            </w:r>
          </w:p>
        </w:tc>
        <w:tc>
          <w:tcPr>
            <w:tcW w:w="2346" w:type="dxa"/>
            <w:vAlign w:val="top"/>
          </w:tcPr>
          <w:p w14:paraId="6A618AEB">
            <w:pPr>
              <w:spacing w:before="148" w:line="214" w:lineRule="auto"/>
              <w:ind w:left="45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建构筑物工程单元</w:t>
            </w:r>
          </w:p>
        </w:tc>
        <w:tc>
          <w:tcPr>
            <w:tcW w:w="2409" w:type="dxa"/>
            <w:vAlign w:val="top"/>
          </w:tcPr>
          <w:p w14:paraId="34B99337">
            <w:pPr>
              <w:spacing w:before="128" w:line="188" w:lineRule="auto"/>
              <w:ind w:left="10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2533" w:type="dxa"/>
            <w:tcBorders>
              <w:right w:val="single" w:color="000000" w:sz="10" w:space="0"/>
            </w:tcBorders>
            <w:vAlign w:val="top"/>
          </w:tcPr>
          <w:p w14:paraId="0A13DFEE">
            <w:pPr>
              <w:spacing w:before="179" w:line="188" w:lineRule="auto"/>
              <w:ind w:left="1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14:paraId="7DB84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21" w:type="dxa"/>
            <w:vMerge w:val="continue"/>
            <w:tcBorders>
              <w:top w:val="nil"/>
              <w:left w:val="single" w:color="000000" w:sz="10" w:space="0"/>
              <w:bottom w:val="nil"/>
            </w:tcBorders>
            <w:vAlign w:val="top"/>
          </w:tcPr>
          <w:p w14:paraId="73AFA860">
            <w:pPr>
              <w:rPr>
                <w:rFonts w:ascii="Arial"/>
                <w:sz w:val="21"/>
              </w:rPr>
            </w:pPr>
          </w:p>
        </w:tc>
        <w:tc>
          <w:tcPr>
            <w:tcW w:w="2346" w:type="dxa"/>
            <w:vAlign w:val="top"/>
          </w:tcPr>
          <w:p w14:paraId="09940792">
            <w:pPr>
              <w:spacing w:before="151" w:line="216" w:lineRule="auto"/>
              <w:ind w:left="62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硬化工程单元</w:t>
            </w:r>
          </w:p>
        </w:tc>
        <w:tc>
          <w:tcPr>
            <w:tcW w:w="2409" w:type="dxa"/>
            <w:vAlign w:val="top"/>
          </w:tcPr>
          <w:p w14:paraId="1BF979CE">
            <w:pPr>
              <w:spacing w:before="132" w:line="188" w:lineRule="auto"/>
              <w:ind w:left="10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2533" w:type="dxa"/>
            <w:tcBorders>
              <w:right w:val="single" w:color="000000" w:sz="10" w:space="0"/>
            </w:tcBorders>
            <w:vAlign w:val="top"/>
          </w:tcPr>
          <w:p w14:paraId="0E3538B7">
            <w:pPr>
              <w:spacing w:before="182" w:line="188" w:lineRule="auto"/>
              <w:ind w:left="1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14:paraId="4AD04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21" w:type="dxa"/>
            <w:vMerge w:val="continue"/>
            <w:tcBorders>
              <w:top w:val="nil"/>
              <w:left w:val="single" w:color="000000" w:sz="10" w:space="0"/>
            </w:tcBorders>
            <w:vAlign w:val="top"/>
          </w:tcPr>
          <w:p w14:paraId="35178F1E">
            <w:pPr>
              <w:rPr>
                <w:rFonts w:ascii="Arial"/>
                <w:sz w:val="21"/>
              </w:rPr>
            </w:pPr>
          </w:p>
        </w:tc>
        <w:tc>
          <w:tcPr>
            <w:tcW w:w="2346" w:type="dxa"/>
            <w:vAlign w:val="top"/>
          </w:tcPr>
          <w:p w14:paraId="440E81D9">
            <w:pPr>
              <w:spacing w:before="157" w:line="216" w:lineRule="auto"/>
              <w:ind w:left="64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绿化工程单元</w:t>
            </w:r>
          </w:p>
        </w:tc>
        <w:tc>
          <w:tcPr>
            <w:tcW w:w="2409" w:type="dxa"/>
            <w:vAlign w:val="top"/>
          </w:tcPr>
          <w:p w14:paraId="63ACEA18">
            <w:pPr>
              <w:spacing w:before="135" w:line="188" w:lineRule="auto"/>
              <w:ind w:left="10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2533" w:type="dxa"/>
            <w:tcBorders>
              <w:right w:val="single" w:color="000000" w:sz="10" w:space="0"/>
            </w:tcBorders>
            <w:vAlign w:val="top"/>
          </w:tcPr>
          <w:p w14:paraId="501ABC83">
            <w:pPr>
              <w:spacing w:before="188" w:line="188" w:lineRule="auto"/>
              <w:ind w:left="11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r>
      <w:tr w14:paraId="6CE82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1621" w:type="dxa"/>
            <w:tcBorders>
              <w:left w:val="single" w:color="000000" w:sz="10" w:space="0"/>
              <w:bottom w:val="single" w:color="000000" w:sz="10" w:space="0"/>
            </w:tcBorders>
            <w:vAlign w:val="top"/>
          </w:tcPr>
          <w:p w14:paraId="0D437573">
            <w:pPr>
              <w:spacing w:before="161" w:line="214" w:lineRule="auto"/>
              <w:ind w:left="382"/>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自然恢复期</w:t>
            </w:r>
          </w:p>
        </w:tc>
        <w:tc>
          <w:tcPr>
            <w:tcW w:w="2346" w:type="dxa"/>
            <w:tcBorders>
              <w:bottom w:val="single" w:color="000000" w:sz="10" w:space="0"/>
            </w:tcBorders>
            <w:vAlign w:val="top"/>
          </w:tcPr>
          <w:p w14:paraId="1A3A75B8">
            <w:pPr>
              <w:spacing w:before="161" w:line="216" w:lineRule="auto"/>
              <w:ind w:left="64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绿化工程单元</w:t>
            </w:r>
          </w:p>
        </w:tc>
        <w:tc>
          <w:tcPr>
            <w:tcW w:w="2409" w:type="dxa"/>
            <w:tcBorders>
              <w:bottom w:val="single" w:color="000000" w:sz="10" w:space="0"/>
            </w:tcBorders>
            <w:vAlign w:val="top"/>
          </w:tcPr>
          <w:p w14:paraId="620E5EF1">
            <w:pPr>
              <w:spacing w:before="192" w:line="188" w:lineRule="auto"/>
              <w:ind w:left="10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2533" w:type="dxa"/>
            <w:tcBorders>
              <w:bottom w:val="single" w:color="000000" w:sz="10" w:space="0"/>
              <w:right w:val="single" w:color="000000" w:sz="10" w:space="0"/>
            </w:tcBorders>
            <w:vAlign w:val="top"/>
          </w:tcPr>
          <w:p w14:paraId="096BB104">
            <w:pPr>
              <w:spacing w:before="192" w:line="188" w:lineRule="auto"/>
              <w:ind w:left="11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r>
    </w:tbl>
    <w:p w14:paraId="59595A2B">
      <w:pPr>
        <w:spacing w:before="285" w:line="217" w:lineRule="auto"/>
        <w:ind w:left="36"/>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4.3.3 </w:t>
      </w:r>
      <w:r>
        <w:rPr>
          <w:rFonts w:ascii="FangSong_GB2312" w:hAnsi="FangSong_GB2312" w:eastAsia="FangSong_GB2312" w:cs="FangSong_GB2312"/>
          <w:b/>
          <w:bCs/>
          <w:spacing w:val="-2"/>
          <w:sz w:val="28"/>
          <w:szCs w:val="28"/>
        </w:rPr>
        <w:t>土壤侵蚀模数</w:t>
      </w:r>
    </w:p>
    <w:p w14:paraId="30ABD537">
      <w:pPr>
        <w:pStyle w:val="2"/>
        <w:spacing w:line="250" w:lineRule="auto"/>
      </w:pPr>
    </w:p>
    <w:p w14:paraId="62BA98CD">
      <w:pPr>
        <w:spacing w:before="78" w:line="215" w:lineRule="auto"/>
        <w:ind w:left="35"/>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4.3.3.1 </w:t>
      </w:r>
      <w:r>
        <w:rPr>
          <w:rFonts w:ascii="FangSong_GB2312" w:hAnsi="FangSong_GB2312" w:eastAsia="FangSong_GB2312" w:cs="FangSong_GB2312"/>
          <w:b/>
          <w:bCs/>
          <w:spacing w:val="-2"/>
          <w:sz w:val="24"/>
          <w:szCs w:val="24"/>
        </w:rPr>
        <w:t>扰动前土壤侵蚀模数</w:t>
      </w:r>
    </w:p>
    <w:p w14:paraId="149C61F8">
      <w:pPr>
        <w:spacing w:before="187" w:line="359" w:lineRule="auto"/>
        <w:ind w:left="34" w:firstLine="481"/>
        <w:jc w:val="both"/>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根据对项目区水土流失特点分析和区域现状调查，按照《土壤侵蚀分类分级标准》</w:t>
      </w:r>
      <w:r>
        <w:rPr>
          <w:rFonts w:ascii="FangSong_GB2312" w:hAnsi="FangSong_GB2312" w:eastAsia="FangSong_GB2312" w:cs="FangSong_GB2312"/>
          <w:spacing w:val="9"/>
          <w:sz w:val="24"/>
          <w:szCs w:val="24"/>
        </w:rPr>
        <w:t xml:space="preserve"> </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SL190-2007</w:t>
      </w:r>
      <w:r>
        <w:rPr>
          <w:rFonts w:ascii="FangSong_GB2312" w:hAnsi="FangSong_GB2312" w:eastAsia="FangSong_GB2312" w:cs="FangSong_GB2312"/>
          <w:sz w:val="24"/>
          <w:szCs w:val="24"/>
        </w:rPr>
        <w:t>）中侵蚀等级划分，结合项目区地形地貌条件、土</w:t>
      </w:r>
      <w:r>
        <w:rPr>
          <w:rFonts w:ascii="FangSong_GB2312" w:hAnsi="FangSong_GB2312" w:eastAsia="FangSong_GB2312" w:cs="FangSong_GB2312"/>
          <w:spacing w:val="-1"/>
          <w:sz w:val="24"/>
          <w:szCs w:val="24"/>
        </w:rPr>
        <w:t>壤植被等影响水土流</w:t>
      </w:r>
      <w:r>
        <w:rPr>
          <w:rFonts w:ascii="FangSong_GB2312" w:hAnsi="FangSong_GB2312" w:eastAsia="FangSong_GB2312" w:cs="FangSong_GB2312"/>
          <w:sz w:val="24"/>
          <w:szCs w:val="24"/>
        </w:rPr>
        <w:t>失的自然因素，确定项目区总体侵蚀强度属轻度侵蚀，流失类型</w:t>
      </w:r>
      <w:r>
        <w:rPr>
          <w:rFonts w:ascii="FangSong_GB2312" w:hAnsi="FangSong_GB2312" w:eastAsia="FangSong_GB2312" w:cs="FangSong_GB2312"/>
          <w:spacing w:val="-1"/>
          <w:sz w:val="24"/>
          <w:szCs w:val="24"/>
        </w:rPr>
        <w:t>以水力侵蚀为主，工</w:t>
      </w:r>
      <w:r>
        <w:rPr>
          <w:rFonts w:ascii="FangSong_GB2312" w:hAnsi="FangSong_GB2312" w:eastAsia="FangSong_GB2312" w:cs="FangSong_GB2312"/>
          <w:spacing w:val="-2"/>
          <w:sz w:val="24"/>
          <w:szCs w:val="24"/>
        </w:rPr>
        <w:t>程占地范围内平均水土流失背景值取</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2"/>
          <w:sz w:val="24"/>
          <w:szCs w:val="24"/>
        </w:rPr>
        <w:t>900t/km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Times New Roman" w:hAnsi="Times New Roman" w:eastAsia="Times New Roman" w:cs="Times New Roman"/>
          <w:spacing w:val="-2"/>
          <w:sz w:val="24"/>
          <w:szCs w:val="24"/>
        </w:rPr>
        <w:t>·</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2"/>
          <w:sz w:val="24"/>
          <w:szCs w:val="24"/>
        </w:rPr>
        <w:t>a</w:t>
      </w:r>
      <w:r>
        <w:rPr>
          <w:rFonts w:ascii="FangSong_GB2312" w:hAnsi="FangSong_GB2312" w:eastAsia="FangSong_GB2312" w:cs="FangSong_GB2312"/>
          <w:spacing w:val="-2"/>
          <w:sz w:val="24"/>
          <w:szCs w:val="24"/>
        </w:rPr>
        <w:t>。</w:t>
      </w:r>
    </w:p>
    <w:p w14:paraId="73F6651B">
      <w:pPr>
        <w:spacing w:before="2" w:line="216" w:lineRule="auto"/>
        <w:ind w:left="35"/>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4.3.3.2 </w:t>
      </w:r>
      <w:r>
        <w:rPr>
          <w:rFonts w:ascii="FangSong_GB2312" w:hAnsi="FangSong_GB2312" w:eastAsia="FangSong_GB2312" w:cs="FangSong_GB2312"/>
          <w:b/>
          <w:bCs/>
          <w:spacing w:val="-2"/>
          <w:sz w:val="24"/>
          <w:szCs w:val="24"/>
        </w:rPr>
        <w:t>扰动后土壤侵蚀模数</w:t>
      </w:r>
    </w:p>
    <w:p w14:paraId="188BED5F">
      <w:pPr>
        <w:spacing w:before="186" w:line="216" w:lineRule="auto"/>
        <w:ind w:left="35"/>
        <w:outlineLvl w:val="4"/>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4.3.3.2.1 </w:t>
      </w:r>
      <w:r>
        <w:rPr>
          <w:rFonts w:ascii="FangSong_GB2312" w:hAnsi="FangSong_GB2312" w:eastAsia="FangSong_GB2312" w:cs="FangSong_GB2312"/>
          <w:b/>
          <w:bCs/>
          <w:spacing w:val="-2"/>
          <w:sz w:val="24"/>
          <w:szCs w:val="24"/>
        </w:rPr>
        <w:t>施工期土壤侵蚀模数</w:t>
      </w:r>
    </w:p>
    <w:p w14:paraId="30F7454E">
      <w:pPr>
        <w:spacing w:before="185" w:line="358" w:lineRule="auto"/>
        <w:ind w:left="33" w:right="115" w:firstLine="48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本项目施工期（</w:t>
      </w:r>
      <w:r>
        <w:rPr>
          <w:rFonts w:ascii="Times New Roman" w:hAnsi="Times New Roman" w:eastAsia="Times New Roman" w:cs="Times New Roman"/>
          <w:spacing w:val="-2"/>
          <w:sz w:val="24"/>
          <w:szCs w:val="24"/>
        </w:rPr>
        <w:t xml:space="preserve">2022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7</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2"/>
          <w:sz w:val="24"/>
          <w:szCs w:val="24"/>
        </w:rPr>
        <w:t>月</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3"/>
          <w:sz w:val="24"/>
          <w:szCs w:val="24"/>
        </w:rPr>
        <w:t xml:space="preserve">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3"/>
          <w:sz w:val="24"/>
          <w:szCs w:val="24"/>
        </w:rPr>
        <w:t>月）土壤侵蚀模数采用试验观测法确定，</w:t>
      </w:r>
      <w:r>
        <w:rPr>
          <w:rFonts w:ascii="FangSong_GB2312" w:hAnsi="FangSong_GB2312" w:eastAsia="FangSong_GB2312" w:cs="FangSong_GB2312"/>
          <w:spacing w:val="-1"/>
          <w:sz w:val="24"/>
          <w:szCs w:val="24"/>
        </w:rPr>
        <w:t>通过采用无人机遥感监测，延施工作业区域规划航迹，确保影像重叠度</w:t>
      </w:r>
      <w:r>
        <w:rPr>
          <w:rFonts w:ascii="Times New Roman" w:hAnsi="Times New Roman" w:eastAsia="Times New Roman" w:cs="Times New Roman"/>
          <w:spacing w:val="-1"/>
          <w:sz w:val="24"/>
          <w:szCs w:val="24"/>
        </w:rPr>
        <w:t>≥40%</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，搭载</w:t>
      </w:r>
      <w:r>
        <w:rPr>
          <w:rFonts w:ascii="Times New Roman" w:hAnsi="Times New Roman" w:eastAsia="Times New Roman" w:cs="Times New Roman"/>
          <w:spacing w:val="-2"/>
          <w:sz w:val="24"/>
          <w:szCs w:val="24"/>
        </w:rPr>
        <w:t xml:space="preserve">RTK-GPS </w:t>
      </w:r>
      <w:r>
        <w:rPr>
          <w:rFonts w:ascii="FangSong_GB2312" w:hAnsi="FangSong_GB2312" w:eastAsia="FangSong_GB2312" w:cs="FangSong_GB2312"/>
          <w:spacing w:val="-2"/>
          <w:sz w:val="24"/>
          <w:szCs w:val="24"/>
        </w:rPr>
        <w:t>获取地面控制点坐标。而后进行数据处理：通过</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2"/>
          <w:sz w:val="24"/>
          <w:szCs w:val="24"/>
        </w:rPr>
        <w:t>Agisoft Photoscan</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2"/>
          <w:sz w:val="24"/>
          <w:szCs w:val="24"/>
        </w:rPr>
        <w:t>等软件生</w:t>
      </w:r>
      <w:r>
        <w:rPr>
          <w:rFonts w:ascii="FangSong_GB2312" w:hAnsi="FangSong_GB2312" w:eastAsia="FangSong_GB2312" w:cs="FangSong_GB2312"/>
          <w:spacing w:val="-1"/>
          <w:sz w:val="24"/>
          <w:szCs w:val="24"/>
        </w:rPr>
        <w:t>成高密度点云数据，提取侵蚀沟边界，进而计算侵蚀沟与缓冲区</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DEM</w:t>
      </w:r>
      <w:r>
        <w:rPr>
          <w:rFonts w:ascii="Times New Roman" w:hAnsi="Times New Roman" w:eastAsia="Times New Roman" w:cs="Times New Roman"/>
          <w:spacing w:val="17"/>
          <w:sz w:val="24"/>
          <w:szCs w:val="24"/>
        </w:rPr>
        <w:t xml:space="preserve"> </w:t>
      </w:r>
      <w:r>
        <w:rPr>
          <w:rFonts w:ascii="FangSong_GB2312" w:hAnsi="FangSong_GB2312" w:eastAsia="FangSong_GB2312" w:cs="FangSong_GB2312"/>
          <w:spacing w:val="-1"/>
          <w:sz w:val="24"/>
          <w:szCs w:val="24"/>
        </w:rPr>
        <w:t>差值，得到平均侵蚀深度，结合面积计算侵蚀模数。</w:t>
      </w:r>
    </w:p>
    <w:p w14:paraId="1FA2028F">
      <w:pPr>
        <w:spacing w:before="47" w:line="229" w:lineRule="auto"/>
        <w:ind w:left="5414"/>
        <w:rPr>
          <w:rFonts w:ascii="FangSong_GB2312" w:hAnsi="FangSong_GB2312" w:eastAsia="FangSong_GB2312" w:cs="FangSong_GB2312"/>
          <w:sz w:val="20"/>
          <w:szCs w:val="20"/>
        </w:rPr>
      </w:pPr>
      <w:r>
        <w:pict>
          <v:shape id="_x0000_s1066" o:spid="_x0000_s1066" o:spt="202" type="#_x0000_t202" style="position:absolute;left:0pt;margin-left:218.25pt;margin-top:2.05pt;height:10.15pt;width:10.7pt;z-index:251735040;mso-width-relative:page;mso-height-relative:page;" filled="f" stroked="f" coordsize="21600,21600">
            <v:path/>
            <v:fill on="f" focussize="0,0"/>
            <v:stroke on="f"/>
            <v:imagedata o:title=""/>
            <o:lock v:ext="edit" aspectratio="f"/>
            <v:textbox inset="0mm,0mm,0mm,0mm">
              <w:txbxContent>
                <w:p w14:paraId="31E96C5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txbxContent>
            </v:textbox>
          </v:shape>
        </w:pict>
      </w:r>
      <w:r>
        <w:rPr>
          <w:rFonts w:ascii="FangSong_GB2312" w:hAnsi="FangSong_GB2312" w:eastAsia="FangSong_GB2312" w:cs="FangSong_GB2312"/>
          <w:spacing w:val="8"/>
          <w:sz w:val="20"/>
          <w:szCs w:val="20"/>
        </w:rPr>
        <w:t>剑阁县绿森林业勘察设计有限公司</w:t>
      </w:r>
    </w:p>
    <w:p w14:paraId="7A0E5B91">
      <w:pPr>
        <w:spacing w:line="229" w:lineRule="auto"/>
        <w:rPr>
          <w:rFonts w:ascii="FangSong_GB2312" w:hAnsi="FangSong_GB2312" w:eastAsia="FangSong_GB2312" w:cs="FangSong_GB2312"/>
          <w:sz w:val="20"/>
          <w:szCs w:val="20"/>
        </w:rPr>
        <w:sectPr>
          <w:headerReference r:id="rId52" w:type="default"/>
          <w:pgSz w:w="11906" w:h="16839"/>
          <w:pgMar w:top="1159" w:right="1399" w:bottom="400" w:left="1484" w:header="831" w:footer="0" w:gutter="0"/>
          <w:cols w:space="720" w:num="1"/>
        </w:sectPr>
      </w:pPr>
    </w:p>
    <w:p w14:paraId="368A05EA">
      <w:pPr>
        <w:spacing w:before="202" w:line="359" w:lineRule="auto"/>
        <w:ind w:left="137" w:right="118" w:firstLine="464"/>
        <w:rPr>
          <w:rFonts w:ascii="FangSong_GB2312" w:hAnsi="FangSong_GB2312" w:eastAsia="FangSong_GB2312" w:cs="FangSong_GB2312"/>
          <w:sz w:val="24"/>
          <w:szCs w:val="24"/>
        </w:rPr>
      </w:pPr>
      <w:r>
        <w:rPr>
          <w:rFonts w:ascii="FangSong_GB2312" w:hAnsi="FangSong_GB2312" w:eastAsia="FangSong_GB2312" w:cs="FangSong_GB2312"/>
          <w:sz w:val="24"/>
          <w:szCs w:val="24"/>
        </w:rPr>
        <w:t>侵蚀模数统一按最不利因素考虑，经计算，确定建构筑物工程单元</w:t>
      </w:r>
      <w:r>
        <w:rPr>
          <w:rFonts w:ascii="FangSong_GB2312" w:hAnsi="FangSong_GB2312" w:eastAsia="FangSong_GB2312" w:cs="FangSong_GB2312"/>
          <w:spacing w:val="-1"/>
          <w:sz w:val="24"/>
          <w:szCs w:val="24"/>
        </w:rPr>
        <w:t>、硬化工程单</w:t>
      </w:r>
      <w:r>
        <w:rPr>
          <w:rFonts w:ascii="FangSong_GB2312" w:hAnsi="FangSong_GB2312" w:eastAsia="FangSong_GB2312" w:cs="FangSong_GB2312"/>
          <w:spacing w:val="-3"/>
          <w:sz w:val="24"/>
          <w:szCs w:val="24"/>
        </w:rPr>
        <w:t>元、绿化工程单元土壤侵蚀模数分别为</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3"/>
          <w:sz w:val="24"/>
          <w:szCs w:val="24"/>
        </w:rPr>
        <w:t>2000t/km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1"/>
          <w:position w:val="7"/>
          <w:sz w:val="15"/>
          <w:szCs w:val="15"/>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1500t/km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32"/>
          <w:sz w:val="24"/>
          <w:szCs w:val="24"/>
        </w:rPr>
        <w:t xml:space="preserve"> </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2500</w:t>
      </w:r>
      <w:r>
        <w:rPr>
          <w:rFonts w:ascii="Times New Roman" w:hAnsi="Times New Roman" w:eastAsia="Times New Roman" w:cs="Times New Roman"/>
          <w:spacing w:val="-4"/>
          <w:sz w:val="24"/>
          <w:szCs w:val="24"/>
        </w:rPr>
        <w:t>t/km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1"/>
          <w:position w:val="7"/>
          <w:sz w:val="15"/>
          <w:szCs w:val="15"/>
        </w:rPr>
        <w:t xml:space="preserve"> </w:t>
      </w:r>
      <w:r>
        <w:rPr>
          <w:rFonts w:ascii="Times New Roman" w:hAnsi="Times New Roman" w:eastAsia="Times New Roman" w:cs="Times New Roman"/>
          <w:spacing w:val="-4"/>
          <w:sz w:val="24"/>
          <w:szCs w:val="24"/>
        </w:rPr>
        <w:t>·a</w:t>
      </w:r>
      <w:r>
        <w:rPr>
          <w:rFonts w:ascii="FangSong_GB2312" w:hAnsi="FangSong_GB2312" w:eastAsia="FangSong_GB2312" w:cs="FangSong_GB2312"/>
          <w:spacing w:val="-4"/>
          <w:sz w:val="24"/>
          <w:szCs w:val="24"/>
        </w:rPr>
        <w:t>。</w:t>
      </w:r>
    </w:p>
    <w:p w14:paraId="31C6C338">
      <w:pPr>
        <w:spacing w:before="1" w:line="213" w:lineRule="auto"/>
        <w:ind w:left="125"/>
        <w:outlineLvl w:val="4"/>
        <w:rPr>
          <w:rFonts w:ascii="FangSong_GB2312" w:hAnsi="FangSong_GB2312" w:eastAsia="FangSong_GB2312" w:cs="FangSong_GB2312"/>
          <w:sz w:val="24"/>
          <w:szCs w:val="24"/>
        </w:rPr>
      </w:pPr>
      <w:r>
        <w:rPr>
          <w:rFonts w:ascii="Times New Roman" w:hAnsi="Times New Roman" w:eastAsia="Times New Roman" w:cs="Times New Roman"/>
          <w:b/>
          <w:bCs/>
          <w:spacing w:val="-4"/>
          <w:sz w:val="24"/>
          <w:szCs w:val="24"/>
        </w:rPr>
        <w:t>4.3.3.2.2</w:t>
      </w:r>
      <w:r>
        <w:rPr>
          <w:rFonts w:ascii="Times New Roman" w:hAnsi="Times New Roman" w:eastAsia="Times New Roman" w:cs="Times New Roman"/>
          <w:b/>
          <w:bCs/>
          <w:spacing w:val="52"/>
          <w:sz w:val="24"/>
          <w:szCs w:val="24"/>
        </w:rPr>
        <w:t xml:space="preserve"> </w:t>
      </w:r>
      <w:r>
        <w:rPr>
          <w:rFonts w:ascii="FangSong_GB2312" w:hAnsi="FangSong_GB2312" w:eastAsia="FangSong_GB2312" w:cs="FangSong_GB2312"/>
          <w:b/>
          <w:bCs/>
          <w:spacing w:val="-4"/>
          <w:sz w:val="24"/>
          <w:szCs w:val="24"/>
        </w:rPr>
        <w:t>自然恢复期土壤侵蚀模数</w:t>
      </w:r>
    </w:p>
    <w:p w14:paraId="5553149F">
      <w:pPr>
        <w:spacing w:before="189" w:line="359" w:lineRule="auto"/>
        <w:ind w:left="128" w:right="108" w:firstLine="523"/>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自然恢复期土壤侵蚀模数根据自然恢复期土壤侵蚀模数计算，侵蚀模数按恢复</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pacing w:val="-2"/>
          <w:sz w:val="24"/>
          <w:szCs w:val="24"/>
        </w:rPr>
        <w:t>2</w:t>
      </w:r>
      <w:r>
        <w:rPr>
          <w:rFonts w:ascii="FangSong_GB2312" w:hAnsi="FangSong_GB2312" w:eastAsia="FangSong_GB2312" w:cs="FangSong_GB2312"/>
          <w:spacing w:val="-1"/>
          <w:sz w:val="24"/>
          <w:szCs w:val="24"/>
        </w:rPr>
        <w:t>年后逐渐降低至背景值综合考虑取值，根据《生产建设项目土壤流失量测算</w:t>
      </w:r>
      <w:r>
        <w:rPr>
          <w:rFonts w:ascii="FangSong_GB2312" w:hAnsi="FangSong_GB2312" w:eastAsia="FangSong_GB2312" w:cs="FangSong_GB2312"/>
          <w:spacing w:val="-2"/>
          <w:sz w:val="24"/>
          <w:szCs w:val="24"/>
        </w:rPr>
        <w:t>导则》</w:t>
      </w:r>
      <w:r>
        <w:rPr>
          <w:rFonts w:ascii="Times New Roman" w:hAnsi="Times New Roman" w:eastAsia="Times New Roman" w:cs="Times New Roman"/>
          <w:spacing w:val="-2"/>
          <w:sz w:val="24"/>
          <w:szCs w:val="24"/>
        </w:rPr>
        <w:t>SL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4"/>
          <w:sz w:val="24"/>
          <w:szCs w:val="24"/>
        </w:rPr>
        <w:t>773-2018</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4"/>
          <w:sz w:val="24"/>
          <w:szCs w:val="24"/>
        </w:rPr>
        <w:t>，</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4"/>
          <w:sz w:val="24"/>
          <w:szCs w:val="24"/>
        </w:rPr>
        <w:t>自然恢复期土壤侵蚀模数按下式计算：</w:t>
      </w:r>
    </w:p>
    <w:p w14:paraId="5A710D73">
      <w:pPr>
        <w:spacing w:line="213" w:lineRule="auto"/>
        <w:ind w:left="603"/>
        <w:rPr>
          <w:rFonts w:ascii="FangSong_GB2312" w:hAnsi="FangSong_GB2312" w:eastAsia="FangSong_GB2312" w:cs="FangSong_GB2312"/>
          <w:sz w:val="24"/>
          <w:szCs w:val="24"/>
        </w:rPr>
      </w:pPr>
      <w:r>
        <w:rPr>
          <w:rFonts w:ascii="FangSong_GB2312" w:hAnsi="FangSong_GB2312" w:eastAsia="FangSong_GB2312" w:cs="FangSong_GB2312"/>
          <w:sz w:val="24"/>
          <w:szCs w:val="24"/>
        </w:rPr>
        <w:t>植被破坏型一般扰动地表土壤侵蚀模数测算</w:t>
      </w:r>
      <w:r>
        <w:rPr>
          <w:rFonts w:ascii="FangSong_GB2312" w:hAnsi="FangSong_GB2312" w:eastAsia="FangSong_GB2312" w:cs="FangSong_GB2312"/>
          <w:spacing w:val="-1"/>
          <w:sz w:val="24"/>
          <w:szCs w:val="24"/>
        </w:rPr>
        <w:t>公式如下：</w:t>
      </w:r>
    </w:p>
    <w:p w14:paraId="4D46B561">
      <w:pPr>
        <w:pStyle w:val="2"/>
        <w:spacing w:before="230" w:line="215" w:lineRule="auto"/>
        <w:ind w:left="3679"/>
        <w:rPr>
          <w:rFonts w:ascii="Times New Roman" w:hAnsi="Times New Roman" w:eastAsia="Times New Roman" w:cs="Times New Roman"/>
          <w:sz w:val="23"/>
          <w:szCs w:val="23"/>
        </w:rPr>
      </w:pPr>
      <w:r>
        <w:rPr>
          <w:rFonts w:ascii="Times New Roman" w:hAnsi="Times New Roman" w:eastAsia="Times New Roman" w:cs="Times New Roman"/>
          <w:i/>
          <w:iCs/>
          <w:spacing w:val="10"/>
          <w:position w:val="1"/>
          <w:sz w:val="23"/>
          <w:szCs w:val="23"/>
        </w:rPr>
        <w:t>M</w:t>
      </w:r>
      <w:r>
        <w:rPr>
          <w:rFonts w:ascii="Times New Roman" w:hAnsi="Times New Roman" w:eastAsia="Times New Roman" w:cs="Times New Roman"/>
          <w:i/>
          <w:iCs/>
          <w:spacing w:val="10"/>
          <w:position w:val="-4"/>
          <w:sz w:val="13"/>
          <w:szCs w:val="13"/>
        </w:rPr>
        <w:t>yd</w:t>
      </w:r>
      <w:r>
        <w:rPr>
          <w:rFonts w:ascii="Times New Roman" w:hAnsi="Times New Roman" w:eastAsia="Times New Roman" w:cs="Times New Roman"/>
          <w:i/>
          <w:iCs/>
          <w:spacing w:val="20"/>
          <w:w w:val="101"/>
          <w:position w:val="-4"/>
          <w:sz w:val="13"/>
          <w:szCs w:val="13"/>
        </w:rPr>
        <w:t xml:space="preserve">  </w:t>
      </w:r>
      <w:r>
        <w:rPr>
          <w:spacing w:val="10"/>
          <w:position w:val="1"/>
          <w:sz w:val="23"/>
          <w:szCs w:val="23"/>
        </w:rPr>
        <w:t xml:space="preserve">= </w:t>
      </w:r>
      <w:r>
        <w:rPr>
          <w:rFonts w:ascii="Times New Roman" w:hAnsi="Times New Roman" w:eastAsia="Times New Roman" w:cs="Times New Roman"/>
          <w:spacing w:val="10"/>
          <w:position w:val="1"/>
          <w:sz w:val="23"/>
          <w:szCs w:val="23"/>
        </w:rPr>
        <w:t>100</w:t>
      </w:r>
      <w:r>
        <w:rPr>
          <w:rFonts w:ascii="Times New Roman" w:hAnsi="Times New Roman" w:eastAsia="Times New Roman" w:cs="Times New Roman"/>
          <w:i/>
          <w:iCs/>
          <w:spacing w:val="10"/>
          <w:position w:val="1"/>
          <w:sz w:val="23"/>
          <w:szCs w:val="23"/>
        </w:rPr>
        <w:t>RKL</w:t>
      </w:r>
      <w:r>
        <w:rPr>
          <w:rFonts w:ascii="Times New Roman" w:hAnsi="Times New Roman" w:eastAsia="Times New Roman" w:cs="Times New Roman"/>
          <w:i/>
          <w:iCs/>
          <w:spacing w:val="10"/>
          <w:position w:val="-4"/>
          <w:sz w:val="13"/>
          <w:szCs w:val="13"/>
        </w:rPr>
        <w:t>y</w:t>
      </w:r>
      <w:r>
        <w:rPr>
          <w:rFonts w:ascii="Times New Roman" w:hAnsi="Times New Roman" w:eastAsia="Times New Roman" w:cs="Times New Roman"/>
          <w:i/>
          <w:iCs/>
          <w:spacing w:val="10"/>
          <w:position w:val="1"/>
          <w:sz w:val="23"/>
          <w:szCs w:val="23"/>
        </w:rPr>
        <w:t>S</w:t>
      </w:r>
      <w:r>
        <w:rPr>
          <w:rFonts w:ascii="Times New Roman" w:hAnsi="Times New Roman" w:eastAsia="Times New Roman" w:cs="Times New Roman"/>
          <w:i/>
          <w:iCs/>
          <w:spacing w:val="10"/>
          <w:position w:val="-4"/>
          <w:sz w:val="13"/>
          <w:szCs w:val="13"/>
        </w:rPr>
        <w:t>y</w:t>
      </w:r>
      <w:r>
        <w:rPr>
          <w:rFonts w:ascii="Times New Roman" w:hAnsi="Times New Roman" w:eastAsia="Times New Roman" w:cs="Times New Roman"/>
          <w:i/>
          <w:iCs/>
          <w:spacing w:val="-12"/>
          <w:position w:val="-4"/>
          <w:sz w:val="13"/>
          <w:szCs w:val="13"/>
        </w:rPr>
        <w:t xml:space="preserve"> </w:t>
      </w:r>
      <w:r>
        <w:rPr>
          <w:rFonts w:ascii="Times New Roman" w:hAnsi="Times New Roman" w:eastAsia="Times New Roman" w:cs="Times New Roman"/>
          <w:i/>
          <w:iCs/>
          <w:spacing w:val="10"/>
          <w:position w:val="1"/>
          <w:sz w:val="23"/>
          <w:szCs w:val="23"/>
        </w:rPr>
        <w:t>BET</w:t>
      </w:r>
    </w:p>
    <w:p w14:paraId="1F39B5A3">
      <w:pPr>
        <w:spacing w:before="211" w:line="210" w:lineRule="auto"/>
        <w:ind w:left="62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式中：</w:t>
      </w:r>
      <w:r>
        <w:rPr>
          <w:rFonts w:ascii="Times New Roman" w:hAnsi="Times New Roman" w:eastAsia="Times New Roman" w:cs="Times New Roman"/>
          <w:spacing w:val="-1"/>
          <w:sz w:val="24"/>
          <w:szCs w:val="24"/>
        </w:rPr>
        <w:t>Myd——</w:t>
      </w:r>
      <w:r>
        <w:rPr>
          <w:rFonts w:ascii="FangSong_GB2312" w:hAnsi="FangSong_GB2312" w:eastAsia="FangSong_GB2312" w:cs="FangSong_GB2312"/>
          <w:spacing w:val="-1"/>
          <w:sz w:val="24"/>
          <w:szCs w:val="24"/>
        </w:rPr>
        <w:t>植被破坏型一般扰动地表</w:t>
      </w:r>
      <w:r>
        <w:rPr>
          <w:rFonts w:ascii="FangSong_GB2312" w:hAnsi="FangSong_GB2312" w:eastAsia="FangSong_GB2312" w:cs="FangSong_GB2312"/>
          <w:spacing w:val="-2"/>
          <w:sz w:val="24"/>
          <w:szCs w:val="24"/>
        </w:rPr>
        <w:t>计算单元土壤流失量，</w:t>
      </w:r>
      <w:r>
        <w:rPr>
          <w:rFonts w:ascii="Times New Roman" w:hAnsi="Times New Roman" w:eastAsia="Times New Roman" w:cs="Times New Roman"/>
          <w:spacing w:val="-2"/>
          <w:sz w:val="24"/>
          <w:szCs w:val="24"/>
        </w:rPr>
        <w:t>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Times New Roman" w:hAnsi="Times New Roman" w:eastAsia="Times New Roman" w:cs="Times New Roman"/>
          <w:spacing w:val="-2"/>
          <w:sz w:val="24"/>
          <w:szCs w:val="24"/>
        </w:rPr>
        <w:t>·a</w:t>
      </w:r>
      <w:r>
        <w:rPr>
          <w:rFonts w:ascii="FangSong_GB2312" w:hAnsi="FangSong_GB2312" w:eastAsia="FangSong_GB2312" w:cs="FangSong_GB2312"/>
          <w:spacing w:val="-2"/>
          <w:sz w:val="24"/>
          <w:szCs w:val="24"/>
        </w:rPr>
        <w:t>；</w:t>
      </w:r>
    </w:p>
    <w:p w14:paraId="1A439B8B">
      <w:pPr>
        <w:spacing w:before="194" w:line="211" w:lineRule="auto"/>
        <w:ind w:left="603"/>
        <w:rPr>
          <w:rFonts w:ascii="FangSong_GB2312" w:hAnsi="FangSong_GB2312" w:eastAsia="FangSong_GB2312" w:cs="FangSong_GB2312"/>
          <w:sz w:val="24"/>
          <w:szCs w:val="24"/>
        </w:rPr>
      </w:pPr>
      <w:r>
        <w:rPr>
          <w:rFonts w:ascii="Times New Roman" w:hAnsi="Times New Roman" w:eastAsia="Times New Roman" w:cs="Times New Roman"/>
          <w:sz w:val="24"/>
          <w:szCs w:val="24"/>
        </w:rPr>
        <w:t>R——</w:t>
      </w:r>
      <w:r>
        <w:rPr>
          <w:rFonts w:ascii="FangSong_GB2312" w:hAnsi="FangSong_GB2312" w:eastAsia="FangSong_GB2312" w:cs="FangSong_GB2312"/>
          <w:sz w:val="24"/>
          <w:szCs w:val="24"/>
        </w:rPr>
        <w:t>降雨侵蚀力因子，</w:t>
      </w:r>
      <w:r>
        <w:rPr>
          <w:rFonts w:ascii="Times New Roman" w:hAnsi="Times New Roman" w:eastAsia="Times New Roman" w:cs="Times New Roman"/>
          <w:sz w:val="24"/>
          <w:szCs w:val="24"/>
        </w:rPr>
        <w:t>MJ·mm/(hm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·h)</w:t>
      </w:r>
      <w:r>
        <w:rPr>
          <w:rFonts w:ascii="FangSong_GB2312" w:hAnsi="FangSong_GB2312" w:eastAsia="FangSong_GB2312" w:cs="FangSong_GB2312"/>
          <w:spacing w:val="-1"/>
          <w:sz w:val="24"/>
          <w:szCs w:val="24"/>
        </w:rPr>
        <w:t>；</w:t>
      </w:r>
    </w:p>
    <w:p w14:paraId="3210F979">
      <w:pPr>
        <w:spacing w:before="193" w:line="210" w:lineRule="auto"/>
        <w:ind w:left="603"/>
        <w:rPr>
          <w:rFonts w:ascii="FangSong_GB2312" w:hAnsi="FangSong_GB2312" w:eastAsia="FangSong_GB2312" w:cs="FangSong_GB2312"/>
          <w:sz w:val="24"/>
          <w:szCs w:val="24"/>
        </w:rPr>
      </w:pPr>
      <w:r>
        <w:rPr>
          <w:rFonts w:ascii="Times New Roman" w:hAnsi="Times New Roman" w:eastAsia="Times New Roman" w:cs="Times New Roman"/>
          <w:sz w:val="24"/>
          <w:szCs w:val="24"/>
        </w:rPr>
        <w:t>Kyd——</w:t>
      </w:r>
      <w:r>
        <w:rPr>
          <w:rFonts w:ascii="FangSong_GB2312" w:hAnsi="FangSong_GB2312" w:eastAsia="FangSong_GB2312" w:cs="FangSong_GB2312"/>
          <w:sz w:val="24"/>
          <w:szCs w:val="24"/>
        </w:rPr>
        <w:t>地表翻扰后土壤可侵蚀因子，</w:t>
      </w:r>
      <w:r>
        <w:rPr>
          <w:rFonts w:ascii="Times New Roman" w:hAnsi="Times New Roman" w:eastAsia="Times New Roman" w:cs="Times New Roman"/>
          <w:sz w:val="24"/>
          <w:szCs w:val="24"/>
        </w:rPr>
        <w:t>t·hm</w:t>
      </w:r>
      <w:r>
        <w:rPr>
          <w:rFonts w:ascii="Times New Roman" w:hAnsi="Times New Roman" w:eastAsia="Times New Roman" w:cs="Times New Roman"/>
          <w:position w:val="7"/>
          <w:sz w:val="15"/>
          <w:szCs w:val="15"/>
        </w:rPr>
        <w:t>2</w:t>
      </w:r>
      <w:r>
        <w:rPr>
          <w:rFonts w:ascii="Times New Roman" w:hAnsi="Times New Roman" w:eastAsia="Times New Roman" w:cs="Times New Roman"/>
          <w:sz w:val="24"/>
          <w:szCs w:val="24"/>
        </w:rPr>
        <w:t>·h(hm</w:t>
      </w:r>
      <w:r>
        <w:rPr>
          <w:rFonts w:ascii="Times New Roman" w:hAnsi="Times New Roman" w:eastAsia="Times New Roman" w:cs="Times New Roman"/>
          <w:position w:val="7"/>
          <w:sz w:val="15"/>
          <w:szCs w:val="15"/>
        </w:rPr>
        <w:t>2</w:t>
      </w:r>
      <w:r>
        <w:rPr>
          <w:rFonts w:ascii="Times New Roman" w:hAnsi="Times New Roman" w:eastAsia="Times New Roman" w:cs="Times New Roman"/>
          <w:sz w:val="24"/>
          <w:szCs w:val="24"/>
        </w:rPr>
        <w:t>·MJ·mm)</w:t>
      </w:r>
      <w:r>
        <w:rPr>
          <w:rFonts w:ascii="FangSong_GB2312" w:hAnsi="FangSong_GB2312" w:eastAsia="FangSong_GB2312" w:cs="FangSong_GB2312"/>
          <w:sz w:val="24"/>
          <w:szCs w:val="24"/>
        </w:rPr>
        <w:t>；</w:t>
      </w:r>
    </w:p>
    <w:p w14:paraId="080347E2">
      <w:pPr>
        <w:spacing w:before="193" w:line="211" w:lineRule="auto"/>
        <w:ind w:left="604"/>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Ly——</w:t>
      </w:r>
      <w:r>
        <w:rPr>
          <w:rFonts w:ascii="FangSong_GB2312" w:hAnsi="FangSong_GB2312" w:eastAsia="FangSong_GB2312" w:cs="FangSong_GB2312"/>
          <w:spacing w:val="-2"/>
          <w:sz w:val="24"/>
          <w:szCs w:val="24"/>
        </w:rPr>
        <w:t>坡长因子，无量纲；</w:t>
      </w:r>
    </w:p>
    <w:p w14:paraId="72A4F3BE">
      <w:pPr>
        <w:spacing w:before="194" w:line="209" w:lineRule="auto"/>
        <w:ind w:left="614"/>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Sy——</w:t>
      </w:r>
      <w:r>
        <w:rPr>
          <w:rFonts w:ascii="FangSong_GB2312" w:hAnsi="FangSong_GB2312" w:eastAsia="FangSong_GB2312" w:cs="FangSong_GB2312"/>
          <w:spacing w:val="-2"/>
          <w:sz w:val="24"/>
          <w:szCs w:val="24"/>
        </w:rPr>
        <w:t>坡度因子，无量纲；</w:t>
      </w:r>
    </w:p>
    <w:p w14:paraId="690E6A95">
      <w:pPr>
        <w:spacing w:before="194" w:line="214" w:lineRule="auto"/>
        <w:ind w:left="603"/>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B——</w:t>
      </w:r>
      <w:r>
        <w:rPr>
          <w:rFonts w:ascii="FangSong_GB2312" w:hAnsi="FangSong_GB2312" w:eastAsia="FangSong_GB2312" w:cs="FangSong_GB2312"/>
          <w:spacing w:val="-1"/>
          <w:sz w:val="24"/>
          <w:szCs w:val="24"/>
        </w:rPr>
        <w:t>植被覆盖因子，无量纲；</w:t>
      </w:r>
    </w:p>
    <w:p w14:paraId="4A6F9F4E">
      <w:pPr>
        <w:spacing w:before="189" w:line="214" w:lineRule="auto"/>
        <w:ind w:left="604"/>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E——</w:t>
      </w:r>
      <w:r>
        <w:rPr>
          <w:rFonts w:ascii="FangSong_GB2312" w:hAnsi="FangSong_GB2312" w:eastAsia="FangSong_GB2312" w:cs="FangSong_GB2312"/>
          <w:spacing w:val="-1"/>
          <w:sz w:val="24"/>
          <w:szCs w:val="24"/>
        </w:rPr>
        <w:t>工程措施因子，无量纲：</w:t>
      </w:r>
    </w:p>
    <w:p w14:paraId="7D9A2D68">
      <w:pPr>
        <w:spacing w:before="187" w:line="214" w:lineRule="auto"/>
        <w:ind w:left="606"/>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T——</w:t>
      </w:r>
      <w:r>
        <w:rPr>
          <w:rFonts w:ascii="FangSong_GB2312" w:hAnsi="FangSong_GB2312" w:eastAsia="FangSong_GB2312" w:cs="FangSong_GB2312"/>
          <w:spacing w:val="-1"/>
          <w:sz w:val="24"/>
          <w:szCs w:val="24"/>
        </w:rPr>
        <w:t>耕作措施因子，无量纲。</w:t>
      </w:r>
    </w:p>
    <w:p w14:paraId="6BCA542F">
      <w:pPr>
        <w:spacing w:before="190" w:line="214" w:lineRule="auto"/>
        <w:ind w:left="606"/>
        <w:rPr>
          <w:rFonts w:ascii="FangSong_GB2312" w:hAnsi="FangSong_GB2312" w:eastAsia="FangSong_GB2312" w:cs="FangSong_GB2312"/>
          <w:sz w:val="24"/>
          <w:szCs w:val="24"/>
        </w:rPr>
      </w:pPr>
      <w:r>
        <w:rPr>
          <w:rFonts w:ascii="FangSong_GB2312" w:hAnsi="FangSong_GB2312" w:eastAsia="FangSong_GB2312" w:cs="FangSong_GB2312"/>
          <w:sz w:val="24"/>
          <w:szCs w:val="24"/>
        </w:rPr>
        <w:t>根据上式计算，植被破坏型一般扰动地表土壤侵蚀</w:t>
      </w:r>
      <w:r>
        <w:rPr>
          <w:rFonts w:ascii="FangSong_GB2312" w:hAnsi="FangSong_GB2312" w:eastAsia="FangSong_GB2312" w:cs="FangSong_GB2312"/>
          <w:spacing w:val="-1"/>
          <w:sz w:val="24"/>
          <w:szCs w:val="24"/>
        </w:rPr>
        <w:t>模数计算详见表</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1"/>
          <w:sz w:val="24"/>
          <w:szCs w:val="24"/>
        </w:rPr>
        <w:t>4.3-4</w:t>
      </w:r>
      <w:r>
        <w:rPr>
          <w:rFonts w:ascii="FangSong_GB2312" w:hAnsi="FangSong_GB2312" w:eastAsia="FangSong_GB2312" w:cs="FangSong_GB2312"/>
          <w:spacing w:val="-1"/>
          <w:sz w:val="24"/>
          <w:szCs w:val="24"/>
        </w:rPr>
        <w:t>。</w:t>
      </w:r>
    </w:p>
    <w:p w14:paraId="4F38E9E5">
      <w:pPr>
        <w:spacing w:before="183" w:line="222" w:lineRule="auto"/>
        <w:ind w:left="2423"/>
        <w:rPr>
          <w:rFonts w:ascii="FangSong_GB2312" w:hAnsi="FangSong_GB2312" w:eastAsia="FangSong_GB2312" w:cs="FangSong_GB2312"/>
          <w:sz w:val="20"/>
          <w:szCs w:val="20"/>
        </w:rPr>
      </w:pPr>
      <w:r>
        <w:rPr>
          <w:rFonts w:ascii="FangSong_GB2312" w:hAnsi="FangSong_GB2312" w:eastAsia="FangSong_GB2312" w:cs="FangSong_GB2312"/>
          <w:b/>
          <w:bCs/>
          <w:spacing w:val="4"/>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4"/>
          <w:sz w:val="20"/>
          <w:szCs w:val="20"/>
        </w:rPr>
        <w:t xml:space="preserve">4.3-4    </w:t>
      </w:r>
      <w:r>
        <w:rPr>
          <w:rFonts w:ascii="FangSong_GB2312" w:hAnsi="FangSong_GB2312" w:eastAsia="FangSong_GB2312" w:cs="FangSong_GB2312"/>
          <w:b/>
          <w:bCs/>
          <w:spacing w:val="4"/>
          <w:sz w:val="20"/>
          <w:szCs w:val="20"/>
        </w:rPr>
        <w:t>本项目</w:t>
      </w:r>
      <w:r>
        <w:rPr>
          <w:rFonts w:ascii="FangSong_GB2312" w:hAnsi="FangSong_GB2312" w:eastAsia="FangSong_GB2312" w:cs="FangSong_GB2312"/>
          <w:spacing w:val="-52"/>
          <w:sz w:val="20"/>
          <w:szCs w:val="20"/>
        </w:rPr>
        <w:t xml:space="preserve"> </w:t>
      </w:r>
      <w:r>
        <w:rPr>
          <w:rFonts w:ascii="FangSong_GB2312" w:hAnsi="FangSong_GB2312" w:eastAsia="FangSong_GB2312" w:cs="FangSong_GB2312"/>
          <w:b/>
          <w:bCs/>
          <w:spacing w:val="4"/>
          <w:sz w:val="20"/>
          <w:szCs w:val="20"/>
        </w:rPr>
        <w:t>自然恢复期土壤侵蚀模数取值</w:t>
      </w:r>
    </w:p>
    <w:p w14:paraId="631B3470">
      <w:pPr>
        <w:spacing w:line="138" w:lineRule="exact"/>
      </w:pPr>
    </w:p>
    <w:tbl>
      <w:tblPr>
        <w:tblStyle w:val="6"/>
        <w:tblW w:w="90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2377"/>
        <w:gridCol w:w="548"/>
        <w:gridCol w:w="2116"/>
        <w:gridCol w:w="2575"/>
        <w:gridCol w:w="979"/>
      </w:tblGrid>
      <w:tr w14:paraId="70518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95" w:type="dxa"/>
            <w:tcBorders>
              <w:top w:val="single" w:color="000000" w:sz="10" w:space="0"/>
              <w:left w:val="single" w:color="000000" w:sz="10" w:space="0"/>
            </w:tcBorders>
            <w:textDirection w:val="tbRlV"/>
            <w:vAlign w:val="top"/>
          </w:tcPr>
          <w:p w14:paraId="69EE243B">
            <w:pPr>
              <w:spacing w:before="160" w:line="206" w:lineRule="auto"/>
              <w:ind w:left="82"/>
              <w:rPr>
                <w:rFonts w:ascii="FangSong_GB2312" w:hAnsi="FangSong_GB2312" w:eastAsia="FangSong_GB2312" w:cs="FangSong_GB2312"/>
                <w:sz w:val="18"/>
                <w:szCs w:val="18"/>
              </w:rPr>
            </w:pPr>
            <w:r>
              <w:rPr>
                <w:rFonts w:ascii="FangSong_GB2312" w:hAnsi="FangSong_GB2312" w:eastAsia="FangSong_GB2312" w:cs="FangSong_GB2312"/>
                <w:spacing w:val="26"/>
                <w:sz w:val="18"/>
                <w:szCs w:val="18"/>
              </w:rPr>
              <w:t>序号</w:t>
            </w:r>
          </w:p>
        </w:tc>
        <w:tc>
          <w:tcPr>
            <w:tcW w:w="2377" w:type="dxa"/>
            <w:tcBorders>
              <w:top w:val="single" w:color="000000" w:sz="10" w:space="0"/>
            </w:tcBorders>
            <w:vAlign w:val="top"/>
          </w:tcPr>
          <w:p w14:paraId="630EF48C">
            <w:pPr>
              <w:spacing w:before="197" w:line="217" w:lineRule="auto"/>
              <w:ind w:left="1008"/>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项目</w:t>
            </w:r>
          </w:p>
        </w:tc>
        <w:tc>
          <w:tcPr>
            <w:tcW w:w="548" w:type="dxa"/>
            <w:tcBorders>
              <w:top w:val="single" w:color="000000" w:sz="10" w:space="0"/>
            </w:tcBorders>
            <w:textDirection w:val="tbRlV"/>
            <w:vAlign w:val="top"/>
          </w:tcPr>
          <w:p w14:paraId="5B6EFADB">
            <w:pPr>
              <w:spacing w:before="185" w:line="202" w:lineRule="auto"/>
              <w:ind w:left="82"/>
              <w:rPr>
                <w:rFonts w:ascii="FangSong_GB2312" w:hAnsi="FangSong_GB2312" w:eastAsia="FangSong_GB2312" w:cs="FangSong_GB2312"/>
                <w:sz w:val="18"/>
                <w:szCs w:val="18"/>
              </w:rPr>
            </w:pPr>
            <w:r>
              <w:rPr>
                <w:rFonts w:ascii="FangSong_GB2312" w:hAnsi="FangSong_GB2312" w:eastAsia="FangSong_GB2312" w:cs="FangSong_GB2312"/>
                <w:spacing w:val="26"/>
                <w:sz w:val="18"/>
                <w:szCs w:val="18"/>
              </w:rPr>
              <w:t>因子</w:t>
            </w:r>
          </w:p>
        </w:tc>
        <w:tc>
          <w:tcPr>
            <w:tcW w:w="2116" w:type="dxa"/>
            <w:tcBorders>
              <w:top w:val="single" w:color="000000" w:sz="10" w:space="0"/>
            </w:tcBorders>
            <w:vAlign w:val="top"/>
          </w:tcPr>
          <w:p w14:paraId="03C46D2F">
            <w:pPr>
              <w:spacing w:before="196" w:line="214" w:lineRule="auto"/>
              <w:ind w:left="886"/>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2575" w:type="dxa"/>
            <w:tcBorders>
              <w:top w:val="single" w:color="000000" w:sz="10" w:space="0"/>
            </w:tcBorders>
            <w:vAlign w:val="top"/>
          </w:tcPr>
          <w:p w14:paraId="32A38C67">
            <w:pPr>
              <w:spacing w:before="196" w:line="216" w:lineRule="auto"/>
              <w:ind w:left="91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公式</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说明</w:t>
            </w:r>
          </w:p>
        </w:tc>
        <w:tc>
          <w:tcPr>
            <w:tcW w:w="979" w:type="dxa"/>
            <w:tcBorders>
              <w:top w:val="single" w:color="000000" w:sz="10" w:space="0"/>
              <w:right w:val="single" w:color="000000" w:sz="10" w:space="0"/>
            </w:tcBorders>
            <w:vAlign w:val="top"/>
          </w:tcPr>
          <w:p w14:paraId="2F117244">
            <w:pPr>
              <w:spacing w:before="196" w:line="216" w:lineRule="auto"/>
              <w:ind w:left="14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绿化区域</w:t>
            </w:r>
          </w:p>
        </w:tc>
      </w:tr>
      <w:tr w14:paraId="56C05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7CC8DF10">
            <w:pPr>
              <w:spacing w:before="161" w:line="188" w:lineRule="auto"/>
              <w:ind w:left="20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377" w:type="dxa"/>
            <w:vAlign w:val="top"/>
          </w:tcPr>
          <w:p w14:paraId="09B9920D">
            <w:pPr>
              <w:spacing w:before="132" w:line="216" w:lineRule="auto"/>
              <w:ind w:left="19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植被破坏型土壤侵蚀模数</w:t>
            </w:r>
          </w:p>
        </w:tc>
        <w:tc>
          <w:tcPr>
            <w:tcW w:w="548" w:type="dxa"/>
            <w:vAlign w:val="top"/>
          </w:tcPr>
          <w:p w14:paraId="7399E4E1">
            <w:pPr>
              <w:spacing w:before="163" w:line="203" w:lineRule="auto"/>
              <w:ind w:left="132"/>
              <w:rPr>
                <w:rFonts w:ascii="Times New Roman" w:hAnsi="Times New Roman" w:eastAsia="Times New Roman" w:cs="Times New Roman"/>
                <w:sz w:val="11"/>
                <w:szCs w:val="11"/>
              </w:rPr>
            </w:pPr>
            <w:r>
              <w:rPr>
                <w:rFonts w:ascii="Times New Roman" w:hAnsi="Times New Roman" w:eastAsia="Times New Roman" w:cs="Times New Roman"/>
                <w:sz w:val="18"/>
                <w:szCs w:val="18"/>
              </w:rPr>
              <w:t>M</w:t>
            </w:r>
            <w:r>
              <w:rPr>
                <w:rFonts w:ascii="Times New Roman" w:hAnsi="Times New Roman" w:eastAsia="Times New Roman" w:cs="Times New Roman"/>
                <w:sz w:val="11"/>
                <w:szCs w:val="11"/>
              </w:rPr>
              <w:t>yd</w:t>
            </w:r>
          </w:p>
        </w:tc>
        <w:tc>
          <w:tcPr>
            <w:tcW w:w="2116" w:type="dxa"/>
            <w:vAlign w:val="top"/>
          </w:tcPr>
          <w:p w14:paraId="027C37EE">
            <w:pPr>
              <w:spacing w:before="157" w:line="192" w:lineRule="auto"/>
              <w:ind w:left="79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t/km²</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3"/>
                <w:sz w:val="18"/>
                <w:szCs w:val="18"/>
              </w:rPr>
              <w:t>·a</w:t>
            </w:r>
          </w:p>
        </w:tc>
        <w:tc>
          <w:tcPr>
            <w:tcW w:w="2575" w:type="dxa"/>
            <w:vAlign w:val="top"/>
          </w:tcPr>
          <w:p w14:paraId="158712ED">
            <w:pPr>
              <w:spacing w:before="97" w:line="242" w:lineRule="exact"/>
              <w:ind w:left="516"/>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M</w:t>
            </w:r>
            <w:r>
              <w:rPr>
                <w:rFonts w:ascii="Times New Roman" w:hAnsi="Times New Roman" w:eastAsia="Times New Roman" w:cs="Times New Roman"/>
                <w:spacing w:val="-1"/>
                <w:position w:val="2"/>
                <w:sz w:val="11"/>
                <w:szCs w:val="11"/>
              </w:rPr>
              <w:t>yz</w:t>
            </w:r>
            <w:r>
              <w:rPr>
                <w:rFonts w:ascii="Times New Roman" w:hAnsi="Times New Roman" w:eastAsia="Times New Roman" w:cs="Times New Roman"/>
                <w:spacing w:val="-1"/>
                <w:position w:val="3"/>
                <w:sz w:val="18"/>
                <w:szCs w:val="18"/>
              </w:rPr>
              <w:t>=</w:t>
            </w:r>
            <w:r>
              <w:rPr>
                <w:rFonts w:ascii="Times New Roman" w:hAnsi="Times New Roman" w:eastAsia="Times New Roman" w:cs="Times New Roman"/>
                <w:spacing w:val="-22"/>
                <w:position w:val="3"/>
                <w:sz w:val="18"/>
                <w:szCs w:val="18"/>
              </w:rPr>
              <w:t xml:space="preserve"> </w:t>
            </w:r>
            <w:r>
              <w:rPr>
                <w:rFonts w:ascii="Times New Roman" w:hAnsi="Times New Roman" w:eastAsia="Times New Roman" w:cs="Times New Roman"/>
                <w:spacing w:val="-1"/>
                <w:position w:val="3"/>
                <w:sz w:val="18"/>
                <w:szCs w:val="18"/>
              </w:rPr>
              <w:t>100RKL</w:t>
            </w:r>
            <w:r>
              <w:rPr>
                <w:rFonts w:ascii="Times New Roman" w:hAnsi="Times New Roman" w:eastAsia="Times New Roman" w:cs="Times New Roman"/>
                <w:spacing w:val="-1"/>
                <w:position w:val="2"/>
                <w:sz w:val="11"/>
                <w:szCs w:val="11"/>
              </w:rPr>
              <w:t>y</w:t>
            </w:r>
            <w:r>
              <w:rPr>
                <w:rFonts w:ascii="Times New Roman" w:hAnsi="Times New Roman" w:eastAsia="Times New Roman" w:cs="Times New Roman"/>
                <w:spacing w:val="-1"/>
                <w:position w:val="3"/>
                <w:sz w:val="18"/>
                <w:szCs w:val="18"/>
              </w:rPr>
              <w:t>S</w:t>
            </w:r>
            <w:r>
              <w:rPr>
                <w:rFonts w:ascii="Times New Roman" w:hAnsi="Times New Roman" w:eastAsia="Times New Roman" w:cs="Times New Roman"/>
                <w:spacing w:val="-1"/>
                <w:position w:val="2"/>
                <w:sz w:val="11"/>
                <w:szCs w:val="11"/>
              </w:rPr>
              <w:t>y</w:t>
            </w:r>
            <w:r>
              <w:rPr>
                <w:rFonts w:ascii="Times New Roman" w:hAnsi="Times New Roman" w:eastAsia="Times New Roman" w:cs="Times New Roman"/>
                <w:spacing w:val="-1"/>
                <w:position w:val="3"/>
                <w:sz w:val="18"/>
                <w:szCs w:val="18"/>
              </w:rPr>
              <w:t>BET</w:t>
            </w:r>
          </w:p>
        </w:tc>
        <w:tc>
          <w:tcPr>
            <w:tcW w:w="979" w:type="dxa"/>
            <w:tcBorders>
              <w:right w:val="single" w:color="000000" w:sz="10" w:space="0"/>
            </w:tcBorders>
            <w:vAlign w:val="top"/>
          </w:tcPr>
          <w:p w14:paraId="764A868D">
            <w:pPr>
              <w:spacing w:before="161" w:line="188" w:lineRule="auto"/>
              <w:ind w:left="33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1050</w:t>
            </w:r>
          </w:p>
        </w:tc>
      </w:tr>
      <w:tr w14:paraId="5B0CE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290AEF9C">
            <w:pPr>
              <w:spacing w:before="163" w:line="188" w:lineRule="auto"/>
              <w:ind w:left="18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377" w:type="dxa"/>
            <w:vAlign w:val="top"/>
          </w:tcPr>
          <w:p w14:paraId="6DB0F180">
            <w:pPr>
              <w:spacing w:before="132" w:line="214" w:lineRule="auto"/>
              <w:ind w:left="56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降雨侵蚀力因子</w:t>
            </w:r>
          </w:p>
        </w:tc>
        <w:tc>
          <w:tcPr>
            <w:tcW w:w="548" w:type="dxa"/>
            <w:vAlign w:val="top"/>
          </w:tcPr>
          <w:p w14:paraId="255B800D">
            <w:pPr>
              <w:spacing w:before="166" w:line="185" w:lineRule="auto"/>
              <w:ind w:left="211"/>
              <w:rPr>
                <w:rFonts w:ascii="Times New Roman" w:hAnsi="Times New Roman" w:eastAsia="Times New Roman" w:cs="Times New Roman"/>
                <w:sz w:val="18"/>
                <w:szCs w:val="18"/>
              </w:rPr>
            </w:pPr>
            <w:r>
              <w:rPr>
                <w:rFonts w:ascii="Times New Roman" w:hAnsi="Times New Roman" w:eastAsia="Times New Roman" w:cs="Times New Roman"/>
                <w:sz w:val="18"/>
                <w:szCs w:val="18"/>
              </w:rPr>
              <w:t>R</w:t>
            </w:r>
          </w:p>
        </w:tc>
        <w:tc>
          <w:tcPr>
            <w:tcW w:w="2116" w:type="dxa"/>
            <w:vAlign w:val="top"/>
          </w:tcPr>
          <w:p w14:paraId="37051E9E">
            <w:pPr>
              <w:spacing w:before="148" w:line="206" w:lineRule="auto"/>
              <w:ind w:left="470"/>
              <w:rPr>
                <w:rFonts w:ascii="Times New Roman" w:hAnsi="Times New Roman" w:eastAsia="Times New Roman" w:cs="Times New Roman"/>
                <w:sz w:val="18"/>
                <w:szCs w:val="18"/>
              </w:rPr>
            </w:pPr>
            <w:r>
              <w:rPr>
                <w:rFonts w:ascii="Times New Roman" w:hAnsi="Times New Roman" w:eastAsia="Times New Roman" w:cs="Times New Roman"/>
                <w:sz w:val="18"/>
                <w:szCs w:val="18"/>
              </w:rPr>
              <w:t>MJ·mm/(hm</w:t>
            </w:r>
            <w:r>
              <w:rPr>
                <w:rFonts w:ascii="Times New Roman" w:hAnsi="Times New Roman" w:eastAsia="Times New Roman" w:cs="Times New Roman"/>
                <w:position w:val="5"/>
                <w:sz w:val="11"/>
                <w:szCs w:val="11"/>
              </w:rPr>
              <w:t>2</w:t>
            </w:r>
            <w:r>
              <w:rPr>
                <w:rFonts w:ascii="Times New Roman" w:hAnsi="Times New Roman" w:eastAsia="Times New Roman" w:cs="Times New Roman"/>
                <w:sz w:val="18"/>
                <w:szCs w:val="18"/>
              </w:rPr>
              <w:t>·h)</w:t>
            </w:r>
          </w:p>
        </w:tc>
        <w:tc>
          <w:tcPr>
            <w:tcW w:w="2575" w:type="dxa"/>
            <w:vAlign w:val="top"/>
          </w:tcPr>
          <w:p w14:paraId="31E9AA2D">
            <w:pPr>
              <w:spacing w:before="133" w:line="214" w:lineRule="auto"/>
              <w:ind w:left="308"/>
              <w:rPr>
                <w:rFonts w:ascii="Times New Roman" w:hAnsi="Times New Roman" w:eastAsia="Times New Roman" w:cs="Times New Roman"/>
                <w:sz w:val="18"/>
                <w:szCs w:val="18"/>
              </w:rPr>
            </w:pPr>
            <w:r>
              <w:rPr>
                <w:rFonts w:ascii="FangSong_GB2312" w:hAnsi="FangSong_GB2312" w:eastAsia="FangSong_GB2312" w:cs="FangSong_GB2312"/>
                <w:sz w:val="18"/>
                <w:szCs w:val="18"/>
              </w:rPr>
              <w:t>参照</w:t>
            </w:r>
            <w:r>
              <w:rPr>
                <w:rFonts w:ascii="FangSong_GB2312" w:hAnsi="FangSong_GB2312" w:eastAsia="FangSong_GB2312" w:cs="FangSong_GB2312"/>
                <w:spacing w:val="-26"/>
                <w:sz w:val="18"/>
                <w:szCs w:val="18"/>
              </w:rPr>
              <w:t xml:space="preserve"> </w:t>
            </w:r>
            <w:r>
              <w:rPr>
                <w:rFonts w:ascii="Times New Roman" w:hAnsi="Times New Roman" w:eastAsia="Times New Roman" w:cs="Times New Roman"/>
                <w:sz w:val="18"/>
                <w:szCs w:val="18"/>
              </w:rPr>
              <w:t>SL773-2018“</w:t>
            </w:r>
            <w:r>
              <w:rPr>
                <w:rFonts w:ascii="FangSong_GB2312" w:hAnsi="FangSong_GB2312" w:eastAsia="FangSong_GB2312" w:cs="FangSong_GB2312"/>
                <w:sz w:val="18"/>
                <w:szCs w:val="18"/>
              </w:rPr>
              <w:t>附录</w:t>
            </w:r>
            <w:r>
              <w:rPr>
                <w:rFonts w:ascii="FangSong_GB2312" w:hAnsi="FangSong_GB2312" w:eastAsia="FangSong_GB2312" w:cs="FangSong_GB2312"/>
                <w:spacing w:val="-40"/>
                <w:sz w:val="18"/>
                <w:szCs w:val="18"/>
              </w:rPr>
              <w:t xml:space="preserve"> </w:t>
            </w:r>
            <w:r>
              <w:rPr>
                <w:rFonts w:ascii="Times New Roman" w:hAnsi="Times New Roman" w:eastAsia="Times New Roman" w:cs="Times New Roman"/>
                <w:sz w:val="18"/>
                <w:szCs w:val="18"/>
              </w:rPr>
              <w:t>C”</w:t>
            </w:r>
          </w:p>
        </w:tc>
        <w:tc>
          <w:tcPr>
            <w:tcW w:w="979" w:type="dxa"/>
            <w:tcBorders>
              <w:right w:val="single" w:color="000000" w:sz="10" w:space="0"/>
            </w:tcBorders>
            <w:vAlign w:val="top"/>
          </w:tcPr>
          <w:p w14:paraId="5B054E94">
            <w:pPr>
              <w:spacing w:before="163"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4443.70</w:t>
            </w:r>
          </w:p>
        </w:tc>
      </w:tr>
      <w:tr w14:paraId="7BE98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17F350DA">
            <w:pPr>
              <w:spacing w:before="166" w:line="188" w:lineRule="auto"/>
              <w:ind w:left="19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377" w:type="dxa"/>
            <w:vAlign w:val="top"/>
          </w:tcPr>
          <w:p w14:paraId="2A5473B5">
            <w:pPr>
              <w:spacing w:before="135" w:line="214" w:lineRule="auto"/>
              <w:ind w:left="55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土壤可蚀性因子</w:t>
            </w:r>
          </w:p>
        </w:tc>
        <w:tc>
          <w:tcPr>
            <w:tcW w:w="548" w:type="dxa"/>
            <w:vAlign w:val="top"/>
          </w:tcPr>
          <w:p w14:paraId="4C01D728">
            <w:pPr>
              <w:spacing w:before="169" w:line="185" w:lineRule="auto"/>
              <w:ind w:left="207"/>
              <w:rPr>
                <w:rFonts w:ascii="Times New Roman" w:hAnsi="Times New Roman" w:eastAsia="Times New Roman" w:cs="Times New Roman"/>
                <w:sz w:val="18"/>
                <w:szCs w:val="18"/>
              </w:rPr>
            </w:pPr>
            <w:r>
              <w:rPr>
                <w:rFonts w:ascii="Times New Roman" w:hAnsi="Times New Roman" w:eastAsia="Times New Roman" w:cs="Times New Roman"/>
                <w:sz w:val="18"/>
                <w:szCs w:val="18"/>
              </w:rPr>
              <w:t>K</w:t>
            </w:r>
          </w:p>
        </w:tc>
        <w:tc>
          <w:tcPr>
            <w:tcW w:w="2116" w:type="dxa"/>
            <w:vAlign w:val="top"/>
          </w:tcPr>
          <w:p w14:paraId="31AE6243">
            <w:pPr>
              <w:spacing w:before="151" w:line="206" w:lineRule="auto"/>
              <w:ind w:left="265"/>
              <w:rPr>
                <w:rFonts w:ascii="Times New Roman" w:hAnsi="Times New Roman" w:eastAsia="Times New Roman" w:cs="Times New Roman"/>
                <w:sz w:val="18"/>
                <w:szCs w:val="18"/>
              </w:rPr>
            </w:pPr>
            <w:r>
              <w:rPr>
                <w:rFonts w:ascii="Times New Roman" w:hAnsi="Times New Roman" w:eastAsia="Times New Roman" w:cs="Times New Roman"/>
                <w:sz w:val="18"/>
                <w:szCs w:val="18"/>
              </w:rPr>
              <w:t>t·hm</w:t>
            </w:r>
            <w:r>
              <w:rPr>
                <w:rFonts w:ascii="Times New Roman" w:hAnsi="Times New Roman" w:eastAsia="Times New Roman" w:cs="Times New Roman"/>
                <w:position w:val="5"/>
                <w:sz w:val="11"/>
                <w:szCs w:val="11"/>
              </w:rPr>
              <w:t>2</w:t>
            </w:r>
            <w:r>
              <w:rPr>
                <w:rFonts w:ascii="Times New Roman" w:hAnsi="Times New Roman" w:eastAsia="Times New Roman" w:cs="Times New Roman"/>
                <w:sz w:val="18"/>
                <w:szCs w:val="18"/>
              </w:rPr>
              <w:t>·h(hm</w:t>
            </w:r>
            <w:r>
              <w:rPr>
                <w:rFonts w:ascii="Times New Roman" w:hAnsi="Times New Roman" w:eastAsia="Times New Roman" w:cs="Times New Roman"/>
                <w:position w:val="5"/>
                <w:sz w:val="11"/>
                <w:szCs w:val="11"/>
              </w:rPr>
              <w:t>2</w:t>
            </w:r>
            <w:r>
              <w:rPr>
                <w:rFonts w:ascii="Times New Roman" w:hAnsi="Times New Roman" w:eastAsia="Times New Roman" w:cs="Times New Roman"/>
                <w:sz w:val="18"/>
                <w:szCs w:val="18"/>
              </w:rPr>
              <w:t>·MJ·mm)</w:t>
            </w:r>
          </w:p>
        </w:tc>
        <w:tc>
          <w:tcPr>
            <w:tcW w:w="2575" w:type="dxa"/>
            <w:vAlign w:val="top"/>
          </w:tcPr>
          <w:p w14:paraId="66BC661A">
            <w:pPr>
              <w:spacing w:before="136" w:line="214" w:lineRule="auto"/>
              <w:ind w:left="308"/>
              <w:rPr>
                <w:rFonts w:ascii="Times New Roman" w:hAnsi="Times New Roman" w:eastAsia="Times New Roman" w:cs="Times New Roman"/>
                <w:sz w:val="18"/>
                <w:szCs w:val="18"/>
              </w:rPr>
            </w:pPr>
            <w:r>
              <w:rPr>
                <w:rFonts w:ascii="FangSong_GB2312" w:hAnsi="FangSong_GB2312" w:eastAsia="FangSong_GB2312" w:cs="FangSong_GB2312"/>
                <w:sz w:val="18"/>
                <w:szCs w:val="18"/>
              </w:rPr>
              <w:t>参照</w:t>
            </w:r>
            <w:r>
              <w:rPr>
                <w:rFonts w:ascii="FangSong_GB2312" w:hAnsi="FangSong_GB2312" w:eastAsia="FangSong_GB2312" w:cs="FangSong_GB2312"/>
                <w:spacing w:val="-26"/>
                <w:sz w:val="18"/>
                <w:szCs w:val="18"/>
              </w:rPr>
              <w:t xml:space="preserve"> </w:t>
            </w:r>
            <w:r>
              <w:rPr>
                <w:rFonts w:ascii="Times New Roman" w:hAnsi="Times New Roman" w:eastAsia="Times New Roman" w:cs="Times New Roman"/>
                <w:sz w:val="18"/>
                <w:szCs w:val="18"/>
              </w:rPr>
              <w:t>SL773-2018“</w:t>
            </w:r>
            <w:r>
              <w:rPr>
                <w:rFonts w:ascii="FangSong_GB2312" w:hAnsi="FangSong_GB2312" w:eastAsia="FangSong_GB2312" w:cs="FangSong_GB2312"/>
                <w:sz w:val="18"/>
                <w:szCs w:val="18"/>
              </w:rPr>
              <w:t>附录</w:t>
            </w:r>
            <w:r>
              <w:rPr>
                <w:rFonts w:ascii="FangSong_GB2312" w:hAnsi="FangSong_GB2312" w:eastAsia="FangSong_GB2312" w:cs="FangSong_GB2312"/>
                <w:spacing w:val="-40"/>
                <w:sz w:val="18"/>
                <w:szCs w:val="18"/>
              </w:rPr>
              <w:t xml:space="preserve"> </w:t>
            </w:r>
            <w:r>
              <w:rPr>
                <w:rFonts w:ascii="Times New Roman" w:hAnsi="Times New Roman" w:eastAsia="Times New Roman" w:cs="Times New Roman"/>
                <w:sz w:val="18"/>
                <w:szCs w:val="18"/>
              </w:rPr>
              <w:t>C”</w:t>
            </w:r>
          </w:p>
        </w:tc>
        <w:tc>
          <w:tcPr>
            <w:tcW w:w="979" w:type="dxa"/>
            <w:tcBorders>
              <w:right w:val="single" w:color="000000" w:sz="10" w:space="0"/>
            </w:tcBorders>
            <w:vAlign w:val="top"/>
          </w:tcPr>
          <w:p w14:paraId="6581E6E0">
            <w:pPr>
              <w:spacing w:before="166" w:line="188" w:lineRule="auto"/>
              <w:ind w:left="2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0.007</w:t>
            </w:r>
          </w:p>
        </w:tc>
      </w:tr>
      <w:tr w14:paraId="247B9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63960C05">
            <w:pPr>
              <w:spacing w:before="167" w:line="188" w:lineRule="auto"/>
              <w:ind w:left="18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377" w:type="dxa"/>
            <w:vAlign w:val="top"/>
          </w:tcPr>
          <w:p w14:paraId="386EBDBA">
            <w:pPr>
              <w:spacing w:before="138" w:line="216" w:lineRule="auto"/>
              <w:ind w:left="8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坡长因子</w:t>
            </w:r>
          </w:p>
        </w:tc>
        <w:tc>
          <w:tcPr>
            <w:tcW w:w="548" w:type="dxa"/>
            <w:vAlign w:val="top"/>
          </w:tcPr>
          <w:p w14:paraId="08870DBE">
            <w:pPr>
              <w:spacing w:before="169" w:line="192" w:lineRule="auto"/>
              <w:ind w:left="188"/>
              <w:rPr>
                <w:rFonts w:ascii="Times New Roman" w:hAnsi="Times New Roman" w:eastAsia="Times New Roman" w:cs="Times New Roman"/>
                <w:sz w:val="11"/>
                <w:szCs w:val="11"/>
              </w:rPr>
            </w:pPr>
            <w:r>
              <w:rPr>
                <w:rFonts w:ascii="Times New Roman" w:hAnsi="Times New Roman" w:eastAsia="Times New Roman" w:cs="Times New Roman"/>
                <w:spacing w:val="-2"/>
                <w:sz w:val="18"/>
                <w:szCs w:val="18"/>
              </w:rPr>
              <w:t>L</w:t>
            </w:r>
            <w:r>
              <w:rPr>
                <w:rFonts w:ascii="Times New Roman" w:hAnsi="Times New Roman" w:eastAsia="Times New Roman" w:cs="Times New Roman"/>
                <w:spacing w:val="-2"/>
                <w:position w:val="-1"/>
                <w:sz w:val="11"/>
                <w:szCs w:val="11"/>
              </w:rPr>
              <w:t>y</w:t>
            </w:r>
          </w:p>
        </w:tc>
        <w:tc>
          <w:tcPr>
            <w:tcW w:w="2116" w:type="dxa"/>
            <w:vAlign w:val="top"/>
          </w:tcPr>
          <w:p w14:paraId="2AD95C95">
            <w:pPr>
              <w:rPr>
                <w:rFonts w:ascii="Arial"/>
                <w:sz w:val="21"/>
              </w:rPr>
            </w:pPr>
          </w:p>
        </w:tc>
        <w:tc>
          <w:tcPr>
            <w:tcW w:w="2575" w:type="dxa"/>
            <w:vAlign w:val="top"/>
          </w:tcPr>
          <w:p w14:paraId="63E58701">
            <w:pPr>
              <w:spacing w:before="103" w:line="242" w:lineRule="exact"/>
              <w:ind w:left="776"/>
              <w:rPr>
                <w:rFonts w:ascii="Times New Roman" w:hAnsi="Times New Roman" w:eastAsia="Times New Roman" w:cs="Times New Roman"/>
                <w:sz w:val="11"/>
                <w:szCs w:val="11"/>
              </w:rPr>
            </w:pPr>
            <w:r>
              <w:rPr>
                <w:rFonts w:ascii="Times New Roman" w:hAnsi="Times New Roman" w:eastAsia="Times New Roman" w:cs="Times New Roman"/>
                <w:position w:val="2"/>
                <w:sz w:val="18"/>
                <w:szCs w:val="18"/>
              </w:rPr>
              <w:t>L</w:t>
            </w:r>
            <w:r>
              <w:rPr>
                <w:rFonts w:ascii="Times New Roman" w:hAnsi="Times New Roman" w:eastAsia="Times New Roman" w:cs="Times New Roman"/>
                <w:position w:val="1"/>
                <w:sz w:val="11"/>
                <w:szCs w:val="11"/>
              </w:rPr>
              <w:t>y</w:t>
            </w:r>
            <w:r>
              <w:rPr>
                <w:rFonts w:ascii="Times New Roman" w:hAnsi="Times New Roman" w:eastAsia="Times New Roman" w:cs="Times New Roman"/>
                <w:position w:val="2"/>
                <w:sz w:val="18"/>
                <w:szCs w:val="18"/>
              </w:rPr>
              <w:t>=</w:t>
            </w:r>
            <w:r>
              <w:rPr>
                <w:rFonts w:ascii="Times New Roman" w:hAnsi="Times New Roman" w:eastAsia="Times New Roman" w:cs="Times New Roman"/>
                <w:spacing w:val="46"/>
                <w:position w:val="2"/>
                <w:sz w:val="18"/>
                <w:szCs w:val="18"/>
              </w:rPr>
              <w:t xml:space="preserve"> </w:t>
            </w:r>
            <w:r>
              <w:rPr>
                <w:rFonts w:ascii="FangSong_GB2312" w:hAnsi="FangSong_GB2312" w:eastAsia="FangSong_GB2312" w:cs="FangSong_GB2312"/>
                <w:position w:val="2"/>
                <w:sz w:val="18"/>
                <w:szCs w:val="18"/>
              </w:rPr>
              <w:t>(</w:t>
            </w:r>
            <w:r>
              <w:rPr>
                <w:rFonts w:ascii="Times New Roman" w:hAnsi="Times New Roman" w:eastAsia="Times New Roman" w:cs="Times New Roman"/>
                <w:position w:val="2"/>
                <w:sz w:val="18"/>
                <w:szCs w:val="18"/>
              </w:rPr>
              <w:t>λ/20</w:t>
            </w:r>
            <w:r>
              <w:rPr>
                <w:rFonts w:ascii="FangSong_GB2312" w:hAnsi="FangSong_GB2312" w:eastAsia="FangSong_GB2312" w:cs="FangSong_GB2312"/>
                <w:position w:val="2"/>
                <w:sz w:val="18"/>
                <w:szCs w:val="18"/>
              </w:rPr>
              <w:t>）</w:t>
            </w:r>
            <w:r>
              <w:rPr>
                <w:rFonts w:ascii="Times New Roman" w:hAnsi="Times New Roman" w:eastAsia="Times New Roman" w:cs="Times New Roman"/>
                <w:position w:val="8"/>
                <w:sz w:val="11"/>
                <w:szCs w:val="11"/>
              </w:rPr>
              <w:t>m</w:t>
            </w:r>
          </w:p>
        </w:tc>
        <w:tc>
          <w:tcPr>
            <w:tcW w:w="979" w:type="dxa"/>
            <w:tcBorders>
              <w:right w:val="single" w:color="000000" w:sz="10" w:space="0"/>
            </w:tcBorders>
            <w:vAlign w:val="top"/>
          </w:tcPr>
          <w:p w14:paraId="433F5EEF">
            <w:pPr>
              <w:spacing w:before="167"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0.54</w:t>
            </w:r>
          </w:p>
        </w:tc>
      </w:tr>
      <w:tr w14:paraId="30DDB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511F310C">
            <w:pPr>
              <w:spacing w:before="169"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1"/>
                <w:sz w:val="18"/>
                <w:szCs w:val="18"/>
              </w:rPr>
              <w:t>1</w:t>
            </w:r>
          </w:p>
        </w:tc>
        <w:tc>
          <w:tcPr>
            <w:tcW w:w="2377" w:type="dxa"/>
            <w:vAlign w:val="top"/>
          </w:tcPr>
          <w:p w14:paraId="2D7D9A5F">
            <w:pPr>
              <w:spacing w:before="138" w:line="214" w:lineRule="auto"/>
              <w:ind w:left="64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水平投影长度</w:t>
            </w:r>
          </w:p>
        </w:tc>
        <w:tc>
          <w:tcPr>
            <w:tcW w:w="548" w:type="dxa"/>
            <w:vAlign w:val="top"/>
          </w:tcPr>
          <w:p w14:paraId="6A87C73F">
            <w:pPr>
              <w:spacing w:before="166" w:line="192" w:lineRule="auto"/>
              <w:ind w:left="225"/>
              <w:rPr>
                <w:rFonts w:ascii="Times New Roman" w:hAnsi="Times New Roman" w:eastAsia="Times New Roman" w:cs="Times New Roman"/>
                <w:sz w:val="18"/>
                <w:szCs w:val="18"/>
              </w:rPr>
            </w:pPr>
            <w:r>
              <w:rPr>
                <w:rFonts w:ascii="Times New Roman" w:hAnsi="Times New Roman" w:eastAsia="Times New Roman" w:cs="Times New Roman"/>
                <w:sz w:val="18"/>
                <w:szCs w:val="18"/>
              </w:rPr>
              <w:t>λ</w:t>
            </w:r>
          </w:p>
        </w:tc>
        <w:tc>
          <w:tcPr>
            <w:tcW w:w="2116" w:type="dxa"/>
            <w:vAlign w:val="top"/>
          </w:tcPr>
          <w:p w14:paraId="2BE0DD66">
            <w:pPr>
              <w:spacing w:before="209" w:line="123" w:lineRule="exact"/>
              <w:ind w:left="987"/>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2575" w:type="dxa"/>
            <w:vAlign w:val="top"/>
          </w:tcPr>
          <w:p w14:paraId="1ED6D0A7">
            <w:pPr>
              <w:spacing w:before="106" w:line="242" w:lineRule="exact"/>
              <w:ind w:left="964"/>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λ=λ</w:t>
            </w:r>
            <w:r>
              <w:rPr>
                <w:rFonts w:ascii="Times New Roman" w:hAnsi="Times New Roman" w:eastAsia="Times New Roman" w:cs="Times New Roman"/>
                <w:position w:val="1"/>
                <w:sz w:val="11"/>
                <w:szCs w:val="11"/>
              </w:rPr>
              <w:t>x</w:t>
            </w:r>
            <w:r>
              <w:rPr>
                <w:rFonts w:ascii="Times New Roman" w:hAnsi="Times New Roman" w:eastAsia="Times New Roman" w:cs="Times New Roman"/>
                <w:position w:val="2"/>
                <w:sz w:val="18"/>
                <w:szCs w:val="18"/>
              </w:rPr>
              <w:t>cosθ</w:t>
            </w:r>
          </w:p>
        </w:tc>
        <w:tc>
          <w:tcPr>
            <w:tcW w:w="979" w:type="dxa"/>
            <w:tcBorders>
              <w:right w:val="single" w:color="000000" w:sz="10" w:space="0"/>
            </w:tcBorders>
            <w:vAlign w:val="top"/>
          </w:tcPr>
          <w:p w14:paraId="36D6FEA5">
            <w:pPr>
              <w:spacing w:before="169" w:line="188" w:lineRule="auto"/>
              <w:ind w:left="29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49.93</w:t>
            </w:r>
          </w:p>
        </w:tc>
      </w:tr>
      <w:tr w14:paraId="5A0BE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5A7D4D8E">
            <w:pPr>
              <w:spacing w:before="172"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c>
          <w:tcPr>
            <w:tcW w:w="2377" w:type="dxa"/>
            <w:vAlign w:val="top"/>
          </w:tcPr>
          <w:p w14:paraId="391EB312">
            <w:pPr>
              <w:spacing w:before="141" w:line="216" w:lineRule="auto"/>
              <w:ind w:left="82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斜坡长度</w:t>
            </w:r>
          </w:p>
        </w:tc>
        <w:tc>
          <w:tcPr>
            <w:tcW w:w="548" w:type="dxa"/>
            <w:vAlign w:val="top"/>
          </w:tcPr>
          <w:p w14:paraId="1F4925EB">
            <w:pPr>
              <w:spacing w:before="169" w:line="194" w:lineRule="auto"/>
              <w:ind w:left="196"/>
              <w:rPr>
                <w:rFonts w:ascii="Times New Roman" w:hAnsi="Times New Roman" w:eastAsia="Times New Roman" w:cs="Times New Roman"/>
                <w:sz w:val="11"/>
                <w:szCs w:val="11"/>
              </w:rPr>
            </w:pPr>
            <w:r>
              <w:rPr>
                <w:rFonts w:ascii="Times New Roman" w:hAnsi="Times New Roman" w:eastAsia="Times New Roman" w:cs="Times New Roman"/>
                <w:sz w:val="18"/>
                <w:szCs w:val="18"/>
              </w:rPr>
              <w:t>λ</w:t>
            </w:r>
            <w:r>
              <w:rPr>
                <w:rFonts w:ascii="Times New Roman" w:hAnsi="Times New Roman" w:eastAsia="Times New Roman" w:cs="Times New Roman"/>
                <w:position w:val="-1"/>
                <w:sz w:val="11"/>
                <w:szCs w:val="11"/>
              </w:rPr>
              <w:t>x</w:t>
            </w:r>
          </w:p>
        </w:tc>
        <w:tc>
          <w:tcPr>
            <w:tcW w:w="2116" w:type="dxa"/>
            <w:vAlign w:val="top"/>
          </w:tcPr>
          <w:p w14:paraId="5A8D99D4">
            <w:pPr>
              <w:spacing w:before="211" w:line="123" w:lineRule="exact"/>
              <w:ind w:left="987"/>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2575" w:type="dxa"/>
            <w:vAlign w:val="top"/>
          </w:tcPr>
          <w:p w14:paraId="3E96BB43">
            <w:pPr>
              <w:rPr>
                <w:rFonts w:ascii="Arial"/>
                <w:sz w:val="21"/>
              </w:rPr>
            </w:pPr>
          </w:p>
        </w:tc>
        <w:tc>
          <w:tcPr>
            <w:tcW w:w="979" w:type="dxa"/>
            <w:tcBorders>
              <w:right w:val="single" w:color="000000" w:sz="10" w:space="0"/>
            </w:tcBorders>
            <w:vAlign w:val="top"/>
          </w:tcPr>
          <w:p w14:paraId="10F540CB">
            <w:pPr>
              <w:spacing w:before="172" w:line="188" w:lineRule="auto"/>
              <w:ind w:left="422"/>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r>
      <w:tr w14:paraId="07173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5A17DCAF">
            <w:pPr>
              <w:spacing w:before="173"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2377" w:type="dxa"/>
            <w:vAlign w:val="top"/>
          </w:tcPr>
          <w:p w14:paraId="375F7C9E">
            <w:pPr>
              <w:spacing w:before="144" w:line="216" w:lineRule="auto"/>
              <w:ind w:left="1005"/>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坡度</w:t>
            </w:r>
          </w:p>
        </w:tc>
        <w:tc>
          <w:tcPr>
            <w:tcW w:w="548" w:type="dxa"/>
            <w:vAlign w:val="top"/>
          </w:tcPr>
          <w:p w14:paraId="48B14271">
            <w:pPr>
              <w:spacing w:before="169" w:line="192" w:lineRule="auto"/>
              <w:ind w:left="232"/>
              <w:rPr>
                <w:rFonts w:ascii="Times New Roman" w:hAnsi="Times New Roman" w:eastAsia="Times New Roman" w:cs="Times New Roman"/>
                <w:sz w:val="18"/>
                <w:szCs w:val="18"/>
              </w:rPr>
            </w:pPr>
            <w:r>
              <w:rPr>
                <w:rFonts w:ascii="Times New Roman" w:hAnsi="Times New Roman" w:eastAsia="Times New Roman" w:cs="Times New Roman"/>
                <w:sz w:val="18"/>
                <w:szCs w:val="18"/>
              </w:rPr>
              <w:t>θ</w:t>
            </w:r>
          </w:p>
        </w:tc>
        <w:tc>
          <w:tcPr>
            <w:tcW w:w="2116" w:type="dxa"/>
            <w:vAlign w:val="top"/>
          </w:tcPr>
          <w:p w14:paraId="2DD5FF50">
            <w:pPr>
              <w:spacing w:before="145" w:line="227" w:lineRule="auto"/>
              <w:ind w:left="929"/>
              <w:rPr>
                <w:rFonts w:ascii="FangSong_GB2312" w:hAnsi="FangSong_GB2312" w:eastAsia="FangSong_GB2312" w:cs="FangSong_GB2312"/>
                <w:sz w:val="18"/>
                <w:szCs w:val="18"/>
              </w:rPr>
            </w:pPr>
            <w:r>
              <w:rPr>
                <w:rFonts w:ascii="FangSong_GB2312" w:hAnsi="FangSong_GB2312" w:eastAsia="FangSong_GB2312" w:cs="FangSong_GB2312"/>
                <w:sz w:val="18"/>
                <w:szCs w:val="18"/>
              </w:rPr>
              <w:t>(</w:t>
            </w:r>
            <w:r>
              <w:rPr>
                <w:rFonts w:ascii="Times New Roman" w:hAnsi="Times New Roman" w:eastAsia="Times New Roman" w:cs="Times New Roman"/>
                <w:sz w:val="18"/>
                <w:szCs w:val="18"/>
              </w:rPr>
              <w:t>°</w:t>
            </w:r>
            <w:r>
              <w:rPr>
                <w:rFonts w:ascii="FangSong_GB2312" w:hAnsi="FangSong_GB2312" w:eastAsia="FangSong_GB2312" w:cs="FangSong_GB2312"/>
                <w:sz w:val="18"/>
                <w:szCs w:val="18"/>
              </w:rPr>
              <w:t>)</w:t>
            </w:r>
          </w:p>
        </w:tc>
        <w:tc>
          <w:tcPr>
            <w:tcW w:w="2575" w:type="dxa"/>
            <w:vAlign w:val="top"/>
          </w:tcPr>
          <w:p w14:paraId="0D652835">
            <w:pPr>
              <w:rPr>
                <w:rFonts w:ascii="Arial"/>
                <w:sz w:val="21"/>
              </w:rPr>
            </w:pPr>
          </w:p>
        </w:tc>
        <w:tc>
          <w:tcPr>
            <w:tcW w:w="979" w:type="dxa"/>
            <w:tcBorders>
              <w:right w:val="single" w:color="000000" w:sz="10" w:space="0"/>
            </w:tcBorders>
            <w:vAlign w:val="top"/>
          </w:tcPr>
          <w:p w14:paraId="76A56F4C">
            <w:pPr>
              <w:spacing w:before="173" w:line="188" w:lineRule="auto"/>
              <w:ind w:left="40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r>
      <w:tr w14:paraId="0CD1D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400DF456">
            <w:pPr>
              <w:spacing w:before="175"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c>
        <w:tc>
          <w:tcPr>
            <w:tcW w:w="2377" w:type="dxa"/>
            <w:vAlign w:val="top"/>
          </w:tcPr>
          <w:p w14:paraId="542FCFEF">
            <w:pPr>
              <w:spacing w:before="144" w:line="216" w:lineRule="auto"/>
              <w:ind w:left="8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坡长指数</w:t>
            </w:r>
          </w:p>
        </w:tc>
        <w:tc>
          <w:tcPr>
            <w:tcW w:w="548" w:type="dxa"/>
            <w:vAlign w:val="top"/>
          </w:tcPr>
          <w:p w14:paraId="37DF539D">
            <w:pPr>
              <w:spacing w:before="215" w:line="123" w:lineRule="exact"/>
              <w:ind w:left="200"/>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2116" w:type="dxa"/>
            <w:vAlign w:val="top"/>
          </w:tcPr>
          <w:p w14:paraId="68533075">
            <w:pPr>
              <w:rPr>
                <w:rFonts w:ascii="Arial"/>
                <w:sz w:val="21"/>
              </w:rPr>
            </w:pPr>
          </w:p>
        </w:tc>
        <w:tc>
          <w:tcPr>
            <w:tcW w:w="2575" w:type="dxa"/>
            <w:vAlign w:val="top"/>
          </w:tcPr>
          <w:p w14:paraId="0652CE17">
            <w:pPr>
              <w:rPr>
                <w:rFonts w:ascii="Arial"/>
                <w:sz w:val="21"/>
              </w:rPr>
            </w:pPr>
          </w:p>
        </w:tc>
        <w:tc>
          <w:tcPr>
            <w:tcW w:w="979" w:type="dxa"/>
            <w:tcBorders>
              <w:right w:val="single" w:color="000000" w:sz="10" w:space="0"/>
            </w:tcBorders>
            <w:vAlign w:val="top"/>
          </w:tcPr>
          <w:p w14:paraId="234CD633">
            <w:pPr>
              <w:spacing w:before="175" w:line="188" w:lineRule="auto"/>
              <w:ind w:left="2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0.406</w:t>
            </w:r>
          </w:p>
        </w:tc>
      </w:tr>
      <w:tr w14:paraId="00C1C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29258016">
            <w:pPr>
              <w:spacing w:before="181" w:line="185" w:lineRule="auto"/>
              <w:ind w:left="19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377" w:type="dxa"/>
            <w:vAlign w:val="top"/>
          </w:tcPr>
          <w:p w14:paraId="2112EA7A">
            <w:pPr>
              <w:spacing w:before="147" w:line="216" w:lineRule="auto"/>
              <w:ind w:left="8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坡度因子</w:t>
            </w:r>
          </w:p>
        </w:tc>
        <w:tc>
          <w:tcPr>
            <w:tcW w:w="548" w:type="dxa"/>
            <w:vAlign w:val="top"/>
          </w:tcPr>
          <w:p w14:paraId="1F62ADED">
            <w:pPr>
              <w:spacing w:before="177" w:line="204" w:lineRule="auto"/>
              <w:ind w:left="200"/>
              <w:rPr>
                <w:rFonts w:ascii="Times New Roman" w:hAnsi="Times New Roman" w:eastAsia="Times New Roman" w:cs="Times New Roman"/>
                <w:sz w:val="11"/>
                <w:szCs w:val="11"/>
              </w:rPr>
            </w:pPr>
            <w:r>
              <w:rPr>
                <w:rFonts w:ascii="Times New Roman" w:hAnsi="Times New Roman" w:eastAsia="Times New Roman" w:cs="Times New Roman"/>
                <w:spacing w:val="-12"/>
                <w:sz w:val="18"/>
                <w:szCs w:val="18"/>
              </w:rPr>
              <w:t>S</w:t>
            </w:r>
            <w:r>
              <w:rPr>
                <w:rFonts w:ascii="Times New Roman" w:hAnsi="Times New Roman" w:eastAsia="Times New Roman" w:cs="Times New Roman"/>
                <w:spacing w:val="3"/>
                <w:sz w:val="11"/>
                <w:szCs w:val="11"/>
              </w:rPr>
              <w:t>y</w:t>
            </w:r>
          </w:p>
        </w:tc>
        <w:tc>
          <w:tcPr>
            <w:tcW w:w="2116" w:type="dxa"/>
            <w:vAlign w:val="top"/>
          </w:tcPr>
          <w:p w14:paraId="56782A14">
            <w:pPr>
              <w:rPr>
                <w:rFonts w:ascii="Arial"/>
                <w:sz w:val="21"/>
              </w:rPr>
            </w:pPr>
          </w:p>
        </w:tc>
        <w:tc>
          <w:tcPr>
            <w:tcW w:w="2575" w:type="dxa"/>
            <w:vAlign w:val="top"/>
          </w:tcPr>
          <w:p w14:paraId="55EE8BB7">
            <w:pPr>
              <w:spacing w:before="114" w:line="243" w:lineRule="exact"/>
              <w:ind w:left="318"/>
              <w:rPr>
                <w:rFonts w:ascii="Times New Roman" w:hAnsi="Times New Roman" w:eastAsia="Times New Roman" w:cs="Times New Roman"/>
                <w:sz w:val="18"/>
                <w:szCs w:val="18"/>
              </w:rPr>
            </w:pPr>
            <w:r>
              <w:rPr>
                <w:rFonts w:ascii="Times New Roman" w:hAnsi="Times New Roman" w:eastAsia="Times New Roman" w:cs="Times New Roman"/>
                <w:spacing w:val="-12"/>
                <w:position w:val="2"/>
                <w:sz w:val="18"/>
                <w:szCs w:val="18"/>
              </w:rPr>
              <w:t>S</w:t>
            </w:r>
            <w:r>
              <w:rPr>
                <w:rFonts w:ascii="Times New Roman" w:hAnsi="Times New Roman" w:eastAsia="Times New Roman" w:cs="Times New Roman"/>
                <w:position w:val="1"/>
                <w:sz w:val="11"/>
                <w:szCs w:val="11"/>
              </w:rPr>
              <w:t>y</w:t>
            </w:r>
            <w:r>
              <w:rPr>
                <w:rFonts w:ascii="Times New Roman" w:hAnsi="Times New Roman" w:eastAsia="Times New Roman" w:cs="Times New Roman"/>
                <w:spacing w:val="1"/>
                <w:position w:val="2"/>
                <w:sz w:val="18"/>
                <w:szCs w:val="18"/>
              </w:rPr>
              <w:t>=-1.5+17/[1+e</w:t>
            </w:r>
            <w:r>
              <w:rPr>
                <w:rFonts w:ascii="FangSong_GB2312" w:hAnsi="FangSong_GB2312" w:eastAsia="FangSong_GB2312" w:cs="FangSong_GB2312"/>
                <w:spacing w:val="1"/>
                <w:position w:val="9"/>
                <w:sz w:val="8"/>
                <w:szCs w:val="8"/>
              </w:rPr>
              <w:t>（</w:t>
            </w:r>
            <w:r>
              <w:rPr>
                <w:rFonts w:ascii="Times New Roman" w:hAnsi="Times New Roman" w:eastAsia="Times New Roman" w:cs="Times New Roman"/>
                <w:spacing w:val="1"/>
                <w:position w:val="9"/>
                <w:sz w:val="11"/>
                <w:szCs w:val="11"/>
              </w:rPr>
              <w:t>2</w:t>
            </w:r>
            <w:r>
              <w:rPr>
                <w:rFonts w:ascii="Times New Roman" w:hAnsi="Times New Roman" w:eastAsia="Times New Roman" w:cs="Times New Roman"/>
                <w:spacing w:val="1"/>
                <w:position w:val="7"/>
                <w:sz w:val="11"/>
                <w:szCs w:val="11"/>
              </w:rPr>
              <w:t>.3-6.</w:t>
            </w:r>
            <w:r>
              <w:rPr>
                <w:rFonts w:ascii="Times New Roman" w:hAnsi="Times New Roman" w:eastAsia="Times New Roman" w:cs="Times New Roman"/>
                <w:spacing w:val="-8"/>
                <w:position w:val="7"/>
                <w:sz w:val="11"/>
                <w:szCs w:val="11"/>
              </w:rPr>
              <w:t xml:space="preserve"> </w:t>
            </w:r>
            <w:r>
              <w:rPr>
                <w:rFonts w:ascii="Times New Roman" w:hAnsi="Times New Roman" w:eastAsia="Times New Roman" w:cs="Times New Roman"/>
                <w:spacing w:val="1"/>
                <w:position w:val="8"/>
                <w:sz w:val="11"/>
                <w:szCs w:val="11"/>
              </w:rPr>
              <w:t>1</w:t>
            </w:r>
            <w:r>
              <w:rPr>
                <w:rFonts w:ascii="Times New Roman" w:hAnsi="Times New Roman" w:eastAsia="Times New Roman" w:cs="Times New Roman"/>
                <w:position w:val="8"/>
                <w:sz w:val="11"/>
                <w:szCs w:val="11"/>
              </w:rPr>
              <w:t>sin</w:t>
            </w:r>
            <w:r>
              <w:rPr>
                <w:rFonts w:ascii="Times New Roman" w:hAnsi="Times New Roman" w:eastAsia="Times New Roman" w:cs="Times New Roman"/>
                <w:spacing w:val="1"/>
                <w:position w:val="8"/>
                <w:sz w:val="11"/>
                <w:szCs w:val="11"/>
              </w:rPr>
              <w:t>θ</w:t>
            </w:r>
            <w:r>
              <w:rPr>
                <w:rFonts w:ascii="FangSong_GB2312" w:hAnsi="FangSong_GB2312" w:eastAsia="FangSong_GB2312" w:cs="FangSong_GB2312"/>
                <w:spacing w:val="1"/>
                <w:position w:val="8"/>
                <w:sz w:val="8"/>
                <w:szCs w:val="8"/>
              </w:rPr>
              <w:t>)</w:t>
            </w:r>
            <w:r>
              <w:rPr>
                <w:rFonts w:ascii="FangSong_GB2312" w:hAnsi="FangSong_GB2312" w:eastAsia="FangSong_GB2312" w:cs="FangSong_GB2312"/>
                <w:spacing w:val="13"/>
                <w:w w:val="101"/>
                <w:position w:val="8"/>
                <w:sz w:val="8"/>
                <w:szCs w:val="8"/>
              </w:rPr>
              <w:t xml:space="preserve"> </w:t>
            </w:r>
            <w:r>
              <w:rPr>
                <w:rFonts w:ascii="Times New Roman" w:hAnsi="Times New Roman" w:eastAsia="Times New Roman" w:cs="Times New Roman"/>
                <w:spacing w:val="1"/>
                <w:position w:val="2"/>
                <w:sz w:val="18"/>
                <w:szCs w:val="18"/>
              </w:rPr>
              <w:t>]</w:t>
            </w:r>
          </w:p>
        </w:tc>
        <w:tc>
          <w:tcPr>
            <w:tcW w:w="979" w:type="dxa"/>
            <w:tcBorders>
              <w:right w:val="single" w:color="000000" w:sz="10" w:space="0"/>
            </w:tcBorders>
            <w:vAlign w:val="top"/>
          </w:tcPr>
          <w:p w14:paraId="50EBC584">
            <w:pPr>
              <w:spacing w:before="178" w:line="188" w:lineRule="auto"/>
              <w:ind w:left="34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r>
      <w:tr w14:paraId="04E84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95" w:type="dxa"/>
            <w:tcBorders>
              <w:left w:val="single" w:color="000000" w:sz="10" w:space="0"/>
            </w:tcBorders>
            <w:vAlign w:val="top"/>
          </w:tcPr>
          <w:p w14:paraId="2AA1ED02">
            <w:pPr>
              <w:spacing w:before="179" w:line="188"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3"/>
                <w:sz w:val="18"/>
                <w:szCs w:val="18"/>
              </w:rPr>
              <w:t>1</w:t>
            </w:r>
          </w:p>
        </w:tc>
        <w:tc>
          <w:tcPr>
            <w:tcW w:w="2377" w:type="dxa"/>
            <w:vAlign w:val="top"/>
          </w:tcPr>
          <w:p w14:paraId="5D4D1FC0">
            <w:pPr>
              <w:spacing w:before="150" w:line="213" w:lineRule="auto"/>
              <w:ind w:left="678"/>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自然对数的底</w:t>
            </w:r>
          </w:p>
        </w:tc>
        <w:tc>
          <w:tcPr>
            <w:tcW w:w="548" w:type="dxa"/>
            <w:vAlign w:val="top"/>
          </w:tcPr>
          <w:p w14:paraId="5393AC49">
            <w:pPr>
              <w:spacing w:before="218" w:line="123" w:lineRule="exact"/>
              <w:ind w:left="234"/>
              <w:rPr>
                <w:rFonts w:ascii="Times New Roman" w:hAnsi="Times New Roman" w:eastAsia="Times New Roman" w:cs="Times New Roman"/>
                <w:sz w:val="18"/>
                <w:szCs w:val="18"/>
              </w:rPr>
            </w:pPr>
            <w:r>
              <w:rPr>
                <w:rFonts w:ascii="Times New Roman" w:hAnsi="Times New Roman" w:eastAsia="Times New Roman" w:cs="Times New Roman"/>
                <w:sz w:val="18"/>
                <w:szCs w:val="18"/>
              </w:rPr>
              <w:t>e</w:t>
            </w:r>
          </w:p>
        </w:tc>
        <w:tc>
          <w:tcPr>
            <w:tcW w:w="2116" w:type="dxa"/>
            <w:vAlign w:val="top"/>
          </w:tcPr>
          <w:p w14:paraId="123E857B">
            <w:pPr>
              <w:rPr>
                <w:rFonts w:ascii="Arial"/>
                <w:sz w:val="21"/>
              </w:rPr>
            </w:pPr>
          </w:p>
        </w:tc>
        <w:tc>
          <w:tcPr>
            <w:tcW w:w="2575" w:type="dxa"/>
            <w:vAlign w:val="top"/>
          </w:tcPr>
          <w:p w14:paraId="31C0EE0E">
            <w:pPr>
              <w:spacing w:before="151" w:line="221" w:lineRule="auto"/>
              <w:ind w:left="1031"/>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取</w:t>
            </w:r>
            <w:r>
              <w:rPr>
                <w:rFonts w:ascii="FangSong_GB2312" w:hAnsi="FangSong_GB2312" w:eastAsia="FangSong_GB2312" w:cs="FangSong_GB2312"/>
                <w:spacing w:val="-40"/>
                <w:sz w:val="18"/>
                <w:szCs w:val="18"/>
              </w:rPr>
              <w:t xml:space="preserve"> </w:t>
            </w:r>
            <w:r>
              <w:rPr>
                <w:rFonts w:ascii="Times New Roman" w:hAnsi="Times New Roman" w:eastAsia="Times New Roman" w:cs="Times New Roman"/>
                <w:spacing w:val="-3"/>
                <w:sz w:val="18"/>
                <w:szCs w:val="18"/>
              </w:rPr>
              <w:t>2.72</w:t>
            </w:r>
          </w:p>
        </w:tc>
        <w:tc>
          <w:tcPr>
            <w:tcW w:w="979" w:type="dxa"/>
            <w:tcBorders>
              <w:right w:val="single" w:color="000000" w:sz="10" w:space="0"/>
            </w:tcBorders>
            <w:vAlign w:val="top"/>
          </w:tcPr>
          <w:p w14:paraId="07E36981">
            <w:pPr>
              <w:spacing w:before="179" w:line="188" w:lineRule="auto"/>
              <w:ind w:left="33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2.72</w:t>
            </w:r>
          </w:p>
        </w:tc>
      </w:tr>
      <w:tr w14:paraId="156EE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95" w:type="dxa"/>
            <w:tcBorders>
              <w:left w:val="single" w:color="000000" w:sz="10" w:space="0"/>
              <w:bottom w:val="single" w:color="000000" w:sz="10" w:space="0"/>
            </w:tcBorders>
            <w:vAlign w:val="top"/>
          </w:tcPr>
          <w:p w14:paraId="78F8F975">
            <w:pPr>
              <w:spacing w:before="181" w:line="188" w:lineRule="auto"/>
              <w:ind w:left="19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2377" w:type="dxa"/>
            <w:tcBorders>
              <w:bottom w:val="single" w:color="000000" w:sz="10" w:space="0"/>
            </w:tcBorders>
            <w:vAlign w:val="top"/>
          </w:tcPr>
          <w:p w14:paraId="53EBF3D2">
            <w:pPr>
              <w:spacing w:before="150" w:line="216" w:lineRule="auto"/>
              <w:ind w:left="64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植被覆盖因子</w:t>
            </w:r>
          </w:p>
        </w:tc>
        <w:tc>
          <w:tcPr>
            <w:tcW w:w="548" w:type="dxa"/>
            <w:tcBorders>
              <w:bottom w:val="single" w:color="000000" w:sz="10" w:space="0"/>
            </w:tcBorders>
            <w:vAlign w:val="top"/>
          </w:tcPr>
          <w:p w14:paraId="434A8690">
            <w:pPr>
              <w:spacing w:before="184" w:line="185" w:lineRule="auto"/>
              <w:ind w:left="211"/>
              <w:rPr>
                <w:rFonts w:ascii="Times New Roman" w:hAnsi="Times New Roman" w:eastAsia="Times New Roman" w:cs="Times New Roman"/>
                <w:sz w:val="18"/>
                <w:szCs w:val="18"/>
              </w:rPr>
            </w:pPr>
            <w:r>
              <w:rPr>
                <w:rFonts w:ascii="Times New Roman" w:hAnsi="Times New Roman" w:eastAsia="Times New Roman" w:cs="Times New Roman"/>
                <w:sz w:val="18"/>
                <w:szCs w:val="18"/>
              </w:rPr>
              <w:t>B</w:t>
            </w:r>
          </w:p>
        </w:tc>
        <w:tc>
          <w:tcPr>
            <w:tcW w:w="2116" w:type="dxa"/>
            <w:tcBorders>
              <w:bottom w:val="single" w:color="000000" w:sz="10" w:space="0"/>
            </w:tcBorders>
            <w:vAlign w:val="top"/>
          </w:tcPr>
          <w:p w14:paraId="24E678E2">
            <w:pPr>
              <w:rPr>
                <w:rFonts w:ascii="Arial"/>
                <w:sz w:val="21"/>
              </w:rPr>
            </w:pPr>
          </w:p>
        </w:tc>
        <w:tc>
          <w:tcPr>
            <w:tcW w:w="2575" w:type="dxa"/>
            <w:tcBorders>
              <w:bottom w:val="single" w:color="000000" w:sz="10" w:space="0"/>
            </w:tcBorders>
            <w:vAlign w:val="top"/>
          </w:tcPr>
          <w:p w14:paraId="03C91DF7">
            <w:pPr>
              <w:spacing w:before="151" w:line="214" w:lineRule="auto"/>
              <w:ind w:left="277"/>
              <w:rPr>
                <w:rFonts w:ascii="Times New Roman" w:hAnsi="Times New Roman" w:eastAsia="Times New Roman" w:cs="Times New Roman"/>
                <w:sz w:val="18"/>
                <w:szCs w:val="18"/>
              </w:rPr>
            </w:pPr>
            <w:r>
              <w:rPr>
                <w:rFonts w:ascii="FangSong_GB2312" w:hAnsi="FangSong_GB2312" w:eastAsia="FangSong_GB2312" w:cs="FangSong_GB2312"/>
                <w:sz w:val="18"/>
                <w:szCs w:val="18"/>
              </w:rPr>
              <w:t>参照</w:t>
            </w:r>
            <w:r>
              <w:rPr>
                <w:rFonts w:ascii="FangSong_GB2312" w:hAnsi="FangSong_GB2312" w:eastAsia="FangSong_GB2312" w:cs="FangSong_GB2312"/>
                <w:spacing w:val="-31"/>
                <w:sz w:val="18"/>
                <w:szCs w:val="18"/>
              </w:rPr>
              <w:t xml:space="preserve"> </w:t>
            </w:r>
            <w:r>
              <w:rPr>
                <w:rFonts w:ascii="Times New Roman" w:hAnsi="Times New Roman" w:eastAsia="Times New Roman" w:cs="Times New Roman"/>
                <w:sz w:val="18"/>
                <w:szCs w:val="18"/>
              </w:rPr>
              <w:t>SL773-2018“6.2.6</w:t>
            </w:r>
            <w:r>
              <w:rPr>
                <w:rFonts w:ascii="Times New Roman" w:hAnsi="Times New Roman" w:eastAsia="Times New Roman" w:cs="Times New Roman"/>
                <w:spacing w:val="12"/>
                <w:w w:val="101"/>
                <w:sz w:val="18"/>
                <w:szCs w:val="18"/>
              </w:rPr>
              <w:t xml:space="preserve"> </w:t>
            </w:r>
            <w:r>
              <w:rPr>
                <w:rFonts w:ascii="FangSong_GB2312" w:hAnsi="FangSong_GB2312" w:eastAsia="FangSong_GB2312" w:cs="FangSong_GB2312"/>
                <w:sz w:val="18"/>
                <w:szCs w:val="18"/>
              </w:rPr>
              <w:t>节</w:t>
            </w:r>
            <w:r>
              <w:rPr>
                <w:rFonts w:ascii="Times New Roman" w:hAnsi="Times New Roman" w:eastAsia="Times New Roman" w:cs="Times New Roman"/>
                <w:sz w:val="18"/>
                <w:szCs w:val="18"/>
              </w:rPr>
              <w:t>”</w:t>
            </w:r>
          </w:p>
        </w:tc>
        <w:tc>
          <w:tcPr>
            <w:tcW w:w="979" w:type="dxa"/>
            <w:tcBorders>
              <w:bottom w:val="single" w:color="000000" w:sz="10" w:space="0"/>
              <w:right w:val="single" w:color="000000" w:sz="10" w:space="0"/>
            </w:tcBorders>
            <w:vAlign w:val="top"/>
          </w:tcPr>
          <w:p w14:paraId="5F19C200">
            <w:pPr>
              <w:spacing w:before="181" w:line="188" w:lineRule="auto"/>
              <w:ind w:left="2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0.242</w:t>
            </w:r>
          </w:p>
        </w:tc>
      </w:tr>
    </w:tbl>
    <w:p w14:paraId="42923CEB">
      <w:pPr>
        <w:pStyle w:val="2"/>
        <w:spacing w:line="264" w:lineRule="auto"/>
      </w:pPr>
    </w:p>
    <w:p w14:paraId="4C8200BB">
      <w:pPr>
        <w:spacing w:before="66" w:line="229" w:lineRule="auto"/>
        <w:ind w:left="5504"/>
        <w:rPr>
          <w:rFonts w:ascii="FangSong_GB2312" w:hAnsi="FangSong_GB2312" w:eastAsia="FangSong_GB2312" w:cs="FangSong_GB2312"/>
          <w:sz w:val="20"/>
          <w:szCs w:val="20"/>
        </w:rPr>
      </w:pPr>
      <w:r>
        <w:pict>
          <v:shape id="_x0000_s1067" o:spid="_x0000_s1067" o:spt="202" type="#_x0000_t202" style="position:absolute;left:0pt;margin-left:222.75pt;margin-top:3pt;height:10.15pt;width:10.7pt;z-index:251736064;mso-width-relative:page;mso-height-relative:page;" filled="f" stroked="f" coordsize="21600,21600">
            <v:path/>
            <v:fill on="f" focussize="0,0"/>
            <v:stroke on="f"/>
            <v:imagedata o:title=""/>
            <o:lock v:ext="edit" aspectratio="f"/>
            <v:textbox inset="0mm,0mm,0mm,0mm">
              <w:txbxContent>
                <w:p w14:paraId="03DDF4B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txbxContent>
            </v:textbox>
          </v:shape>
        </w:pict>
      </w:r>
      <w:r>
        <w:rPr>
          <w:rFonts w:ascii="FangSong_GB2312" w:hAnsi="FangSong_GB2312" w:eastAsia="FangSong_GB2312" w:cs="FangSong_GB2312"/>
          <w:spacing w:val="8"/>
          <w:sz w:val="20"/>
          <w:szCs w:val="20"/>
        </w:rPr>
        <w:t>剑阁县绿森林业勘察设计有限公司</w:t>
      </w:r>
    </w:p>
    <w:p w14:paraId="5C46877D">
      <w:pPr>
        <w:spacing w:line="229" w:lineRule="auto"/>
        <w:rPr>
          <w:rFonts w:ascii="FangSong_GB2312" w:hAnsi="FangSong_GB2312" w:eastAsia="FangSong_GB2312" w:cs="FangSong_GB2312"/>
          <w:sz w:val="20"/>
          <w:szCs w:val="20"/>
        </w:rPr>
        <w:sectPr>
          <w:headerReference r:id="rId53" w:type="default"/>
          <w:pgSz w:w="11906" w:h="16839"/>
          <w:pgMar w:top="1159" w:right="1395" w:bottom="400" w:left="1394" w:header="831" w:footer="0" w:gutter="0"/>
          <w:cols w:space="720" w:num="1"/>
        </w:sectPr>
      </w:pPr>
    </w:p>
    <w:p w14:paraId="5F32CEB3">
      <w:pPr>
        <w:spacing w:line="167" w:lineRule="exact"/>
      </w:pPr>
    </w:p>
    <w:tbl>
      <w:tblPr>
        <w:tblStyle w:val="6"/>
        <w:tblW w:w="90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
        <w:gridCol w:w="2377"/>
        <w:gridCol w:w="548"/>
        <w:gridCol w:w="2116"/>
        <w:gridCol w:w="2575"/>
        <w:gridCol w:w="979"/>
      </w:tblGrid>
      <w:tr w14:paraId="48CC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95" w:type="dxa"/>
            <w:tcBorders>
              <w:top w:val="single" w:color="000000" w:sz="10" w:space="0"/>
              <w:left w:val="single" w:color="000000" w:sz="10" w:space="0"/>
            </w:tcBorders>
            <w:vAlign w:val="top"/>
          </w:tcPr>
          <w:p w14:paraId="7BF077E6">
            <w:pPr>
              <w:spacing w:before="157" w:line="185" w:lineRule="auto"/>
              <w:ind w:left="19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2377" w:type="dxa"/>
            <w:tcBorders>
              <w:top w:val="single" w:color="000000" w:sz="10" w:space="0"/>
            </w:tcBorders>
            <w:vAlign w:val="top"/>
          </w:tcPr>
          <w:p w14:paraId="58F81A3E">
            <w:pPr>
              <w:spacing w:before="124" w:line="214" w:lineRule="auto"/>
              <w:ind w:left="65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工程措施因子</w:t>
            </w:r>
          </w:p>
        </w:tc>
        <w:tc>
          <w:tcPr>
            <w:tcW w:w="548" w:type="dxa"/>
            <w:tcBorders>
              <w:top w:val="single" w:color="000000" w:sz="10" w:space="0"/>
            </w:tcBorders>
            <w:vAlign w:val="top"/>
          </w:tcPr>
          <w:p w14:paraId="51A2D8B2">
            <w:pPr>
              <w:spacing w:before="157" w:line="185" w:lineRule="auto"/>
              <w:ind w:left="217"/>
              <w:rPr>
                <w:rFonts w:ascii="Times New Roman" w:hAnsi="Times New Roman" w:eastAsia="Times New Roman" w:cs="Times New Roman"/>
                <w:sz w:val="18"/>
                <w:szCs w:val="18"/>
              </w:rPr>
            </w:pPr>
            <w:r>
              <w:rPr>
                <w:rFonts w:ascii="Times New Roman" w:hAnsi="Times New Roman" w:eastAsia="Times New Roman" w:cs="Times New Roman"/>
                <w:sz w:val="18"/>
                <w:szCs w:val="18"/>
              </w:rPr>
              <w:t>E</w:t>
            </w:r>
          </w:p>
        </w:tc>
        <w:tc>
          <w:tcPr>
            <w:tcW w:w="2116" w:type="dxa"/>
            <w:tcBorders>
              <w:top w:val="single" w:color="000000" w:sz="10" w:space="0"/>
            </w:tcBorders>
            <w:vAlign w:val="top"/>
          </w:tcPr>
          <w:p w14:paraId="6BC416FE">
            <w:pPr>
              <w:rPr>
                <w:rFonts w:ascii="Arial"/>
                <w:sz w:val="21"/>
              </w:rPr>
            </w:pPr>
          </w:p>
        </w:tc>
        <w:tc>
          <w:tcPr>
            <w:tcW w:w="2575" w:type="dxa"/>
            <w:tcBorders>
              <w:top w:val="single" w:color="000000" w:sz="10" w:space="0"/>
            </w:tcBorders>
            <w:vAlign w:val="top"/>
          </w:tcPr>
          <w:p w14:paraId="1BC26A88">
            <w:pPr>
              <w:spacing w:before="124" w:line="214" w:lineRule="auto"/>
              <w:ind w:left="277"/>
              <w:rPr>
                <w:rFonts w:ascii="Times New Roman" w:hAnsi="Times New Roman" w:eastAsia="Times New Roman" w:cs="Times New Roman"/>
                <w:sz w:val="18"/>
                <w:szCs w:val="18"/>
              </w:rPr>
            </w:pPr>
            <w:r>
              <w:rPr>
                <w:rFonts w:ascii="FangSong_GB2312" w:hAnsi="FangSong_GB2312" w:eastAsia="FangSong_GB2312" w:cs="FangSong_GB2312"/>
                <w:sz w:val="18"/>
                <w:szCs w:val="18"/>
              </w:rPr>
              <w:t>参照</w:t>
            </w:r>
            <w:r>
              <w:rPr>
                <w:rFonts w:ascii="FangSong_GB2312" w:hAnsi="FangSong_GB2312" w:eastAsia="FangSong_GB2312" w:cs="FangSong_GB2312"/>
                <w:spacing w:val="-31"/>
                <w:sz w:val="18"/>
                <w:szCs w:val="18"/>
              </w:rPr>
              <w:t xml:space="preserve"> </w:t>
            </w:r>
            <w:r>
              <w:rPr>
                <w:rFonts w:ascii="Times New Roman" w:hAnsi="Times New Roman" w:eastAsia="Times New Roman" w:cs="Times New Roman"/>
                <w:sz w:val="18"/>
                <w:szCs w:val="18"/>
              </w:rPr>
              <w:t>SL773-2018“6.2.7</w:t>
            </w:r>
            <w:r>
              <w:rPr>
                <w:rFonts w:ascii="Times New Roman" w:hAnsi="Times New Roman" w:eastAsia="Times New Roman" w:cs="Times New Roman"/>
                <w:spacing w:val="12"/>
                <w:w w:val="101"/>
                <w:sz w:val="18"/>
                <w:szCs w:val="18"/>
              </w:rPr>
              <w:t xml:space="preserve"> </w:t>
            </w:r>
            <w:r>
              <w:rPr>
                <w:rFonts w:ascii="FangSong_GB2312" w:hAnsi="FangSong_GB2312" w:eastAsia="FangSong_GB2312" w:cs="FangSong_GB2312"/>
                <w:sz w:val="18"/>
                <w:szCs w:val="18"/>
              </w:rPr>
              <w:t>节</w:t>
            </w:r>
            <w:r>
              <w:rPr>
                <w:rFonts w:ascii="Times New Roman" w:hAnsi="Times New Roman" w:eastAsia="Times New Roman" w:cs="Times New Roman"/>
                <w:sz w:val="18"/>
                <w:szCs w:val="18"/>
              </w:rPr>
              <w:t>”</w:t>
            </w:r>
          </w:p>
        </w:tc>
        <w:tc>
          <w:tcPr>
            <w:tcW w:w="979" w:type="dxa"/>
            <w:tcBorders>
              <w:top w:val="single" w:color="000000" w:sz="10" w:space="0"/>
              <w:right w:val="single" w:color="000000" w:sz="10" w:space="0"/>
            </w:tcBorders>
            <w:vAlign w:val="top"/>
          </w:tcPr>
          <w:p w14:paraId="6EE11C4B">
            <w:pPr>
              <w:spacing w:before="155" w:line="188" w:lineRule="auto"/>
              <w:ind w:left="46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14:paraId="02EB0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95" w:type="dxa"/>
            <w:tcBorders>
              <w:left w:val="single" w:color="000000" w:sz="10" w:space="0"/>
              <w:bottom w:val="single" w:color="000000" w:sz="10" w:space="0"/>
            </w:tcBorders>
            <w:vAlign w:val="top"/>
          </w:tcPr>
          <w:p w14:paraId="2FED8A94">
            <w:pPr>
              <w:spacing w:before="172" w:line="188" w:lineRule="auto"/>
              <w:ind w:left="19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2377" w:type="dxa"/>
            <w:tcBorders>
              <w:bottom w:val="single" w:color="000000" w:sz="10" w:space="0"/>
            </w:tcBorders>
            <w:vAlign w:val="top"/>
          </w:tcPr>
          <w:p w14:paraId="18CEE538">
            <w:pPr>
              <w:spacing w:before="143" w:line="214" w:lineRule="auto"/>
              <w:ind w:left="64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耕作措施因子</w:t>
            </w:r>
          </w:p>
        </w:tc>
        <w:tc>
          <w:tcPr>
            <w:tcW w:w="548" w:type="dxa"/>
            <w:tcBorders>
              <w:bottom w:val="single" w:color="000000" w:sz="10" w:space="0"/>
            </w:tcBorders>
            <w:vAlign w:val="top"/>
          </w:tcPr>
          <w:p w14:paraId="785A18D4">
            <w:pPr>
              <w:spacing w:before="174" w:line="185" w:lineRule="auto"/>
              <w:ind w:left="218"/>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2116" w:type="dxa"/>
            <w:tcBorders>
              <w:bottom w:val="single" w:color="000000" w:sz="10" w:space="0"/>
            </w:tcBorders>
            <w:vAlign w:val="top"/>
          </w:tcPr>
          <w:p w14:paraId="61289948">
            <w:pPr>
              <w:rPr>
                <w:rFonts w:ascii="Arial"/>
                <w:sz w:val="21"/>
              </w:rPr>
            </w:pPr>
          </w:p>
        </w:tc>
        <w:tc>
          <w:tcPr>
            <w:tcW w:w="2575" w:type="dxa"/>
            <w:tcBorders>
              <w:bottom w:val="single" w:color="000000" w:sz="10" w:space="0"/>
            </w:tcBorders>
            <w:vAlign w:val="top"/>
          </w:tcPr>
          <w:p w14:paraId="2096CD8C">
            <w:pPr>
              <w:spacing w:before="144" w:line="214" w:lineRule="auto"/>
              <w:ind w:left="277"/>
              <w:rPr>
                <w:rFonts w:ascii="Times New Roman" w:hAnsi="Times New Roman" w:eastAsia="Times New Roman" w:cs="Times New Roman"/>
                <w:sz w:val="18"/>
                <w:szCs w:val="18"/>
              </w:rPr>
            </w:pPr>
            <w:r>
              <w:rPr>
                <w:rFonts w:ascii="FangSong_GB2312" w:hAnsi="FangSong_GB2312" w:eastAsia="FangSong_GB2312" w:cs="FangSong_GB2312"/>
                <w:sz w:val="18"/>
                <w:szCs w:val="18"/>
              </w:rPr>
              <w:t>参照</w:t>
            </w:r>
            <w:r>
              <w:rPr>
                <w:rFonts w:ascii="FangSong_GB2312" w:hAnsi="FangSong_GB2312" w:eastAsia="FangSong_GB2312" w:cs="FangSong_GB2312"/>
                <w:spacing w:val="-31"/>
                <w:sz w:val="18"/>
                <w:szCs w:val="18"/>
              </w:rPr>
              <w:t xml:space="preserve"> </w:t>
            </w:r>
            <w:r>
              <w:rPr>
                <w:rFonts w:ascii="Times New Roman" w:hAnsi="Times New Roman" w:eastAsia="Times New Roman" w:cs="Times New Roman"/>
                <w:sz w:val="18"/>
                <w:szCs w:val="18"/>
              </w:rPr>
              <w:t>SL773-2018“6.2.8</w:t>
            </w:r>
            <w:r>
              <w:rPr>
                <w:rFonts w:ascii="Times New Roman" w:hAnsi="Times New Roman" w:eastAsia="Times New Roman" w:cs="Times New Roman"/>
                <w:spacing w:val="12"/>
                <w:w w:val="101"/>
                <w:sz w:val="18"/>
                <w:szCs w:val="18"/>
              </w:rPr>
              <w:t xml:space="preserve"> </w:t>
            </w:r>
            <w:r>
              <w:rPr>
                <w:rFonts w:ascii="FangSong_GB2312" w:hAnsi="FangSong_GB2312" w:eastAsia="FangSong_GB2312" w:cs="FangSong_GB2312"/>
                <w:sz w:val="18"/>
                <w:szCs w:val="18"/>
              </w:rPr>
              <w:t>节</w:t>
            </w:r>
            <w:r>
              <w:rPr>
                <w:rFonts w:ascii="Times New Roman" w:hAnsi="Times New Roman" w:eastAsia="Times New Roman" w:cs="Times New Roman"/>
                <w:sz w:val="18"/>
                <w:szCs w:val="18"/>
              </w:rPr>
              <w:t>”</w:t>
            </w:r>
          </w:p>
        </w:tc>
        <w:tc>
          <w:tcPr>
            <w:tcW w:w="979" w:type="dxa"/>
            <w:tcBorders>
              <w:bottom w:val="single" w:color="000000" w:sz="10" w:space="0"/>
              <w:right w:val="single" w:color="000000" w:sz="10" w:space="0"/>
            </w:tcBorders>
            <w:vAlign w:val="top"/>
          </w:tcPr>
          <w:p w14:paraId="2EAAEAC9">
            <w:pPr>
              <w:spacing w:before="172" w:line="188" w:lineRule="auto"/>
              <w:ind w:left="46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bl>
    <w:p w14:paraId="31C23989">
      <w:pPr>
        <w:spacing w:before="152" w:line="222" w:lineRule="auto"/>
        <w:ind w:left="552"/>
        <w:rPr>
          <w:rFonts w:ascii="FangSong_GB2312" w:hAnsi="FangSong_GB2312" w:eastAsia="FangSong_GB2312" w:cs="FangSong_GB2312"/>
          <w:sz w:val="20"/>
          <w:szCs w:val="20"/>
        </w:rPr>
      </w:pPr>
      <w:r>
        <w:rPr>
          <w:rFonts w:ascii="FangSong_GB2312" w:hAnsi="FangSong_GB2312" w:eastAsia="FangSong_GB2312" w:cs="FangSong_GB2312"/>
          <w:b/>
          <w:bCs/>
          <w:spacing w:val="8"/>
          <w:sz w:val="20"/>
          <w:szCs w:val="20"/>
        </w:rPr>
        <w:t>注：上表计算结果为自然恢复期土壤侵蚀模数平均值</w:t>
      </w:r>
    </w:p>
    <w:p w14:paraId="2576C0B6">
      <w:pPr>
        <w:spacing w:before="178" w:line="214" w:lineRule="auto"/>
        <w:ind w:left="126"/>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4.3.4 </w:t>
      </w:r>
      <w:r>
        <w:rPr>
          <w:rFonts w:ascii="FangSong_GB2312" w:hAnsi="FangSong_GB2312" w:eastAsia="FangSong_GB2312" w:cs="FangSong_GB2312"/>
          <w:b/>
          <w:bCs/>
          <w:spacing w:val="-2"/>
          <w:sz w:val="28"/>
          <w:szCs w:val="28"/>
        </w:rPr>
        <w:t>调查结果</w:t>
      </w:r>
    </w:p>
    <w:p w14:paraId="621CE80A">
      <w:pPr>
        <w:pStyle w:val="2"/>
        <w:spacing w:line="254" w:lineRule="auto"/>
      </w:pPr>
    </w:p>
    <w:p w14:paraId="0071EB80">
      <w:pPr>
        <w:spacing w:before="78" w:line="359" w:lineRule="auto"/>
        <w:ind w:left="127" w:right="118" w:firstLine="479"/>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根据调查与预测时段、土壤侵蚀模数、水土流失面积等，对施工期、</w:t>
      </w:r>
      <w:r>
        <w:rPr>
          <w:rFonts w:ascii="FangSong_GB2312" w:hAnsi="FangSong_GB2312" w:eastAsia="FangSong_GB2312" w:cs="FangSong_GB2312"/>
          <w:spacing w:val="-60"/>
          <w:sz w:val="24"/>
          <w:szCs w:val="24"/>
        </w:rPr>
        <w:t xml:space="preserve"> </w:t>
      </w:r>
      <w:r>
        <w:rPr>
          <w:rFonts w:ascii="FangSong_GB2312" w:hAnsi="FangSong_GB2312" w:eastAsia="FangSong_GB2312" w:cs="FangSong_GB2312"/>
          <w:spacing w:val="-2"/>
          <w:sz w:val="24"/>
          <w:szCs w:val="24"/>
        </w:rPr>
        <w:t>自然恢复期</w:t>
      </w:r>
      <w:r>
        <w:rPr>
          <w:rFonts w:ascii="FangSong_GB2312" w:hAnsi="FangSong_GB2312" w:eastAsia="FangSong_GB2312" w:cs="FangSong_GB2312"/>
          <w:sz w:val="24"/>
          <w:szCs w:val="24"/>
        </w:rPr>
        <w:t>水土流失量分别进行定量计算，当调查与预测单元土壤侵蚀</w:t>
      </w:r>
      <w:r>
        <w:rPr>
          <w:rFonts w:ascii="FangSong_GB2312" w:hAnsi="FangSong_GB2312" w:eastAsia="FangSong_GB2312" w:cs="FangSong_GB2312"/>
          <w:spacing w:val="-1"/>
          <w:sz w:val="24"/>
          <w:szCs w:val="24"/>
        </w:rPr>
        <w:t>强度恢复到原地貌土壤侵</w:t>
      </w:r>
      <w:r>
        <w:rPr>
          <w:rFonts w:ascii="FangSong_GB2312" w:hAnsi="FangSong_GB2312" w:eastAsia="FangSong_GB2312" w:cs="FangSong_GB2312"/>
          <w:sz w:val="24"/>
          <w:szCs w:val="24"/>
        </w:rPr>
        <w:t>蚀模数以下时，不再计算。本项目区水土流失类型主要为水</w:t>
      </w:r>
      <w:r>
        <w:rPr>
          <w:rFonts w:ascii="FangSong_GB2312" w:hAnsi="FangSong_GB2312" w:eastAsia="FangSong_GB2312" w:cs="FangSong_GB2312"/>
          <w:spacing w:val="-1"/>
          <w:sz w:val="24"/>
          <w:szCs w:val="24"/>
        </w:rPr>
        <w:t>力侵蚀，水土流失调查与</w:t>
      </w:r>
      <w:r>
        <w:rPr>
          <w:rFonts w:ascii="FangSong_GB2312" w:hAnsi="FangSong_GB2312" w:eastAsia="FangSong_GB2312" w:cs="FangSong_GB2312"/>
          <w:spacing w:val="-3"/>
          <w:sz w:val="24"/>
          <w:szCs w:val="24"/>
        </w:rPr>
        <w:t>预测采用《生产建设项目水土保持技术标准》（</w:t>
      </w:r>
      <w:r>
        <w:rPr>
          <w:rFonts w:ascii="Times New Roman" w:hAnsi="Times New Roman" w:eastAsia="Times New Roman" w:cs="Times New Roman"/>
          <w:spacing w:val="-3"/>
          <w:sz w:val="24"/>
          <w:szCs w:val="24"/>
        </w:rPr>
        <w:t>GB 50433-2018</w:t>
      </w:r>
      <w:r>
        <w:rPr>
          <w:rFonts w:ascii="FangSong_GB2312" w:hAnsi="FangSong_GB2312" w:eastAsia="FangSong_GB2312" w:cs="FangSong_GB2312"/>
          <w:spacing w:val="-3"/>
          <w:sz w:val="24"/>
          <w:szCs w:val="24"/>
        </w:rPr>
        <w:t>）推荐的经验公式进行</w:t>
      </w:r>
      <w:r>
        <w:rPr>
          <w:rFonts w:ascii="FangSong_GB2312" w:hAnsi="FangSong_GB2312" w:eastAsia="FangSong_GB2312" w:cs="FangSong_GB2312"/>
          <w:spacing w:val="-1"/>
          <w:sz w:val="24"/>
          <w:szCs w:val="24"/>
        </w:rPr>
        <w:t>计算预测，水土流失量计算公式如下：</w:t>
      </w:r>
    </w:p>
    <w:p w14:paraId="53B01D6E">
      <w:pPr>
        <w:spacing w:before="47" w:line="733" w:lineRule="exact"/>
        <w:ind w:left="786"/>
      </w:pPr>
      <w:r>
        <w:rPr>
          <w:position w:val="-15"/>
        </w:rPr>
        <w:drawing>
          <wp:inline distT="0" distB="0" distL="0" distR="0">
            <wp:extent cx="2357755" cy="46545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5"/>
                    <a:stretch>
                      <a:fillRect/>
                    </a:stretch>
                  </pic:blipFill>
                  <pic:spPr>
                    <a:xfrm>
                      <a:off x="0" y="0"/>
                      <a:ext cx="2357903" cy="465475"/>
                    </a:xfrm>
                    <a:prstGeom prst="rect">
                      <a:avLst/>
                    </a:prstGeom>
                  </pic:spPr>
                </pic:pic>
              </a:graphicData>
            </a:graphic>
          </wp:inline>
        </w:drawing>
      </w:r>
    </w:p>
    <w:p w14:paraId="29DEA8FB">
      <w:pPr>
        <w:pStyle w:val="2"/>
        <w:spacing w:line="273" w:lineRule="auto"/>
      </w:pPr>
    </w:p>
    <w:p w14:paraId="26822FA9">
      <w:pPr>
        <w:spacing w:line="733" w:lineRule="exact"/>
        <w:ind w:left="663"/>
      </w:pPr>
      <w:r>
        <w:rPr>
          <w:position w:val="-15"/>
        </w:rPr>
        <w:drawing>
          <wp:inline distT="0" distB="0" distL="0" distR="0">
            <wp:extent cx="2444750" cy="46545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6"/>
                    <a:stretch>
                      <a:fillRect/>
                    </a:stretch>
                  </pic:blipFill>
                  <pic:spPr>
                    <a:xfrm>
                      <a:off x="0" y="0"/>
                      <a:ext cx="2445190" cy="465475"/>
                    </a:xfrm>
                    <a:prstGeom prst="rect">
                      <a:avLst/>
                    </a:prstGeom>
                  </pic:spPr>
                </pic:pic>
              </a:graphicData>
            </a:graphic>
          </wp:inline>
        </w:drawing>
      </w:r>
    </w:p>
    <w:p w14:paraId="6C6BB573">
      <w:pPr>
        <w:spacing w:before="231" w:line="683" w:lineRule="exact"/>
        <w:ind w:left="638"/>
      </w:pPr>
      <w:r>
        <w:rPr>
          <w:position w:val="-14"/>
        </w:rPr>
        <w:drawing>
          <wp:inline distT="0" distB="0" distL="0" distR="0">
            <wp:extent cx="2469515" cy="4337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7"/>
                    <a:stretch>
                      <a:fillRect/>
                    </a:stretch>
                  </pic:blipFill>
                  <pic:spPr>
                    <a:xfrm>
                      <a:off x="0" y="0"/>
                      <a:ext cx="2469899" cy="434085"/>
                    </a:xfrm>
                    <a:prstGeom prst="rect">
                      <a:avLst/>
                    </a:prstGeom>
                  </pic:spPr>
                </pic:pic>
              </a:graphicData>
            </a:graphic>
          </wp:inline>
        </w:drawing>
      </w:r>
    </w:p>
    <w:p w14:paraId="0BBD395E">
      <w:pPr>
        <w:spacing w:before="227" w:line="214" w:lineRule="auto"/>
        <w:ind w:left="626"/>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式中：</w:t>
      </w:r>
      <w:r>
        <w:rPr>
          <w:rFonts w:ascii="Times New Roman" w:hAnsi="Times New Roman" w:eastAsia="Times New Roman" w:cs="Times New Roman"/>
          <w:spacing w:val="-2"/>
          <w:sz w:val="24"/>
          <w:szCs w:val="24"/>
        </w:rPr>
        <w:t>W——</w:t>
      </w:r>
      <w:r>
        <w:rPr>
          <w:rFonts w:ascii="FangSong_GB2312" w:hAnsi="FangSong_GB2312" w:eastAsia="FangSong_GB2312" w:cs="FangSong_GB2312"/>
          <w:spacing w:val="-2"/>
          <w:sz w:val="24"/>
          <w:szCs w:val="24"/>
        </w:rPr>
        <w:t>扰动地表土壤流失量，</w:t>
      </w:r>
      <w:r>
        <w:rPr>
          <w:rFonts w:ascii="Times New Roman" w:hAnsi="Times New Roman" w:eastAsia="Times New Roman" w:cs="Times New Roman"/>
          <w:spacing w:val="-2"/>
          <w:sz w:val="24"/>
          <w:szCs w:val="24"/>
        </w:rPr>
        <w:t>t</w:t>
      </w:r>
      <w:r>
        <w:rPr>
          <w:rFonts w:ascii="FangSong_GB2312" w:hAnsi="FangSong_GB2312" w:eastAsia="FangSong_GB2312" w:cs="FangSong_GB2312"/>
          <w:spacing w:val="-2"/>
          <w:sz w:val="24"/>
          <w:szCs w:val="24"/>
        </w:rPr>
        <w:t>；</w:t>
      </w:r>
    </w:p>
    <w:p w14:paraId="29C93C0F">
      <w:pPr>
        <w:spacing w:before="187" w:line="214" w:lineRule="auto"/>
        <w:ind w:left="565"/>
        <w:rPr>
          <w:rFonts w:ascii="FangSong_GB2312" w:hAnsi="FangSong_GB2312" w:eastAsia="FangSong_GB2312" w:cs="FangSong_GB2312"/>
          <w:sz w:val="24"/>
          <w:szCs w:val="24"/>
        </w:rPr>
      </w:pPr>
      <w:r>
        <w:rPr>
          <w:rFonts w:ascii="Times New Roman" w:hAnsi="Times New Roman" w:eastAsia="Times New Roman" w:cs="Times New Roman"/>
          <w:sz w:val="24"/>
          <w:szCs w:val="24"/>
        </w:rPr>
        <w:drawing>
          <wp:inline distT="0" distB="0" distL="0" distR="0">
            <wp:extent cx="94615" cy="1168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8"/>
                    <a:stretch>
                      <a:fillRect/>
                    </a:stretch>
                  </pic:blipFill>
                  <pic:spPr>
                    <a:xfrm>
                      <a:off x="0" y="0"/>
                      <a:ext cx="95046" cy="117233"/>
                    </a:xfrm>
                    <a:prstGeom prst="rect">
                      <a:avLst/>
                    </a:prstGeom>
                  </pic:spPr>
                </pic:pic>
              </a:graphicData>
            </a:graphic>
          </wp:inline>
        </w:drawing>
      </w:r>
      <w:r>
        <w:rPr>
          <w:rFonts w:ascii="Times New Roman" w:hAnsi="Times New Roman" w:eastAsia="Times New Roman" w:cs="Times New Roman"/>
          <w:spacing w:val="-1"/>
          <w:sz w:val="24"/>
          <w:szCs w:val="24"/>
        </w:rPr>
        <w:t>W——</w:t>
      </w:r>
      <w:r>
        <w:rPr>
          <w:rFonts w:ascii="FangSong_GB2312" w:hAnsi="FangSong_GB2312" w:eastAsia="FangSong_GB2312" w:cs="FangSong_GB2312"/>
          <w:spacing w:val="-1"/>
          <w:sz w:val="24"/>
          <w:szCs w:val="24"/>
        </w:rPr>
        <w:t>扰动地表新增土壤流失量，</w:t>
      </w:r>
      <w:r>
        <w:rPr>
          <w:rFonts w:ascii="Times New Roman" w:hAnsi="Times New Roman" w:eastAsia="Times New Roman" w:cs="Times New Roman"/>
          <w:spacing w:val="-1"/>
          <w:sz w:val="24"/>
          <w:szCs w:val="24"/>
        </w:rPr>
        <w:t>t</w:t>
      </w:r>
      <w:r>
        <w:rPr>
          <w:rFonts w:ascii="FangSong_GB2312" w:hAnsi="FangSong_GB2312" w:eastAsia="FangSong_GB2312" w:cs="FangSong_GB2312"/>
          <w:spacing w:val="-1"/>
          <w:sz w:val="24"/>
          <w:szCs w:val="24"/>
        </w:rPr>
        <w:t>；</w:t>
      </w:r>
    </w:p>
    <w:p w14:paraId="1B1A5CBE">
      <w:pPr>
        <w:spacing w:before="191" w:line="214" w:lineRule="auto"/>
        <w:ind w:left="606"/>
        <w:rPr>
          <w:rFonts w:ascii="FangSong_GB2312" w:hAnsi="FangSong_GB2312" w:eastAsia="FangSong_GB2312" w:cs="FangSong_GB2312"/>
          <w:sz w:val="24"/>
          <w:szCs w:val="24"/>
        </w:rPr>
      </w:pPr>
      <w:r>
        <w:rPr>
          <w:rFonts w:ascii="Times New Roman" w:hAnsi="Times New Roman" w:eastAsia="Times New Roman" w:cs="Times New Roman"/>
          <w:spacing w:val="-13"/>
          <w:sz w:val="24"/>
          <w:szCs w:val="24"/>
        </w:rPr>
        <w:t>i ——</w:t>
      </w:r>
      <w:r>
        <w:rPr>
          <w:rFonts w:ascii="FangSong_GB2312" w:hAnsi="FangSong_GB2312" w:eastAsia="FangSong_GB2312" w:cs="FangSong_GB2312"/>
          <w:spacing w:val="-13"/>
          <w:sz w:val="24"/>
          <w:szCs w:val="24"/>
        </w:rPr>
        <w:t>调查单元，</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pacing w:val="-13"/>
          <w:sz w:val="24"/>
          <w:szCs w:val="24"/>
        </w:rPr>
        <w:t>，</w:t>
      </w:r>
      <w:r>
        <w:rPr>
          <w:rFonts w:ascii="Times New Roman" w:hAnsi="Times New Roman" w:eastAsia="Times New Roman" w:cs="Times New Roman"/>
          <w:spacing w:val="-13"/>
          <w:sz w:val="24"/>
          <w:szCs w:val="24"/>
        </w:rPr>
        <w:t>2</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3"/>
          <w:sz w:val="24"/>
          <w:szCs w:val="24"/>
        </w:rPr>
        <w:t>，</w:t>
      </w:r>
      <w:r>
        <w:rPr>
          <w:rFonts w:ascii="Times New Roman" w:hAnsi="Times New Roman" w:eastAsia="Times New Roman" w:cs="Times New Roman"/>
          <w:spacing w:val="-13"/>
          <w:sz w:val="24"/>
          <w:szCs w:val="24"/>
        </w:rPr>
        <w:t>3</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3"/>
          <w:sz w:val="24"/>
          <w:szCs w:val="24"/>
        </w:rPr>
        <w:t>，</w:t>
      </w:r>
      <w:r>
        <w:rPr>
          <w:rFonts w:ascii="FangSong_GB2312" w:hAnsi="FangSong_GB2312" w:eastAsia="FangSong_GB2312" w:cs="FangSong_GB2312"/>
          <w:spacing w:val="-93"/>
          <w:sz w:val="24"/>
          <w:szCs w:val="24"/>
        </w:rPr>
        <w:t xml:space="preserve"> </w:t>
      </w:r>
      <w:r>
        <w:rPr>
          <w:rFonts w:ascii="Times New Roman" w:hAnsi="Times New Roman" w:eastAsia="Times New Roman" w:cs="Times New Roman"/>
          <w:spacing w:val="-13"/>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3"/>
          <w:sz w:val="24"/>
          <w:szCs w:val="24"/>
        </w:rPr>
        <w:t>…</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13"/>
          <w:sz w:val="24"/>
          <w:szCs w:val="24"/>
        </w:rPr>
        <w:t>,</w:t>
      </w:r>
      <w:r>
        <w:rPr>
          <w:rFonts w:ascii="FangSong_GB2312" w:hAnsi="FangSong_GB2312" w:eastAsia="FangSong_GB2312" w:cs="FangSong_GB2312"/>
          <w:spacing w:val="28"/>
          <w:sz w:val="24"/>
          <w:szCs w:val="24"/>
        </w:rPr>
        <w:t xml:space="preserve">  </w:t>
      </w:r>
      <w:r>
        <w:rPr>
          <w:rFonts w:ascii="Times New Roman" w:hAnsi="Times New Roman" w:eastAsia="Times New Roman" w:cs="Times New Roman"/>
          <w:spacing w:val="-13"/>
          <w:sz w:val="24"/>
          <w:szCs w:val="24"/>
        </w:rPr>
        <w:t>n</w:t>
      </w:r>
      <w:r>
        <w:rPr>
          <w:rFonts w:ascii="FangSong_GB2312" w:hAnsi="FangSong_GB2312" w:eastAsia="FangSong_GB2312" w:cs="FangSong_GB2312"/>
          <w:spacing w:val="-13"/>
          <w:sz w:val="24"/>
          <w:szCs w:val="24"/>
        </w:rPr>
        <w:t>；</w:t>
      </w:r>
    </w:p>
    <w:p w14:paraId="3174F81D">
      <w:pPr>
        <w:spacing w:before="186" w:line="214" w:lineRule="auto"/>
        <w:ind w:left="601"/>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k ——</w:t>
      </w:r>
      <w:r>
        <w:rPr>
          <w:rFonts w:ascii="FangSong_GB2312" w:hAnsi="FangSong_GB2312" w:eastAsia="FangSong_GB2312" w:cs="FangSong_GB2312"/>
          <w:spacing w:val="-3"/>
          <w:sz w:val="24"/>
          <w:szCs w:val="24"/>
        </w:rPr>
        <w:t>调查时段，</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，指施工准备期、施工期和</w:t>
      </w:r>
      <w:r>
        <w:rPr>
          <w:rFonts w:ascii="FangSong_GB2312" w:hAnsi="FangSong_GB2312" w:eastAsia="FangSong_GB2312" w:cs="FangSong_GB2312"/>
          <w:spacing w:val="-4"/>
          <w:sz w:val="24"/>
          <w:szCs w:val="24"/>
        </w:rPr>
        <w:t>自然恢复期；</w:t>
      </w:r>
    </w:p>
    <w:p w14:paraId="381B02EC">
      <w:pPr>
        <w:spacing w:before="191" w:line="214" w:lineRule="auto"/>
        <w:ind w:left="603"/>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Fi ——</w:t>
      </w:r>
      <w:r>
        <w:rPr>
          <w:rFonts w:ascii="FangSong_GB2312" w:hAnsi="FangSong_GB2312" w:eastAsia="FangSong_GB2312" w:cs="FangSong_GB2312"/>
          <w:spacing w:val="-1"/>
          <w:sz w:val="24"/>
          <w:szCs w:val="24"/>
        </w:rPr>
        <w:t>第</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1"/>
          <w:sz w:val="24"/>
          <w:szCs w:val="24"/>
        </w:rPr>
        <w:t xml:space="preserve">i </w:t>
      </w:r>
      <w:r>
        <w:rPr>
          <w:rFonts w:ascii="FangSong_GB2312" w:hAnsi="FangSong_GB2312" w:eastAsia="FangSong_GB2312" w:cs="FangSong_GB2312"/>
          <w:spacing w:val="-1"/>
          <w:sz w:val="24"/>
          <w:szCs w:val="24"/>
        </w:rPr>
        <w:t>个调查单元的水土流失面积，</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1"/>
          <w:position w:val="8"/>
          <w:sz w:val="15"/>
          <w:szCs w:val="15"/>
        </w:rPr>
        <w:t>2</w:t>
      </w:r>
      <w:r>
        <w:rPr>
          <w:rFonts w:ascii="FangSong_GB2312" w:hAnsi="FangSong_GB2312" w:eastAsia="FangSong_GB2312" w:cs="FangSong_GB2312"/>
          <w:spacing w:val="-1"/>
          <w:sz w:val="24"/>
          <w:szCs w:val="24"/>
        </w:rPr>
        <w:t>；</w:t>
      </w:r>
    </w:p>
    <w:p w14:paraId="18A3524F">
      <w:pPr>
        <w:spacing w:before="187" w:line="214" w:lineRule="auto"/>
        <w:ind w:left="603"/>
        <w:rPr>
          <w:rFonts w:ascii="FangSong_GB2312" w:hAnsi="FangSong_GB2312" w:eastAsia="FangSong_GB2312" w:cs="FangSong_GB2312"/>
          <w:sz w:val="24"/>
          <w:szCs w:val="24"/>
        </w:rPr>
      </w:pPr>
      <w:r>
        <w:rPr>
          <w:rFonts w:ascii="Times New Roman" w:hAnsi="Times New Roman" w:eastAsia="Times New Roman" w:cs="Times New Roman"/>
          <w:sz w:val="24"/>
          <w:szCs w:val="24"/>
        </w:rPr>
        <w:t>Mik——</w:t>
      </w:r>
      <w:r>
        <w:rPr>
          <w:rFonts w:ascii="FangSong_GB2312" w:hAnsi="FangSong_GB2312" w:eastAsia="FangSong_GB2312" w:cs="FangSong_GB2312"/>
          <w:sz w:val="24"/>
          <w:szCs w:val="24"/>
        </w:rPr>
        <w:t>扰动后不同单元不同时段土壤侵蚀模数，</w:t>
      </w:r>
      <w:r>
        <w:rPr>
          <w:rFonts w:ascii="Times New Roman" w:hAnsi="Times New Roman" w:eastAsia="Times New Roman" w:cs="Times New Roman"/>
          <w:sz w:val="24"/>
          <w:szCs w:val="24"/>
        </w:rPr>
        <w:t>t/</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k</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.a</w:t>
      </w:r>
      <w:r>
        <w:rPr>
          <w:rFonts w:ascii="FangSong_GB2312" w:hAnsi="FangSong_GB2312" w:eastAsia="FangSong_GB2312" w:cs="FangSong_GB2312"/>
          <w:spacing w:val="-1"/>
          <w:sz w:val="24"/>
          <w:szCs w:val="24"/>
        </w:rPr>
        <w:t>）；</w:t>
      </w:r>
    </w:p>
    <w:p w14:paraId="57013994">
      <w:pPr>
        <w:spacing w:before="190" w:line="358" w:lineRule="auto"/>
        <w:ind w:left="134" w:right="118" w:firstLine="508"/>
        <w:rPr>
          <w:rFonts w:ascii="FangSong_GB2312" w:hAnsi="FangSong_GB2312" w:eastAsia="FangSong_GB2312" w:cs="FangSong_GB2312"/>
          <w:sz w:val="24"/>
          <w:szCs w:val="24"/>
        </w:rPr>
      </w:pPr>
      <w:r>
        <w:rPr>
          <w:rFonts w:ascii="Times New Roman" w:hAnsi="Times New Roman" w:eastAsia="Times New Roman" w:cs="Times New Roman"/>
          <w:sz w:val="24"/>
          <w:szCs w:val="24"/>
        </w:rPr>
        <w:drawing>
          <wp:inline distT="0" distB="0" distL="0" distR="0">
            <wp:extent cx="94615" cy="11684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9"/>
                    <a:stretch>
                      <a:fillRect/>
                    </a:stretch>
                  </pic:blipFill>
                  <pic:spPr>
                    <a:xfrm>
                      <a:off x="0" y="0"/>
                      <a:ext cx="95046" cy="117233"/>
                    </a:xfrm>
                    <a:prstGeom prst="rect">
                      <a:avLst/>
                    </a:prstGeom>
                  </pic:spPr>
                </pic:pic>
              </a:graphicData>
            </a:graphic>
          </wp:inline>
        </w:drawing>
      </w:r>
      <w:r>
        <w:rPr>
          <w:rFonts w:ascii="Times New Roman" w:hAnsi="Times New Roman" w:eastAsia="Times New Roman" w:cs="Times New Roman"/>
          <w:sz w:val="24"/>
          <w:szCs w:val="24"/>
        </w:rPr>
        <w:t>Mik——</w:t>
      </w:r>
      <w:r>
        <w:rPr>
          <w:rFonts w:ascii="FangSong_GB2312" w:hAnsi="FangSong_GB2312" w:eastAsia="FangSong_GB2312" w:cs="FangSong_GB2312"/>
          <w:sz w:val="24"/>
          <w:szCs w:val="24"/>
        </w:rPr>
        <w:t>不同单元各时段新增土壤侵蚀模</w:t>
      </w:r>
      <w:r>
        <w:rPr>
          <w:rFonts w:ascii="FangSong_GB2312" w:hAnsi="FangSong_GB2312" w:eastAsia="FangSong_GB2312" w:cs="FangSong_GB2312"/>
          <w:spacing w:val="-1"/>
          <w:sz w:val="24"/>
          <w:szCs w:val="24"/>
        </w:rPr>
        <w:t>数，</w:t>
      </w:r>
      <w:r>
        <w:rPr>
          <w:rFonts w:ascii="Times New Roman" w:hAnsi="Times New Roman" w:eastAsia="Times New Roman" w:cs="Times New Roman"/>
          <w:spacing w:val="-1"/>
          <w:sz w:val="24"/>
          <w:szCs w:val="24"/>
        </w:rPr>
        <w:t>t/</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.a</w:t>
      </w:r>
      <w:r>
        <w:rPr>
          <w:rFonts w:ascii="FangSong_GB2312" w:hAnsi="FangSong_GB2312" w:eastAsia="FangSong_GB2312" w:cs="FangSong_GB2312"/>
          <w:spacing w:val="-5"/>
          <w:sz w:val="24"/>
          <w:szCs w:val="24"/>
        </w:rPr>
        <w:t>），</w:t>
      </w:r>
      <w:r>
        <w:rPr>
          <w:rFonts w:ascii="FangSong_GB2312" w:hAnsi="FangSong_GB2312" w:eastAsia="FangSong_GB2312" w:cs="FangSong_GB2312"/>
          <w:spacing w:val="-1"/>
          <w:sz w:val="24"/>
          <w:szCs w:val="24"/>
        </w:rPr>
        <w:t>只计正值，负值按</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1"/>
          <w:sz w:val="24"/>
          <w:szCs w:val="24"/>
        </w:rPr>
        <w:t>0</w:t>
      </w:r>
      <w:r>
        <w:rPr>
          <w:rFonts w:ascii="FangSong_GB2312" w:hAnsi="FangSong_GB2312" w:eastAsia="FangSong_GB2312" w:cs="FangSong_GB2312"/>
          <w:spacing w:val="-8"/>
          <w:sz w:val="24"/>
          <w:szCs w:val="24"/>
        </w:rPr>
        <w:t>计；</w:t>
      </w:r>
    </w:p>
    <w:p w14:paraId="2A6ED479">
      <w:pPr>
        <w:spacing w:before="2" w:line="214" w:lineRule="auto"/>
        <w:ind w:left="603"/>
        <w:rPr>
          <w:rFonts w:ascii="FangSong_GB2312" w:hAnsi="FangSong_GB2312" w:eastAsia="FangSong_GB2312" w:cs="FangSong_GB2312"/>
          <w:sz w:val="24"/>
          <w:szCs w:val="24"/>
        </w:rPr>
      </w:pPr>
      <w:r>
        <w:rPr>
          <w:rFonts w:ascii="Times New Roman" w:hAnsi="Times New Roman" w:eastAsia="Times New Roman" w:cs="Times New Roman"/>
          <w:sz w:val="24"/>
          <w:szCs w:val="24"/>
        </w:rPr>
        <w:t>Mi0 ——</w:t>
      </w:r>
      <w:r>
        <w:rPr>
          <w:rFonts w:ascii="FangSong_GB2312" w:hAnsi="FangSong_GB2312" w:eastAsia="FangSong_GB2312" w:cs="FangSong_GB2312"/>
          <w:sz w:val="24"/>
          <w:szCs w:val="24"/>
        </w:rPr>
        <w:t>不同调查单元土壤侵蚀模数背景值，</w:t>
      </w:r>
      <w:r>
        <w:rPr>
          <w:rFonts w:ascii="Times New Roman" w:hAnsi="Times New Roman" w:eastAsia="Times New Roman" w:cs="Times New Roman"/>
          <w:sz w:val="24"/>
          <w:szCs w:val="24"/>
        </w:rPr>
        <w:t>t/</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k</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.a</w:t>
      </w:r>
      <w:r>
        <w:rPr>
          <w:rFonts w:ascii="FangSong_GB2312" w:hAnsi="FangSong_GB2312" w:eastAsia="FangSong_GB2312" w:cs="FangSong_GB2312"/>
          <w:spacing w:val="-1"/>
          <w:sz w:val="24"/>
          <w:szCs w:val="24"/>
        </w:rPr>
        <w:t>）；</w:t>
      </w:r>
    </w:p>
    <w:p w14:paraId="68F1D6E3">
      <w:pPr>
        <w:spacing w:before="190" w:line="215" w:lineRule="auto"/>
        <w:ind w:left="606"/>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Ti</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调查时段（扰动时段</w:t>
      </w:r>
      <w:r>
        <w:rPr>
          <w:rFonts w:ascii="FangSong_GB2312" w:hAnsi="FangSong_GB2312" w:eastAsia="FangSong_GB2312" w:cs="FangSong_GB2312"/>
          <w:spacing w:val="9"/>
          <w:sz w:val="24"/>
          <w:szCs w:val="24"/>
        </w:rPr>
        <w:t>），</w:t>
      </w:r>
      <w:r>
        <w:rPr>
          <w:rFonts w:ascii="Times New Roman" w:hAnsi="Times New Roman" w:eastAsia="Times New Roman" w:cs="Times New Roman"/>
          <w:spacing w:val="-2"/>
          <w:sz w:val="24"/>
          <w:szCs w:val="24"/>
        </w:rPr>
        <w:t>a</w:t>
      </w:r>
      <w:r>
        <w:rPr>
          <w:rFonts w:ascii="FangSong_GB2312" w:hAnsi="FangSong_GB2312" w:eastAsia="FangSong_GB2312" w:cs="FangSong_GB2312"/>
          <w:spacing w:val="-2"/>
          <w:sz w:val="24"/>
          <w:szCs w:val="24"/>
        </w:rPr>
        <w:t>。</w:t>
      </w:r>
    </w:p>
    <w:p w14:paraId="0C4F1657">
      <w:pPr>
        <w:spacing w:before="186" w:line="216" w:lineRule="auto"/>
        <w:ind w:left="61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项目区调查土壤流失量见表</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1"/>
          <w:sz w:val="24"/>
          <w:szCs w:val="24"/>
        </w:rPr>
        <w:t>4.4-5</w:t>
      </w:r>
      <w:r>
        <w:rPr>
          <w:rFonts w:ascii="FangSong_GB2312" w:hAnsi="FangSong_GB2312" w:eastAsia="FangSong_GB2312" w:cs="FangSong_GB2312"/>
          <w:spacing w:val="-1"/>
          <w:sz w:val="24"/>
          <w:szCs w:val="24"/>
        </w:rPr>
        <w:t>。</w:t>
      </w:r>
    </w:p>
    <w:p w14:paraId="2B1E5F86">
      <w:pPr>
        <w:pStyle w:val="2"/>
        <w:spacing w:line="262" w:lineRule="auto"/>
      </w:pPr>
    </w:p>
    <w:p w14:paraId="20EE417F">
      <w:pPr>
        <w:pStyle w:val="2"/>
        <w:spacing w:line="262" w:lineRule="auto"/>
      </w:pPr>
    </w:p>
    <w:p w14:paraId="7722140E">
      <w:pPr>
        <w:pStyle w:val="2"/>
        <w:spacing w:line="262" w:lineRule="auto"/>
      </w:pPr>
    </w:p>
    <w:p w14:paraId="1DD3AE0A">
      <w:pPr>
        <w:pStyle w:val="2"/>
        <w:spacing w:line="262" w:lineRule="auto"/>
      </w:pPr>
    </w:p>
    <w:p w14:paraId="2909F206">
      <w:pPr>
        <w:pStyle w:val="2"/>
        <w:spacing w:line="262" w:lineRule="auto"/>
      </w:pPr>
    </w:p>
    <w:p w14:paraId="1EFBA439">
      <w:pPr>
        <w:pStyle w:val="2"/>
        <w:spacing w:line="262" w:lineRule="auto"/>
      </w:pPr>
    </w:p>
    <w:p w14:paraId="4546EDFA">
      <w:pPr>
        <w:pStyle w:val="2"/>
        <w:spacing w:line="263" w:lineRule="auto"/>
      </w:pPr>
    </w:p>
    <w:p w14:paraId="7336CA55">
      <w:pPr>
        <w:spacing w:before="66" w:line="229" w:lineRule="auto"/>
        <w:ind w:left="5504"/>
        <w:rPr>
          <w:rFonts w:ascii="FangSong_GB2312" w:hAnsi="FangSong_GB2312" w:eastAsia="FangSong_GB2312" w:cs="FangSong_GB2312"/>
          <w:sz w:val="20"/>
          <w:szCs w:val="20"/>
        </w:rPr>
      </w:pPr>
      <w:r>
        <w:pict>
          <v:shape id="_x0000_s1068" o:spid="_x0000_s1068" o:spt="202" type="#_x0000_t202" style="position:absolute;left:0pt;margin-left:222.75pt;margin-top:3.05pt;height:10.15pt;width:10.7pt;z-index:251737088;mso-width-relative:page;mso-height-relative:page;" filled="f" stroked="f" coordsize="21600,21600">
            <v:path/>
            <v:fill on="f" focussize="0,0"/>
            <v:stroke on="f"/>
            <v:imagedata o:title=""/>
            <o:lock v:ext="edit" aspectratio="f"/>
            <v:textbox inset="0mm,0mm,0mm,0mm">
              <w:txbxContent>
                <w:p w14:paraId="1CE2CE1C">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txbxContent>
            </v:textbox>
          </v:shape>
        </w:pict>
      </w:r>
      <w:r>
        <w:rPr>
          <w:rFonts w:ascii="FangSong_GB2312" w:hAnsi="FangSong_GB2312" w:eastAsia="FangSong_GB2312" w:cs="FangSong_GB2312"/>
          <w:spacing w:val="8"/>
          <w:sz w:val="20"/>
          <w:szCs w:val="20"/>
        </w:rPr>
        <w:t>剑阁县绿森林业勘察设计有限公司</w:t>
      </w:r>
    </w:p>
    <w:p w14:paraId="7E072656">
      <w:pPr>
        <w:spacing w:line="229" w:lineRule="auto"/>
        <w:rPr>
          <w:rFonts w:ascii="FangSong_GB2312" w:hAnsi="FangSong_GB2312" w:eastAsia="FangSong_GB2312" w:cs="FangSong_GB2312"/>
          <w:sz w:val="20"/>
          <w:szCs w:val="20"/>
        </w:rPr>
        <w:sectPr>
          <w:pgSz w:w="11906" w:h="16839"/>
          <w:pgMar w:top="1159" w:right="1395" w:bottom="400" w:left="1394" w:header="831" w:footer="0" w:gutter="0"/>
          <w:cols w:space="720" w:num="1"/>
        </w:sectPr>
      </w:pPr>
    </w:p>
    <w:p w14:paraId="4D210C76">
      <w:pPr>
        <w:spacing w:before="198" w:line="222" w:lineRule="auto"/>
        <w:ind w:left="2855"/>
        <w:rPr>
          <w:rFonts w:ascii="FangSong_GB2312" w:hAnsi="FangSong_GB2312" w:eastAsia="FangSong_GB2312" w:cs="FangSong_GB2312"/>
          <w:sz w:val="20"/>
          <w:szCs w:val="20"/>
        </w:rPr>
      </w:pPr>
      <w:r>
        <w:rPr>
          <w:rFonts w:ascii="FangSong_GB2312" w:hAnsi="FangSong_GB2312" w:eastAsia="FangSong_GB2312" w:cs="FangSong_GB2312"/>
          <w:b/>
          <w:bCs/>
          <w:spacing w:val="3"/>
          <w:sz w:val="20"/>
          <w:szCs w:val="20"/>
        </w:rPr>
        <w:t>表</w:t>
      </w:r>
      <w:r>
        <w:rPr>
          <w:rFonts w:ascii="FangSong_GB2312" w:hAnsi="FangSong_GB2312" w:eastAsia="FangSong_GB2312" w:cs="FangSong_GB2312"/>
          <w:spacing w:val="-33"/>
          <w:sz w:val="20"/>
          <w:szCs w:val="20"/>
        </w:rPr>
        <w:t xml:space="preserve"> </w:t>
      </w:r>
      <w:r>
        <w:rPr>
          <w:rFonts w:ascii="Times New Roman" w:hAnsi="Times New Roman" w:eastAsia="Times New Roman" w:cs="Times New Roman"/>
          <w:b/>
          <w:bCs/>
          <w:spacing w:val="3"/>
          <w:sz w:val="20"/>
          <w:szCs w:val="20"/>
        </w:rPr>
        <w:t xml:space="preserve">4.4-5    </w:t>
      </w:r>
      <w:r>
        <w:rPr>
          <w:rFonts w:ascii="FangSong_GB2312" w:hAnsi="FangSong_GB2312" w:eastAsia="FangSong_GB2312" w:cs="FangSong_GB2312"/>
          <w:b/>
          <w:bCs/>
          <w:spacing w:val="3"/>
          <w:sz w:val="20"/>
          <w:szCs w:val="20"/>
        </w:rPr>
        <w:t>项</w:t>
      </w:r>
      <w:r>
        <w:rPr>
          <w:rFonts w:ascii="FangSong_GB2312" w:hAnsi="FangSong_GB2312" w:eastAsia="FangSong_GB2312" w:cs="FangSong_GB2312"/>
          <w:spacing w:val="-52"/>
          <w:sz w:val="20"/>
          <w:szCs w:val="20"/>
        </w:rPr>
        <w:t xml:space="preserve"> </w:t>
      </w:r>
      <w:r>
        <w:rPr>
          <w:rFonts w:ascii="FangSong_GB2312" w:hAnsi="FangSong_GB2312" w:eastAsia="FangSong_GB2312" w:cs="FangSong_GB2312"/>
          <w:b/>
          <w:bCs/>
          <w:spacing w:val="3"/>
          <w:sz w:val="20"/>
          <w:szCs w:val="20"/>
        </w:rPr>
        <w:t>目区土壤流失量计算表</w:t>
      </w:r>
    </w:p>
    <w:p w14:paraId="2589BE6B">
      <w:pPr>
        <w:spacing w:line="137" w:lineRule="exact"/>
      </w:pPr>
    </w:p>
    <w:tbl>
      <w:tblPr>
        <w:tblStyle w:val="6"/>
        <w:tblW w:w="8775"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3"/>
        <w:gridCol w:w="798"/>
        <w:gridCol w:w="1042"/>
        <w:gridCol w:w="1101"/>
        <w:gridCol w:w="947"/>
        <w:gridCol w:w="939"/>
        <w:gridCol w:w="936"/>
        <w:gridCol w:w="958"/>
        <w:gridCol w:w="951"/>
      </w:tblGrid>
      <w:tr w14:paraId="23123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103" w:type="dxa"/>
            <w:tcBorders>
              <w:top w:val="single" w:color="000000" w:sz="10" w:space="0"/>
              <w:left w:val="single" w:color="000000" w:sz="10" w:space="0"/>
            </w:tcBorders>
            <w:vAlign w:val="top"/>
          </w:tcPr>
          <w:p w14:paraId="6A30B926">
            <w:pPr>
              <w:spacing w:before="276" w:line="216" w:lineRule="auto"/>
              <w:ind w:left="18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调查单元</w:t>
            </w:r>
          </w:p>
        </w:tc>
        <w:tc>
          <w:tcPr>
            <w:tcW w:w="798" w:type="dxa"/>
            <w:tcBorders>
              <w:top w:val="single" w:color="000000" w:sz="10" w:space="0"/>
            </w:tcBorders>
            <w:vAlign w:val="top"/>
          </w:tcPr>
          <w:p w14:paraId="60C4674E">
            <w:pPr>
              <w:spacing w:before="162" w:line="243" w:lineRule="auto"/>
              <w:ind w:left="305" w:right="129" w:hanging="18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调查时</w:t>
            </w:r>
            <w:r>
              <w:rPr>
                <w:rFonts w:ascii="FangSong_GB2312" w:hAnsi="FangSong_GB2312" w:eastAsia="FangSong_GB2312" w:cs="FangSong_GB2312"/>
                <w:sz w:val="18"/>
                <w:szCs w:val="18"/>
              </w:rPr>
              <w:t>段</w:t>
            </w:r>
          </w:p>
        </w:tc>
        <w:tc>
          <w:tcPr>
            <w:tcW w:w="1042" w:type="dxa"/>
            <w:tcBorders>
              <w:top w:val="single" w:color="000000" w:sz="10" w:space="0"/>
            </w:tcBorders>
            <w:vAlign w:val="top"/>
          </w:tcPr>
          <w:p w14:paraId="0E99B1CB">
            <w:pPr>
              <w:spacing w:before="44" w:line="216" w:lineRule="auto"/>
              <w:ind w:left="15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土壤侵蚀</w:t>
            </w:r>
          </w:p>
          <w:p w14:paraId="5DF6D76D">
            <w:pPr>
              <w:spacing w:before="21" w:line="214" w:lineRule="auto"/>
              <w:ind w:left="25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背景值</w:t>
            </w:r>
          </w:p>
          <w:p w14:paraId="0AAE7592">
            <w:pPr>
              <w:spacing w:before="25" w:line="222" w:lineRule="auto"/>
              <w:ind w:left="9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w:t>
            </w:r>
            <w:r>
              <w:rPr>
                <w:rFonts w:ascii="Times New Roman" w:hAnsi="Times New Roman" w:eastAsia="Times New Roman" w:cs="Times New Roman"/>
                <w:spacing w:val="-3"/>
                <w:sz w:val="18"/>
                <w:szCs w:val="18"/>
              </w:rPr>
              <w:t>t/km</w:t>
            </w:r>
            <w:r>
              <w:rPr>
                <w:rFonts w:ascii="Times New Roman" w:hAnsi="Times New Roman" w:eastAsia="Times New Roman" w:cs="Times New Roman"/>
                <w:spacing w:val="-3"/>
                <w:position w:val="5"/>
                <w:sz w:val="11"/>
                <w:szCs w:val="11"/>
              </w:rPr>
              <w:t>2</w:t>
            </w:r>
            <w:r>
              <w:rPr>
                <w:rFonts w:ascii="Times New Roman" w:hAnsi="Times New Roman" w:eastAsia="Times New Roman" w:cs="Times New Roman"/>
                <w:spacing w:val="-6"/>
                <w:position w:val="5"/>
                <w:sz w:val="11"/>
                <w:szCs w:val="11"/>
              </w:rPr>
              <w:t xml:space="preserve"> </w:t>
            </w:r>
            <w:r>
              <w:rPr>
                <w:rFonts w:ascii="Times New Roman" w:hAnsi="Times New Roman" w:eastAsia="Times New Roman" w:cs="Times New Roman"/>
                <w:spacing w:val="-3"/>
                <w:sz w:val="18"/>
                <w:szCs w:val="18"/>
              </w:rPr>
              <w:t>·a</w:t>
            </w:r>
            <w:r>
              <w:rPr>
                <w:rFonts w:ascii="FangSong_GB2312" w:hAnsi="FangSong_GB2312" w:eastAsia="FangSong_GB2312" w:cs="FangSong_GB2312"/>
                <w:spacing w:val="-3"/>
                <w:sz w:val="18"/>
                <w:szCs w:val="18"/>
              </w:rPr>
              <w:t>）</w:t>
            </w:r>
          </w:p>
        </w:tc>
        <w:tc>
          <w:tcPr>
            <w:tcW w:w="1101" w:type="dxa"/>
            <w:tcBorders>
              <w:top w:val="single" w:color="000000" w:sz="10" w:space="0"/>
            </w:tcBorders>
            <w:vAlign w:val="top"/>
          </w:tcPr>
          <w:p w14:paraId="71937561">
            <w:pPr>
              <w:spacing w:before="45" w:line="233" w:lineRule="auto"/>
              <w:ind w:left="102" w:right="107" w:firstLine="8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扰动后侵</w:t>
            </w:r>
            <w:r>
              <w:rPr>
                <w:rFonts w:ascii="FangSong_GB2312" w:hAnsi="FangSong_GB2312" w:eastAsia="FangSong_GB2312" w:cs="FangSong_GB2312"/>
                <w:spacing w:val="16"/>
                <w:w w:val="122"/>
                <w:sz w:val="18"/>
                <w:szCs w:val="18"/>
              </w:rPr>
              <w:t>蚀模数</w:t>
            </w:r>
            <w:r>
              <w:rPr>
                <w:rFonts w:ascii="FangSong_GB2312" w:hAnsi="FangSong_GB2312" w:eastAsia="FangSong_GB2312" w:cs="FangSong_GB2312"/>
                <w:spacing w:val="-4"/>
                <w:sz w:val="18"/>
                <w:szCs w:val="18"/>
              </w:rPr>
              <w:t>（</w:t>
            </w:r>
            <w:r>
              <w:rPr>
                <w:rFonts w:ascii="Times New Roman" w:hAnsi="Times New Roman" w:eastAsia="Times New Roman" w:cs="Times New Roman"/>
                <w:spacing w:val="-4"/>
                <w:sz w:val="18"/>
                <w:szCs w:val="18"/>
              </w:rPr>
              <w:t>t/km</w:t>
            </w:r>
            <w:r>
              <w:rPr>
                <w:rFonts w:ascii="Times New Roman" w:hAnsi="Times New Roman" w:eastAsia="Times New Roman" w:cs="Times New Roman"/>
                <w:spacing w:val="-4"/>
                <w:position w:val="5"/>
                <w:sz w:val="11"/>
                <w:szCs w:val="11"/>
              </w:rPr>
              <w:t>2</w:t>
            </w:r>
            <w:r>
              <w:rPr>
                <w:rFonts w:ascii="Times New Roman" w:hAnsi="Times New Roman" w:eastAsia="Times New Roman" w:cs="Times New Roman"/>
                <w:spacing w:val="-2"/>
                <w:position w:val="5"/>
                <w:sz w:val="11"/>
                <w:szCs w:val="11"/>
              </w:rPr>
              <w:t xml:space="preserve"> </w:t>
            </w:r>
            <w:r>
              <w:rPr>
                <w:rFonts w:ascii="Times New Roman" w:hAnsi="Times New Roman" w:eastAsia="Times New Roman" w:cs="Times New Roman"/>
                <w:spacing w:val="-4"/>
                <w:sz w:val="18"/>
                <w:szCs w:val="18"/>
              </w:rPr>
              <w:t>·a</w:t>
            </w:r>
            <w:r>
              <w:rPr>
                <w:rFonts w:ascii="FangSong_GB2312" w:hAnsi="FangSong_GB2312" w:eastAsia="FangSong_GB2312" w:cs="FangSong_GB2312"/>
                <w:spacing w:val="-4"/>
                <w:sz w:val="18"/>
                <w:szCs w:val="18"/>
              </w:rPr>
              <w:t>）</w:t>
            </w:r>
          </w:p>
        </w:tc>
        <w:tc>
          <w:tcPr>
            <w:tcW w:w="947" w:type="dxa"/>
            <w:tcBorders>
              <w:top w:val="single" w:color="000000" w:sz="10" w:space="0"/>
            </w:tcBorders>
            <w:vAlign w:val="top"/>
          </w:tcPr>
          <w:p w14:paraId="01E8A706">
            <w:pPr>
              <w:spacing w:before="161" w:line="236" w:lineRule="auto"/>
              <w:ind w:left="205" w:right="106" w:hanging="99"/>
              <w:rPr>
                <w:rFonts w:ascii="Times New Roman" w:hAnsi="Times New Roman" w:eastAsia="Times New Roman" w:cs="Times New Roman"/>
                <w:sz w:val="18"/>
                <w:szCs w:val="18"/>
              </w:rPr>
            </w:pPr>
            <w:r>
              <w:rPr>
                <w:rFonts w:ascii="FangSong_GB2312" w:hAnsi="FangSong_GB2312" w:eastAsia="FangSong_GB2312" w:cs="FangSong_GB2312"/>
                <w:spacing w:val="-1"/>
                <w:sz w:val="18"/>
                <w:szCs w:val="18"/>
              </w:rPr>
              <w:t>侵蚀面积（</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5"/>
                <w:sz w:val="11"/>
                <w:szCs w:val="11"/>
              </w:rPr>
              <w:t>2</w:t>
            </w:r>
            <w:r>
              <w:rPr>
                <w:rFonts w:ascii="Times New Roman" w:hAnsi="Times New Roman" w:eastAsia="Times New Roman" w:cs="Times New Roman"/>
                <w:spacing w:val="-1"/>
                <w:sz w:val="18"/>
                <w:szCs w:val="18"/>
              </w:rPr>
              <w:t>)</w:t>
            </w:r>
          </w:p>
        </w:tc>
        <w:tc>
          <w:tcPr>
            <w:tcW w:w="939" w:type="dxa"/>
            <w:tcBorders>
              <w:top w:val="single" w:color="000000" w:sz="10" w:space="0"/>
            </w:tcBorders>
            <w:vAlign w:val="top"/>
          </w:tcPr>
          <w:p w14:paraId="5100A9B0">
            <w:pPr>
              <w:spacing w:before="162" w:line="245" w:lineRule="auto"/>
              <w:ind w:left="249" w:right="97" w:hanging="14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侵蚀时间</w:t>
            </w:r>
            <w:r>
              <w:rPr>
                <w:rFonts w:ascii="FangSong_GB2312" w:hAnsi="FangSong_GB2312" w:eastAsia="FangSong_GB2312" w:cs="FangSong_GB2312"/>
                <w:spacing w:val="-2"/>
                <w:sz w:val="18"/>
                <w:szCs w:val="18"/>
              </w:rPr>
              <w:t>（</w:t>
            </w:r>
            <w:r>
              <w:rPr>
                <w:rFonts w:ascii="Times New Roman" w:hAnsi="Times New Roman" w:eastAsia="Times New Roman" w:cs="Times New Roman"/>
                <w:spacing w:val="-2"/>
                <w:sz w:val="18"/>
                <w:szCs w:val="18"/>
              </w:rPr>
              <w:t>a</w:t>
            </w:r>
            <w:r>
              <w:rPr>
                <w:rFonts w:ascii="FangSong_GB2312" w:hAnsi="FangSong_GB2312" w:eastAsia="FangSong_GB2312" w:cs="FangSong_GB2312"/>
                <w:spacing w:val="-2"/>
                <w:sz w:val="18"/>
                <w:szCs w:val="18"/>
              </w:rPr>
              <w:t>）</w:t>
            </w:r>
          </w:p>
        </w:tc>
        <w:tc>
          <w:tcPr>
            <w:tcW w:w="936" w:type="dxa"/>
            <w:tcBorders>
              <w:top w:val="single" w:color="000000" w:sz="10" w:space="0"/>
            </w:tcBorders>
            <w:vAlign w:val="top"/>
          </w:tcPr>
          <w:p w14:paraId="339FE620">
            <w:pPr>
              <w:spacing w:before="161" w:line="242" w:lineRule="auto"/>
              <w:ind w:left="181" w:right="95" w:hanging="6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背景流失</w:t>
            </w:r>
            <w:r>
              <w:rPr>
                <w:rFonts w:ascii="FangSong_GB2312" w:hAnsi="FangSong_GB2312" w:eastAsia="FangSong_GB2312" w:cs="FangSong_GB2312"/>
                <w:spacing w:val="-3"/>
                <w:sz w:val="18"/>
                <w:szCs w:val="18"/>
              </w:rPr>
              <w:t>量（</w:t>
            </w:r>
            <w:r>
              <w:rPr>
                <w:rFonts w:ascii="Times New Roman" w:hAnsi="Times New Roman" w:eastAsia="Times New Roman" w:cs="Times New Roman"/>
                <w:spacing w:val="-3"/>
                <w:sz w:val="18"/>
                <w:szCs w:val="18"/>
              </w:rPr>
              <w:t>t</w:t>
            </w:r>
            <w:r>
              <w:rPr>
                <w:rFonts w:ascii="FangSong_GB2312" w:hAnsi="FangSong_GB2312" w:eastAsia="FangSong_GB2312" w:cs="FangSong_GB2312"/>
                <w:spacing w:val="-3"/>
                <w:sz w:val="18"/>
                <w:szCs w:val="18"/>
              </w:rPr>
              <w:t>）</w:t>
            </w:r>
          </w:p>
        </w:tc>
        <w:tc>
          <w:tcPr>
            <w:tcW w:w="958" w:type="dxa"/>
            <w:tcBorders>
              <w:top w:val="single" w:color="000000" w:sz="10" w:space="0"/>
            </w:tcBorders>
            <w:vAlign w:val="top"/>
          </w:tcPr>
          <w:p w14:paraId="4004EC30">
            <w:pPr>
              <w:spacing w:before="161" w:line="242" w:lineRule="auto"/>
              <w:ind w:left="196" w:right="102" w:hanging="6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调查流失</w:t>
            </w:r>
            <w:r>
              <w:rPr>
                <w:rFonts w:ascii="FangSong_GB2312" w:hAnsi="FangSong_GB2312" w:eastAsia="FangSong_GB2312" w:cs="FangSong_GB2312"/>
                <w:spacing w:val="-3"/>
                <w:sz w:val="18"/>
                <w:szCs w:val="18"/>
              </w:rPr>
              <w:t>量（</w:t>
            </w:r>
            <w:r>
              <w:rPr>
                <w:rFonts w:ascii="Times New Roman" w:hAnsi="Times New Roman" w:eastAsia="Times New Roman" w:cs="Times New Roman"/>
                <w:spacing w:val="-3"/>
                <w:sz w:val="18"/>
                <w:szCs w:val="18"/>
              </w:rPr>
              <w:t>t</w:t>
            </w:r>
            <w:r>
              <w:rPr>
                <w:rFonts w:ascii="FangSong_GB2312" w:hAnsi="FangSong_GB2312" w:eastAsia="FangSong_GB2312" w:cs="FangSong_GB2312"/>
                <w:spacing w:val="-3"/>
                <w:sz w:val="18"/>
                <w:szCs w:val="18"/>
              </w:rPr>
              <w:t>）</w:t>
            </w:r>
          </w:p>
        </w:tc>
        <w:tc>
          <w:tcPr>
            <w:tcW w:w="951" w:type="dxa"/>
            <w:tcBorders>
              <w:top w:val="single" w:color="000000" w:sz="10" w:space="0"/>
              <w:right w:val="single" w:color="000000" w:sz="10" w:space="0"/>
            </w:tcBorders>
            <w:vAlign w:val="top"/>
          </w:tcPr>
          <w:p w14:paraId="20659CFE">
            <w:pPr>
              <w:spacing w:before="161" w:line="242" w:lineRule="auto"/>
              <w:ind w:left="188" w:right="98" w:hanging="6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新增流失量（</w:t>
            </w:r>
            <w:r>
              <w:rPr>
                <w:rFonts w:ascii="Times New Roman" w:hAnsi="Times New Roman" w:eastAsia="Times New Roman" w:cs="Times New Roman"/>
                <w:spacing w:val="-3"/>
                <w:sz w:val="18"/>
                <w:szCs w:val="18"/>
              </w:rPr>
              <w:t>t</w:t>
            </w:r>
            <w:r>
              <w:rPr>
                <w:rFonts w:ascii="FangSong_GB2312" w:hAnsi="FangSong_GB2312" w:eastAsia="FangSong_GB2312" w:cs="FangSong_GB2312"/>
                <w:spacing w:val="-3"/>
                <w:sz w:val="18"/>
                <w:szCs w:val="18"/>
              </w:rPr>
              <w:t>）</w:t>
            </w:r>
          </w:p>
        </w:tc>
      </w:tr>
      <w:tr w14:paraId="2CBC7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103" w:type="dxa"/>
            <w:tcBorders>
              <w:left w:val="single" w:color="000000" w:sz="10" w:space="0"/>
            </w:tcBorders>
            <w:vAlign w:val="top"/>
          </w:tcPr>
          <w:p w14:paraId="134DA64A">
            <w:pPr>
              <w:spacing w:before="67" w:line="214" w:lineRule="auto"/>
              <w:ind w:left="1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建构筑物</w:t>
            </w:r>
          </w:p>
          <w:p w14:paraId="180D7B98">
            <w:pPr>
              <w:spacing w:before="24" w:line="216" w:lineRule="auto"/>
              <w:ind w:left="18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工程单元</w:t>
            </w:r>
          </w:p>
        </w:tc>
        <w:tc>
          <w:tcPr>
            <w:tcW w:w="798" w:type="dxa"/>
            <w:vMerge w:val="restart"/>
            <w:tcBorders>
              <w:bottom w:val="nil"/>
            </w:tcBorders>
            <w:vAlign w:val="top"/>
          </w:tcPr>
          <w:p w14:paraId="2CEFC7F5">
            <w:pPr>
              <w:spacing w:line="343" w:lineRule="auto"/>
              <w:rPr>
                <w:rFonts w:ascii="Arial"/>
                <w:sz w:val="21"/>
              </w:rPr>
            </w:pPr>
          </w:p>
          <w:p w14:paraId="3F51B781">
            <w:pPr>
              <w:spacing w:line="343" w:lineRule="auto"/>
              <w:rPr>
                <w:rFonts w:ascii="Arial"/>
                <w:sz w:val="21"/>
              </w:rPr>
            </w:pPr>
          </w:p>
          <w:p w14:paraId="499E8A1F">
            <w:pPr>
              <w:spacing w:before="59" w:line="216" w:lineRule="auto"/>
              <w:ind w:left="12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施工期</w:t>
            </w:r>
          </w:p>
        </w:tc>
        <w:tc>
          <w:tcPr>
            <w:tcW w:w="1042" w:type="dxa"/>
            <w:vMerge w:val="restart"/>
            <w:tcBorders>
              <w:bottom w:val="nil"/>
            </w:tcBorders>
            <w:vAlign w:val="top"/>
          </w:tcPr>
          <w:p w14:paraId="129E314C">
            <w:pPr>
              <w:spacing w:line="257" w:lineRule="auto"/>
              <w:rPr>
                <w:rFonts w:ascii="Arial"/>
                <w:sz w:val="21"/>
              </w:rPr>
            </w:pPr>
          </w:p>
          <w:p w14:paraId="061F6157">
            <w:pPr>
              <w:spacing w:line="257" w:lineRule="auto"/>
              <w:rPr>
                <w:rFonts w:ascii="Arial"/>
                <w:sz w:val="21"/>
              </w:rPr>
            </w:pPr>
          </w:p>
          <w:p w14:paraId="0E6971EC">
            <w:pPr>
              <w:spacing w:line="258" w:lineRule="auto"/>
              <w:rPr>
                <w:rFonts w:ascii="Arial"/>
                <w:sz w:val="21"/>
              </w:rPr>
            </w:pPr>
          </w:p>
          <w:p w14:paraId="36BAB855">
            <w:pPr>
              <w:spacing w:line="258" w:lineRule="auto"/>
              <w:rPr>
                <w:rFonts w:ascii="Arial"/>
                <w:sz w:val="21"/>
              </w:rPr>
            </w:pPr>
          </w:p>
          <w:p w14:paraId="46A5E1DF">
            <w:pPr>
              <w:spacing w:line="258" w:lineRule="auto"/>
              <w:rPr>
                <w:rFonts w:ascii="Arial"/>
                <w:sz w:val="21"/>
              </w:rPr>
            </w:pPr>
          </w:p>
          <w:p w14:paraId="13A5BFD6">
            <w:pPr>
              <w:spacing w:before="52" w:line="188" w:lineRule="auto"/>
              <w:ind w:left="37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900</w:t>
            </w:r>
          </w:p>
        </w:tc>
        <w:tc>
          <w:tcPr>
            <w:tcW w:w="1101" w:type="dxa"/>
            <w:vAlign w:val="top"/>
          </w:tcPr>
          <w:p w14:paraId="24C0334D">
            <w:pPr>
              <w:spacing w:before="213" w:line="188"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tc>
        <w:tc>
          <w:tcPr>
            <w:tcW w:w="947" w:type="dxa"/>
            <w:vAlign w:val="top"/>
          </w:tcPr>
          <w:p w14:paraId="5678DEBC">
            <w:pPr>
              <w:spacing w:before="213"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939" w:type="dxa"/>
            <w:vAlign w:val="top"/>
          </w:tcPr>
          <w:p w14:paraId="6A23413B">
            <w:pPr>
              <w:spacing w:before="213" w:line="188"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936" w:type="dxa"/>
            <w:vAlign w:val="top"/>
          </w:tcPr>
          <w:p w14:paraId="5A91D516">
            <w:pPr>
              <w:spacing w:before="213"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0.27</w:t>
            </w:r>
          </w:p>
        </w:tc>
        <w:tc>
          <w:tcPr>
            <w:tcW w:w="958" w:type="dxa"/>
            <w:vAlign w:val="top"/>
          </w:tcPr>
          <w:p w14:paraId="2B8CD6C5">
            <w:pPr>
              <w:spacing w:before="213"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0.60</w:t>
            </w:r>
          </w:p>
        </w:tc>
        <w:tc>
          <w:tcPr>
            <w:tcW w:w="951" w:type="dxa"/>
            <w:tcBorders>
              <w:right w:val="single" w:color="000000" w:sz="10" w:space="0"/>
            </w:tcBorders>
            <w:vAlign w:val="top"/>
          </w:tcPr>
          <w:p w14:paraId="071A7842">
            <w:pPr>
              <w:spacing w:before="213"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0.33</w:t>
            </w:r>
          </w:p>
        </w:tc>
      </w:tr>
      <w:tr w14:paraId="19E93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103" w:type="dxa"/>
            <w:tcBorders>
              <w:left w:val="single" w:color="000000" w:sz="10" w:space="0"/>
            </w:tcBorders>
            <w:vAlign w:val="top"/>
          </w:tcPr>
          <w:p w14:paraId="6B665A01">
            <w:pPr>
              <w:spacing w:before="71" w:line="239" w:lineRule="auto"/>
              <w:ind w:left="365" w:right="188" w:hanging="18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硬化工程</w:t>
            </w:r>
            <w:r>
              <w:rPr>
                <w:rFonts w:ascii="FangSong_GB2312" w:hAnsi="FangSong_GB2312" w:eastAsia="FangSong_GB2312" w:cs="FangSong_GB2312"/>
                <w:spacing w:val="-6"/>
                <w:sz w:val="18"/>
                <w:szCs w:val="18"/>
              </w:rPr>
              <w:t>单元</w:t>
            </w:r>
          </w:p>
        </w:tc>
        <w:tc>
          <w:tcPr>
            <w:tcW w:w="798" w:type="dxa"/>
            <w:vMerge w:val="continue"/>
            <w:tcBorders>
              <w:top w:val="nil"/>
              <w:bottom w:val="nil"/>
            </w:tcBorders>
            <w:vAlign w:val="top"/>
          </w:tcPr>
          <w:p w14:paraId="2F5B9446">
            <w:pPr>
              <w:rPr>
                <w:rFonts w:ascii="Arial"/>
                <w:sz w:val="21"/>
              </w:rPr>
            </w:pPr>
          </w:p>
        </w:tc>
        <w:tc>
          <w:tcPr>
            <w:tcW w:w="1042" w:type="dxa"/>
            <w:vMerge w:val="continue"/>
            <w:tcBorders>
              <w:top w:val="nil"/>
              <w:bottom w:val="nil"/>
            </w:tcBorders>
            <w:vAlign w:val="top"/>
          </w:tcPr>
          <w:p w14:paraId="646C027D">
            <w:pPr>
              <w:rPr>
                <w:rFonts w:ascii="Arial"/>
                <w:sz w:val="21"/>
              </w:rPr>
            </w:pPr>
          </w:p>
        </w:tc>
        <w:tc>
          <w:tcPr>
            <w:tcW w:w="1101" w:type="dxa"/>
            <w:vAlign w:val="top"/>
          </w:tcPr>
          <w:p w14:paraId="15FF3F49">
            <w:pPr>
              <w:spacing w:before="216" w:line="188"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1500</w:t>
            </w:r>
          </w:p>
        </w:tc>
        <w:tc>
          <w:tcPr>
            <w:tcW w:w="947" w:type="dxa"/>
            <w:vAlign w:val="top"/>
          </w:tcPr>
          <w:p w14:paraId="4AE5D9F3">
            <w:pPr>
              <w:spacing w:before="216"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939" w:type="dxa"/>
            <w:vAlign w:val="top"/>
          </w:tcPr>
          <w:p w14:paraId="738B10AB">
            <w:pPr>
              <w:spacing w:before="216" w:line="188"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936" w:type="dxa"/>
            <w:vAlign w:val="top"/>
          </w:tcPr>
          <w:p w14:paraId="46059D18">
            <w:pPr>
              <w:spacing w:before="216"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958" w:type="dxa"/>
            <w:vAlign w:val="top"/>
          </w:tcPr>
          <w:p w14:paraId="23C9B603">
            <w:pPr>
              <w:spacing w:before="216"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w:t>
            </w:r>
          </w:p>
        </w:tc>
        <w:tc>
          <w:tcPr>
            <w:tcW w:w="951" w:type="dxa"/>
            <w:tcBorders>
              <w:right w:val="single" w:color="000000" w:sz="10" w:space="0"/>
            </w:tcBorders>
            <w:vAlign w:val="top"/>
          </w:tcPr>
          <w:p w14:paraId="553CD43A">
            <w:pPr>
              <w:spacing w:before="216"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r>
      <w:tr w14:paraId="26AB6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103" w:type="dxa"/>
            <w:tcBorders>
              <w:left w:val="single" w:color="000000" w:sz="10" w:space="0"/>
            </w:tcBorders>
            <w:vAlign w:val="top"/>
          </w:tcPr>
          <w:p w14:paraId="296A67DD">
            <w:pPr>
              <w:spacing w:before="74" w:line="238" w:lineRule="auto"/>
              <w:ind w:left="365" w:right="188" w:hanging="17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r>
              <w:rPr>
                <w:rFonts w:ascii="FangSong_GB2312" w:hAnsi="FangSong_GB2312" w:eastAsia="FangSong_GB2312" w:cs="FangSong_GB2312"/>
                <w:spacing w:val="-6"/>
                <w:sz w:val="18"/>
                <w:szCs w:val="18"/>
              </w:rPr>
              <w:t>单元</w:t>
            </w:r>
          </w:p>
        </w:tc>
        <w:tc>
          <w:tcPr>
            <w:tcW w:w="798" w:type="dxa"/>
            <w:vMerge w:val="continue"/>
            <w:tcBorders>
              <w:top w:val="nil"/>
            </w:tcBorders>
            <w:vAlign w:val="top"/>
          </w:tcPr>
          <w:p w14:paraId="01E6CB0E">
            <w:pPr>
              <w:rPr>
                <w:rFonts w:ascii="Arial"/>
                <w:sz w:val="21"/>
              </w:rPr>
            </w:pPr>
          </w:p>
        </w:tc>
        <w:tc>
          <w:tcPr>
            <w:tcW w:w="1042" w:type="dxa"/>
            <w:vMerge w:val="continue"/>
            <w:tcBorders>
              <w:top w:val="nil"/>
              <w:bottom w:val="nil"/>
            </w:tcBorders>
            <w:vAlign w:val="top"/>
          </w:tcPr>
          <w:p w14:paraId="3E57E9E8">
            <w:pPr>
              <w:rPr>
                <w:rFonts w:ascii="Arial"/>
                <w:sz w:val="21"/>
              </w:rPr>
            </w:pPr>
          </w:p>
        </w:tc>
        <w:tc>
          <w:tcPr>
            <w:tcW w:w="1101" w:type="dxa"/>
            <w:vAlign w:val="top"/>
          </w:tcPr>
          <w:p w14:paraId="6C1E78A5">
            <w:pPr>
              <w:spacing w:before="222" w:line="188"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2500</w:t>
            </w:r>
          </w:p>
        </w:tc>
        <w:tc>
          <w:tcPr>
            <w:tcW w:w="947" w:type="dxa"/>
            <w:vAlign w:val="top"/>
          </w:tcPr>
          <w:p w14:paraId="53A4FC5C">
            <w:pPr>
              <w:spacing w:before="222"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939" w:type="dxa"/>
            <w:vAlign w:val="top"/>
          </w:tcPr>
          <w:p w14:paraId="4E741726">
            <w:pPr>
              <w:spacing w:before="222" w:line="188" w:lineRule="auto"/>
              <w:ind w:left="32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936" w:type="dxa"/>
            <w:vAlign w:val="top"/>
          </w:tcPr>
          <w:p w14:paraId="1ACC27E1">
            <w:pPr>
              <w:spacing w:before="222"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0.09</w:t>
            </w:r>
          </w:p>
        </w:tc>
        <w:tc>
          <w:tcPr>
            <w:tcW w:w="958" w:type="dxa"/>
            <w:vAlign w:val="top"/>
          </w:tcPr>
          <w:p w14:paraId="4AE64328">
            <w:pPr>
              <w:spacing w:before="222"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0.25</w:t>
            </w:r>
          </w:p>
        </w:tc>
        <w:tc>
          <w:tcPr>
            <w:tcW w:w="951" w:type="dxa"/>
            <w:tcBorders>
              <w:right w:val="single" w:color="000000" w:sz="10" w:space="0"/>
            </w:tcBorders>
            <w:vAlign w:val="top"/>
          </w:tcPr>
          <w:p w14:paraId="6928D258">
            <w:pPr>
              <w:spacing w:before="222"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0.16</w:t>
            </w:r>
          </w:p>
        </w:tc>
      </w:tr>
      <w:tr w14:paraId="4FA0F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1901" w:type="dxa"/>
            <w:gridSpan w:val="2"/>
            <w:tcBorders>
              <w:left w:val="single" w:color="000000" w:sz="10" w:space="0"/>
            </w:tcBorders>
            <w:vAlign w:val="top"/>
          </w:tcPr>
          <w:p w14:paraId="0880FD96">
            <w:pPr>
              <w:spacing w:before="194" w:line="216" w:lineRule="auto"/>
              <w:ind w:left="76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小计</w:t>
            </w:r>
          </w:p>
        </w:tc>
        <w:tc>
          <w:tcPr>
            <w:tcW w:w="1042" w:type="dxa"/>
            <w:vMerge w:val="continue"/>
            <w:tcBorders>
              <w:top w:val="nil"/>
              <w:bottom w:val="nil"/>
            </w:tcBorders>
            <w:vAlign w:val="top"/>
          </w:tcPr>
          <w:p w14:paraId="4CA1971C">
            <w:pPr>
              <w:rPr>
                <w:rFonts w:ascii="Arial"/>
                <w:sz w:val="21"/>
              </w:rPr>
            </w:pPr>
          </w:p>
        </w:tc>
        <w:tc>
          <w:tcPr>
            <w:tcW w:w="1101" w:type="dxa"/>
            <w:vAlign w:val="top"/>
          </w:tcPr>
          <w:p w14:paraId="5EE26149">
            <w:pPr>
              <w:rPr>
                <w:rFonts w:ascii="Arial"/>
                <w:sz w:val="21"/>
              </w:rPr>
            </w:pPr>
          </w:p>
        </w:tc>
        <w:tc>
          <w:tcPr>
            <w:tcW w:w="947" w:type="dxa"/>
            <w:vAlign w:val="top"/>
          </w:tcPr>
          <w:p w14:paraId="0406AFFD">
            <w:pPr>
              <w:rPr>
                <w:rFonts w:ascii="Arial"/>
                <w:sz w:val="21"/>
              </w:rPr>
            </w:pPr>
          </w:p>
        </w:tc>
        <w:tc>
          <w:tcPr>
            <w:tcW w:w="939" w:type="dxa"/>
            <w:vAlign w:val="top"/>
          </w:tcPr>
          <w:p w14:paraId="5F864F5F">
            <w:pPr>
              <w:rPr>
                <w:rFonts w:ascii="Arial"/>
                <w:sz w:val="21"/>
              </w:rPr>
            </w:pPr>
          </w:p>
        </w:tc>
        <w:tc>
          <w:tcPr>
            <w:tcW w:w="936" w:type="dxa"/>
            <w:vAlign w:val="top"/>
          </w:tcPr>
          <w:p w14:paraId="428753F0">
            <w:pPr>
              <w:spacing w:before="225"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0.45</w:t>
            </w:r>
          </w:p>
        </w:tc>
        <w:tc>
          <w:tcPr>
            <w:tcW w:w="958" w:type="dxa"/>
            <w:vAlign w:val="top"/>
          </w:tcPr>
          <w:p w14:paraId="0D99A14E">
            <w:pPr>
              <w:spacing w:before="225"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1.00</w:t>
            </w:r>
          </w:p>
        </w:tc>
        <w:tc>
          <w:tcPr>
            <w:tcW w:w="951" w:type="dxa"/>
            <w:tcBorders>
              <w:right w:val="single" w:color="000000" w:sz="10" w:space="0"/>
            </w:tcBorders>
            <w:vAlign w:val="top"/>
          </w:tcPr>
          <w:p w14:paraId="331BAA3E">
            <w:pPr>
              <w:spacing w:before="225"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0.55</w:t>
            </w:r>
          </w:p>
        </w:tc>
      </w:tr>
      <w:tr w14:paraId="2B85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103" w:type="dxa"/>
            <w:tcBorders>
              <w:left w:val="single" w:color="000000" w:sz="10" w:space="0"/>
            </w:tcBorders>
            <w:vAlign w:val="top"/>
          </w:tcPr>
          <w:p w14:paraId="64D74583">
            <w:pPr>
              <w:spacing w:before="82" w:line="234" w:lineRule="auto"/>
              <w:ind w:left="365" w:right="188" w:hanging="17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r>
              <w:rPr>
                <w:rFonts w:ascii="FangSong_GB2312" w:hAnsi="FangSong_GB2312" w:eastAsia="FangSong_GB2312" w:cs="FangSong_GB2312"/>
                <w:spacing w:val="-6"/>
                <w:sz w:val="18"/>
                <w:szCs w:val="18"/>
              </w:rPr>
              <w:t>单元</w:t>
            </w:r>
          </w:p>
        </w:tc>
        <w:tc>
          <w:tcPr>
            <w:tcW w:w="798" w:type="dxa"/>
            <w:vAlign w:val="top"/>
          </w:tcPr>
          <w:p w14:paraId="34FEB430">
            <w:pPr>
              <w:spacing w:before="82" w:line="234" w:lineRule="auto"/>
              <w:ind w:left="216" w:right="129" w:hanging="64"/>
              <w:rPr>
                <w:rFonts w:ascii="FangSong_GB2312" w:hAnsi="FangSong_GB2312" w:eastAsia="FangSong_GB2312" w:cs="FangSong_GB2312"/>
                <w:sz w:val="18"/>
                <w:szCs w:val="18"/>
              </w:rPr>
            </w:pPr>
            <w:r>
              <w:rPr>
                <w:rFonts w:ascii="FangSong_GB2312" w:hAnsi="FangSong_GB2312" w:eastAsia="FangSong_GB2312" w:cs="FangSong_GB2312"/>
                <w:spacing w:val="-14"/>
                <w:sz w:val="18"/>
                <w:szCs w:val="18"/>
              </w:rPr>
              <w:t>自然恢</w:t>
            </w:r>
            <w:r>
              <w:rPr>
                <w:rFonts w:ascii="FangSong_GB2312" w:hAnsi="FangSong_GB2312" w:eastAsia="FangSong_GB2312" w:cs="FangSong_GB2312"/>
                <w:spacing w:val="-8"/>
                <w:sz w:val="18"/>
                <w:szCs w:val="18"/>
              </w:rPr>
              <w:t>复期</w:t>
            </w:r>
          </w:p>
        </w:tc>
        <w:tc>
          <w:tcPr>
            <w:tcW w:w="1042" w:type="dxa"/>
            <w:vMerge w:val="continue"/>
            <w:tcBorders>
              <w:top w:val="nil"/>
            </w:tcBorders>
            <w:vAlign w:val="top"/>
          </w:tcPr>
          <w:p w14:paraId="7727D5BA">
            <w:pPr>
              <w:rPr>
                <w:rFonts w:ascii="Arial"/>
                <w:sz w:val="21"/>
              </w:rPr>
            </w:pPr>
          </w:p>
        </w:tc>
        <w:tc>
          <w:tcPr>
            <w:tcW w:w="1101" w:type="dxa"/>
            <w:vAlign w:val="top"/>
          </w:tcPr>
          <w:p w14:paraId="574F237E">
            <w:pPr>
              <w:spacing w:before="228" w:line="188" w:lineRule="auto"/>
              <w:ind w:left="38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1050</w:t>
            </w:r>
          </w:p>
        </w:tc>
        <w:tc>
          <w:tcPr>
            <w:tcW w:w="947" w:type="dxa"/>
            <w:vAlign w:val="top"/>
          </w:tcPr>
          <w:p w14:paraId="45F1BFF3">
            <w:pPr>
              <w:spacing w:before="228"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939" w:type="dxa"/>
            <w:vAlign w:val="top"/>
          </w:tcPr>
          <w:p w14:paraId="531CB958">
            <w:pPr>
              <w:spacing w:before="228" w:line="188" w:lineRule="auto"/>
              <w:ind w:left="3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936" w:type="dxa"/>
            <w:vAlign w:val="top"/>
          </w:tcPr>
          <w:p w14:paraId="22EF41D3">
            <w:pPr>
              <w:spacing w:before="228"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0.18</w:t>
            </w:r>
          </w:p>
        </w:tc>
        <w:tc>
          <w:tcPr>
            <w:tcW w:w="958" w:type="dxa"/>
            <w:vAlign w:val="top"/>
          </w:tcPr>
          <w:p w14:paraId="1F33C37B">
            <w:pPr>
              <w:spacing w:before="228" w:line="188" w:lineRule="auto"/>
              <w:ind w:left="33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0.21</w:t>
            </w:r>
          </w:p>
        </w:tc>
        <w:tc>
          <w:tcPr>
            <w:tcW w:w="951" w:type="dxa"/>
            <w:tcBorders>
              <w:right w:val="single" w:color="000000" w:sz="10" w:space="0"/>
            </w:tcBorders>
            <w:vAlign w:val="top"/>
          </w:tcPr>
          <w:p w14:paraId="70E47E32">
            <w:pPr>
              <w:spacing w:before="228"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2451F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1901" w:type="dxa"/>
            <w:gridSpan w:val="2"/>
            <w:tcBorders>
              <w:left w:val="single" w:color="000000" w:sz="10" w:space="0"/>
              <w:bottom w:val="single" w:color="000000" w:sz="10" w:space="0"/>
            </w:tcBorders>
            <w:vAlign w:val="top"/>
          </w:tcPr>
          <w:p w14:paraId="065CC4B5">
            <w:pPr>
              <w:spacing w:before="199" w:line="216" w:lineRule="auto"/>
              <w:ind w:left="76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042" w:type="dxa"/>
            <w:tcBorders>
              <w:bottom w:val="single" w:color="000000" w:sz="10" w:space="0"/>
            </w:tcBorders>
            <w:vAlign w:val="top"/>
          </w:tcPr>
          <w:p w14:paraId="6FFE8604">
            <w:pPr>
              <w:rPr>
                <w:rFonts w:ascii="Arial"/>
                <w:sz w:val="21"/>
              </w:rPr>
            </w:pPr>
          </w:p>
        </w:tc>
        <w:tc>
          <w:tcPr>
            <w:tcW w:w="1101" w:type="dxa"/>
            <w:tcBorders>
              <w:bottom w:val="single" w:color="000000" w:sz="10" w:space="0"/>
            </w:tcBorders>
            <w:vAlign w:val="top"/>
          </w:tcPr>
          <w:p w14:paraId="0DE30033">
            <w:pPr>
              <w:rPr>
                <w:rFonts w:ascii="Arial"/>
                <w:sz w:val="21"/>
              </w:rPr>
            </w:pPr>
          </w:p>
        </w:tc>
        <w:tc>
          <w:tcPr>
            <w:tcW w:w="947" w:type="dxa"/>
            <w:tcBorders>
              <w:bottom w:val="single" w:color="000000" w:sz="10" w:space="0"/>
            </w:tcBorders>
            <w:vAlign w:val="top"/>
          </w:tcPr>
          <w:p w14:paraId="5CB2DCEF">
            <w:pPr>
              <w:rPr>
                <w:rFonts w:ascii="Arial"/>
                <w:sz w:val="21"/>
              </w:rPr>
            </w:pPr>
          </w:p>
        </w:tc>
        <w:tc>
          <w:tcPr>
            <w:tcW w:w="939" w:type="dxa"/>
            <w:tcBorders>
              <w:bottom w:val="single" w:color="000000" w:sz="10" w:space="0"/>
            </w:tcBorders>
            <w:vAlign w:val="top"/>
          </w:tcPr>
          <w:p w14:paraId="2EB20C81">
            <w:pPr>
              <w:rPr>
                <w:rFonts w:ascii="Arial"/>
                <w:sz w:val="21"/>
              </w:rPr>
            </w:pPr>
          </w:p>
        </w:tc>
        <w:tc>
          <w:tcPr>
            <w:tcW w:w="936" w:type="dxa"/>
            <w:tcBorders>
              <w:bottom w:val="single" w:color="000000" w:sz="10" w:space="0"/>
            </w:tcBorders>
            <w:vAlign w:val="top"/>
          </w:tcPr>
          <w:p w14:paraId="46CAB4A6">
            <w:pPr>
              <w:spacing w:before="230" w:line="188" w:lineRule="auto"/>
              <w:ind w:left="3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0.63</w:t>
            </w:r>
          </w:p>
        </w:tc>
        <w:tc>
          <w:tcPr>
            <w:tcW w:w="958" w:type="dxa"/>
            <w:tcBorders>
              <w:bottom w:val="single" w:color="000000" w:sz="10" w:space="0"/>
            </w:tcBorders>
            <w:vAlign w:val="top"/>
          </w:tcPr>
          <w:p w14:paraId="28D8B062">
            <w:pPr>
              <w:spacing w:before="230"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1.21</w:t>
            </w:r>
          </w:p>
        </w:tc>
        <w:tc>
          <w:tcPr>
            <w:tcW w:w="951" w:type="dxa"/>
            <w:tcBorders>
              <w:right w:val="single" w:color="000000" w:sz="10" w:space="0"/>
            </w:tcBorders>
            <w:vAlign w:val="top"/>
          </w:tcPr>
          <w:p w14:paraId="393547CC">
            <w:pPr>
              <w:spacing w:before="230"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0.58</w:t>
            </w:r>
          </w:p>
        </w:tc>
      </w:tr>
    </w:tbl>
    <w:p w14:paraId="3FB55175">
      <w:pPr>
        <w:spacing w:before="36" w:line="359" w:lineRule="auto"/>
        <w:ind w:left="37" w:firstLine="484"/>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从项目区土壤流失量计算表中可以看出，本项目因工程施工建设可能产生的土壤</w:t>
      </w:r>
      <w:r>
        <w:rPr>
          <w:rFonts w:ascii="FangSong_GB2312" w:hAnsi="FangSong_GB2312" w:eastAsia="FangSong_GB2312" w:cs="FangSong_GB2312"/>
          <w:spacing w:val="-5"/>
          <w:sz w:val="24"/>
          <w:szCs w:val="24"/>
        </w:rPr>
        <w:t>流失总量为</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5"/>
          <w:sz w:val="24"/>
          <w:szCs w:val="24"/>
        </w:rPr>
        <w:t>1.21t</w:t>
      </w:r>
      <w:r>
        <w:rPr>
          <w:rFonts w:ascii="FangSong_GB2312" w:hAnsi="FangSong_GB2312" w:eastAsia="FangSong_GB2312" w:cs="FangSong_GB2312"/>
          <w:spacing w:val="-5"/>
          <w:sz w:val="24"/>
          <w:szCs w:val="24"/>
        </w:rPr>
        <w:t>，其中背景水土流失量</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0.63t</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5"/>
          <w:sz w:val="24"/>
          <w:szCs w:val="24"/>
        </w:rPr>
        <w:t>，因项目建设扰动新增土壤流失量</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5"/>
          <w:sz w:val="24"/>
          <w:szCs w:val="24"/>
        </w:rPr>
        <w:t>0.58</w:t>
      </w:r>
      <w:r>
        <w:rPr>
          <w:rFonts w:ascii="Times New Roman" w:hAnsi="Times New Roman" w:eastAsia="Times New Roman" w:cs="Times New Roman"/>
          <w:spacing w:val="-6"/>
          <w:sz w:val="24"/>
          <w:szCs w:val="24"/>
        </w:rPr>
        <w:t>t</w:t>
      </w:r>
      <w:r>
        <w:rPr>
          <w:rFonts w:ascii="FangSong_GB2312" w:hAnsi="FangSong_GB2312" w:eastAsia="FangSong_GB2312" w:cs="FangSong_GB2312"/>
          <w:spacing w:val="-6"/>
          <w:sz w:val="24"/>
          <w:szCs w:val="24"/>
        </w:rPr>
        <w:t>，</w:t>
      </w:r>
      <w:r>
        <w:rPr>
          <w:rFonts w:ascii="FangSong_GB2312" w:hAnsi="FangSong_GB2312" w:eastAsia="FangSong_GB2312" w:cs="FangSong_GB2312"/>
          <w:spacing w:val="3"/>
          <w:sz w:val="24"/>
          <w:szCs w:val="24"/>
        </w:rPr>
        <w:t>新增土壤流失量占总土壤流失量的</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47.93</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2"/>
          <w:sz w:val="24"/>
          <w:szCs w:val="24"/>
        </w:rPr>
        <w:t>，从调查与预测结果汇总分析表中可以看</w:t>
      </w:r>
      <w:r>
        <w:rPr>
          <w:rFonts w:ascii="FangSong_GB2312" w:hAnsi="FangSong_GB2312" w:eastAsia="FangSong_GB2312" w:cs="FangSong_GB2312"/>
          <w:sz w:val="24"/>
          <w:szCs w:val="24"/>
        </w:rPr>
        <w:t>出，本工程产生水土流失的重点区域为建构筑物工程</w:t>
      </w:r>
      <w:r>
        <w:rPr>
          <w:rFonts w:ascii="FangSong_GB2312" w:hAnsi="FangSong_GB2312" w:eastAsia="FangSong_GB2312" w:cs="FangSong_GB2312"/>
          <w:spacing w:val="-1"/>
          <w:sz w:val="24"/>
          <w:szCs w:val="24"/>
        </w:rPr>
        <w:t>、绿化工程，项目的水土流失最重要时段是施工期，其新增土壤流失量占总新增土壤流失总量的</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1"/>
          <w:sz w:val="24"/>
          <w:szCs w:val="24"/>
        </w:rPr>
        <w:t>94.83%</w:t>
      </w:r>
      <w:r>
        <w:rPr>
          <w:rFonts w:ascii="FangSong_GB2312" w:hAnsi="FangSong_GB2312" w:eastAsia="FangSong_GB2312" w:cs="FangSong_GB2312"/>
          <w:spacing w:val="-1"/>
          <w:sz w:val="24"/>
          <w:szCs w:val="24"/>
        </w:rPr>
        <w:t>。</w:t>
      </w:r>
    </w:p>
    <w:p w14:paraId="11F5502A">
      <w:pPr>
        <w:spacing w:before="2" w:line="359" w:lineRule="auto"/>
        <w:ind w:left="33" w:right="60"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根据现场踏勘及查阅施工资料，本项目建设虽造成了水土</w:t>
      </w:r>
      <w:r>
        <w:rPr>
          <w:rFonts w:ascii="FangSong_GB2312" w:hAnsi="FangSong_GB2312" w:eastAsia="FangSong_GB2312" w:cs="FangSong_GB2312"/>
          <w:spacing w:val="-1"/>
          <w:sz w:val="24"/>
          <w:szCs w:val="24"/>
        </w:rPr>
        <w:t>流失，但项目建设过程</w:t>
      </w:r>
      <w:r>
        <w:rPr>
          <w:rFonts w:ascii="FangSong_GB2312" w:hAnsi="FangSong_GB2312" w:eastAsia="FangSong_GB2312" w:cs="FangSong_GB2312"/>
          <w:sz w:val="24"/>
          <w:szCs w:val="24"/>
        </w:rPr>
        <w:t>中基本不存在重大的水土流失危害，通过后期水土保持措施逐</w:t>
      </w:r>
      <w:r>
        <w:rPr>
          <w:rFonts w:ascii="FangSong_GB2312" w:hAnsi="FangSong_GB2312" w:eastAsia="FangSong_GB2312" w:cs="FangSong_GB2312"/>
          <w:spacing w:val="-1"/>
          <w:sz w:val="24"/>
          <w:szCs w:val="24"/>
        </w:rPr>
        <w:t>步发挥效益，本项目不存在重大的水土流失隐患。</w:t>
      </w:r>
    </w:p>
    <w:p w14:paraId="46A72D70">
      <w:pPr>
        <w:pStyle w:val="2"/>
        <w:spacing w:line="242" w:lineRule="auto"/>
      </w:pPr>
    </w:p>
    <w:p w14:paraId="00DBBC99">
      <w:pPr>
        <w:pStyle w:val="2"/>
        <w:spacing w:line="242" w:lineRule="auto"/>
      </w:pPr>
    </w:p>
    <w:p w14:paraId="2BE82E14">
      <w:pPr>
        <w:pStyle w:val="2"/>
        <w:spacing w:line="242" w:lineRule="auto"/>
      </w:pPr>
    </w:p>
    <w:p w14:paraId="2313C546">
      <w:pPr>
        <w:pStyle w:val="2"/>
        <w:spacing w:line="242" w:lineRule="auto"/>
      </w:pPr>
    </w:p>
    <w:p w14:paraId="007F1D74">
      <w:pPr>
        <w:pStyle w:val="2"/>
        <w:spacing w:line="242" w:lineRule="auto"/>
      </w:pPr>
    </w:p>
    <w:p w14:paraId="317224E4">
      <w:pPr>
        <w:pStyle w:val="2"/>
        <w:spacing w:line="242" w:lineRule="auto"/>
      </w:pPr>
    </w:p>
    <w:p w14:paraId="234C1628">
      <w:pPr>
        <w:pStyle w:val="2"/>
        <w:spacing w:line="242" w:lineRule="auto"/>
      </w:pPr>
    </w:p>
    <w:p w14:paraId="5181D545">
      <w:pPr>
        <w:pStyle w:val="2"/>
        <w:spacing w:line="242" w:lineRule="auto"/>
      </w:pPr>
    </w:p>
    <w:p w14:paraId="60FBB3C0">
      <w:pPr>
        <w:pStyle w:val="2"/>
        <w:spacing w:line="242" w:lineRule="auto"/>
      </w:pPr>
    </w:p>
    <w:p w14:paraId="2CCEF2DE">
      <w:pPr>
        <w:pStyle w:val="2"/>
        <w:spacing w:line="242" w:lineRule="auto"/>
      </w:pPr>
    </w:p>
    <w:p w14:paraId="71D10ED2">
      <w:pPr>
        <w:pStyle w:val="2"/>
        <w:spacing w:line="242" w:lineRule="auto"/>
      </w:pPr>
    </w:p>
    <w:p w14:paraId="504C32BB">
      <w:pPr>
        <w:pStyle w:val="2"/>
        <w:spacing w:line="242" w:lineRule="auto"/>
      </w:pPr>
    </w:p>
    <w:p w14:paraId="5955AD94">
      <w:pPr>
        <w:pStyle w:val="2"/>
        <w:spacing w:line="242" w:lineRule="auto"/>
      </w:pPr>
    </w:p>
    <w:p w14:paraId="6BD84969">
      <w:pPr>
        <w:pStyle w:val="2"/>
        <w:spacing w:line="242" w:lineRule="auto"/>
      </w:pPr>
    </w:p>
    <w:p w14:paraId="3212931D">
      <w:pPr>
        <w:pStyle w:val="2"/>
        <w:spacing w:line="242" w:lineRule="auto"/>
      </w:pPr>
    </w:p>
    <w:p w14:paraId="6DCF5902">
      <w:pPr>
        <w:pStyle w:val="2"/>
        <w:spacing w:line="242" w:lineRule="auto"/>
      </w:pPr>
    </w:p>
    <w:p w14:paraId="1AB1EA93">
      <w:pPr>
        <w:pStyle w:val="2"/>
        <w:spacing w:line="242" w:lineRule="auto"/>
      </w:pPr>
    </w:p>
    <w:p w14:paraId="3FEC996C">
      <w:pPr>
        <w:pStyle w:val="2"/>
        <w:spacing w:line="242" w:lineRule="auto"/>
      </w:pPr>
    </w:p>
    <w:p w14:paraId="2933D5FB">
      <w:pPr>
        <w:pStyle w:val="2"/>
        <w:spacing w:line="242" w:lineRule="auto"/>
      </w:pPr>
    </w:p>
    <w:p w14:paraId="2B806FCA">
      <w:pPr>
        <w:pStyle w:val="2"/>
        <w:spacing w:line="242" w:lineRule="auto"/>
      </w:pPr>
    </w:p>
    <w:p w14:paraId="5C1C8807">
      <w:pPr>
        <w:pStyle w:val="2"/>
        <w:spacing w:line="242" w:lineRule="auto"/>
      </w:pPr>
    </w:p>
    <w:p w14:paraId="73FD484E">
      <w:pPr>
        <w:pStyle w:val="2"/>
        <w:spacing w:line="242" w:lineRule="auto"/>
      </w:pPr>
    </w:p>
    <w:p w14:paraId="2DAF7437">
      <w:pPr>
        <w:pStyle w:val="2"/>
        <w:spacing w:line="242" w:lineRule="auto"/>
      </w:pPr>
    </w:p>
    <w:p w14:paraId="092D5E35">
      <w:pPr>
        <w:pStyle w:val="2"/>
        <w:spacing w:line="242" w:lineRule="auto"/>
      </w:pPr>
    </w:p>
    <w:p w14:paraId="582B01F4">
      <w:pPr>
        <w:spacing w:before="65" w:line="229" w:lineRule="auto"/>
        <w:ind w:left="5411"/>
        <w:rPr>
          <w:rFonts w:ascii="FangSong_GB2312" w:hAnsi="FangSong_GB2312" w:eastAsia="FangSong_GB2312" w:cs="FangSong_GB2312"/>
          <w:sz w:val="20"/>
          <w:szCs w:val="20"/>
        </w:rPr>
      </w:pPr>
      <w:r>
        <w:pict>
          <v:shape id="_x0000_s1069" o:spid="_x0000_s1069" o:spt="202" type="#_x0000_t202" style="position:absolute;left:0pt;margin-left:218.1pt;margin-top:3pt;height:10.15pt;width:10.7pt;z-index:251738112;mso-width-relative:page;mso-height-relative:page;" filled="f" stroked="f" coordsize="21600,21600">
            <v:path/>
            <v:fill on="f" focussize="0,0"/>
            <v:stroke on="f"/>
            <v:imagedata o:title=""/>
            <o:lock v:ext="edit" aspectratio="f"/>
            <v:textbox inset="0mm,0mm,0mm,0mm">
              <w:txbxContent>
                <w:p w14:paraId="53B19187">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txbxContent>
            </v:textbox>
          </v:shape>
        </w:pict>
      </w:r>
      <w:r>
        <w:rPr>
          <w:rFonts w:ascii="FangSong_GB2312" w:hAnsi="FangSong_GB2312" w:eastAsia="FangSong_GB2312" w:cs="FangSong_GB2312"/>
          <w:spacing w:val="8"/>
          <w:sz w:val="20"/>
          <w:szCs w:val="20"/>
        </w:rPr>
        <w:t>剑阁县绿森林业勘察设计有限公司</w:t>
      </w:r>
    </w:p>
    <w:p w14:paraId="2219B0BD">
      <w:pPr>
        <w:spacing w:line="229" w:lineRule="auto"/>
        <w:rPr>
          <w:rFonts w:ascii="FangSong_GB2312" w:hAnsi="FangSong_GB2312" w:eastAsia="FangSong_GB2312" w:cs="FangSong_GB2312"/>
          <w:sz w:val="20"/>
          <w:szCs w:val="20"/>
        </w:rPr>
        <w:sectPr>
          <w:headerReference r:id="rId54" w:type="default"/>
          <w:pgSz w:w="11906" w:h="16839"/>
          <w:pgMar w:top="1159" w:right="1453" w:bottom="400" w:left="1487" w:header="831" w:footer="0" w:gutter="0"/>
          <w:cols w:space="720" w:num="1"/>
        </w:sectPr>
      </w:pPr>
    </w:p>
    <w:p w14:paraId="0FDBD228">
      <w:pPr>
        <w:pStyle w:val="2"/>
        <w:spacing w:line="353" w:lineRule="auto"/>
      </w:pPr>
    </w:p>
    <w:p w14:paraId="7468EE5C">
      <w:pPr>
        <w:spacing w:before="101" w:line="219" w:lineRule="auto"/>
        <w:ind w:left="1571"/>
        <w:outlineLvl w:val="0"/>
        <w:rPr>
          <w:rFonts w:ascii="FangSong_GB2312" w:hAnsi="FangSong_GB2312" w:eastAsia="FangSong_GB2312" w:cs="FangSong_GB2312"/>
          <w:sz w:val="31"/>
          <w:szCs w:val="31"/>
        </w:rPr>
      </w:pPr>
      <w:bookmarkStart w:id="72" w:name="bookmark60"/>
      <w:bookmarkEnd w:id="72"/>
      <w:bookmarkStart w:id="73" w:name="bookmark59"/>
      <w:bookmarkEnd w:id="73"/>
      <w:r>
        <w:rPr>
          <w:rFonts w:ascii="Times New Roman" w:hAnsi="Times New Roman" w:eastAsia="Times New Roman" w:cs="Times New Roman"/>
          <w:b/>
          <w:bCs/>
          <w:spacing w:val="6"/>
          <w:sz w:val="31"/>
          <w:szCs w:val="31"/>
        </w:rPr>
        <w:t xml:space="preserve">5  </w:t>
      </w:r>
      <w:r>
        <w:rPr>
          <w:rFonts w:ascii="FangSong_GB2312" w:hAnsi="FangSong_GB2312" w:eastAsia="FangSong_GB2312" w:cs="FangSong_GB2312"/>
          <w:b/>
          <w:bCs/>
          <w:spacing w:val="6"/>
          <w:sz w:val="31"/>
          <w:szCs w:val="31"/>
        </w:rPr>
        <w:t>水土流失防治目标及水土保持措施设计</w:t>
      </w:r>
    </w:p>
    <w:p w14:paraId="6977A844">
      <w:pPr>
        <w:pStyle w:val="2"/>
        <w:spacing w:line="410" w:lineRule="auto"/>
      </w:pPr>
    </w:p>
    <w:p w14:paraId="7C498151">
      <w:pPr>
        <w:spacing w:before="98" w:line="214" w:lineRule="auto"/>
        <w:ind w:left="22"/>
        <w:outlineLvl w:val="1"/>
        <w:rPr>
          <w:rFonts w:ascii="FangSong_GB2312" w:hAnsi="FangSong_GB2312" w:eastAsia="FangSong_GB2312" w:cs="FangSong_GB2312"/>
          <w:sz w:val="30"/>
          <w:szCs w:val="30"/>
        </w:rPr>
      </w:pPr>
      <w:bookmarkStart w:id="74" w:name="bookmark61"/>
      <w:bookmarkEnd w:id="74"/>
      <w:bookmarkStart w:id="75" w:name="bookmark62"/>
      <w:bookmarkEnd w:id="75"/>
      <w:r>
        <w:rPr>
          <w:rFonts w:ascii="Times New Roman" w:hAnsi="Times New Roman" w:eastAsia="Times New Roman" w:cs="Times New Roman"/>
          <w:b/>
          <w:bCs/>
          <w:spacing w:val="-8"/>
          <w:sz w:val="30"/>
          <w:szCs w:val="30"/>
        </w:rPr>
        <w:t>5.1</w:t>
      </w:r>
      <w:r>
        <w:rPr>
          <w:rFonts w:ascii="Times New Roman" w:hAnsi="Times New Roman" w:eastAsia="Times New Roman" w:cs="Times New Roman"/>
          <w:b/>
          <w:bCs/>
          <w:spacing w:val="40"/>
          <w:sz w:val="30"/>
          <w:szCs w:val="30"/>
        </w:rPr>
        <w:t xml:space="preserve"> </w:t>
      </w:r>
      <w:r>
        <w:rPr>
          <w:rFonts w:ascii="FangSong_GB2312" w:hAnsi="FangSong_GB2312" w:eastAsia="FangSong_GB2312" w:cs="FangSong_GB2312"/>
          <w:b/>
          <w:bCs/>
          <w:spacing w:val="-8"/>
          <w:sz w:val="30"/>
          <w:szCs w:val="30"/>
        </w:rPr>
        <w:t>防治区划分</w:t>
      </w:r>
    </w:p>
    <w:p w14:paraId="29715310">
      <w:pPr>
        <w:pStyle w:val="2"/>
        <w:spacing w:line="354" w:lineRule="auto"/>
      </w:pPr>
    </w:p>
    <w:p w14:paraId="1EF194A4">
      <w:pPr>
        <w:spacing w:before="78" w:line="359" w:lineRule="auto"/>
        <w:ind w:left="20" w:right="70" w:firstLine="481"/>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按照《生产建设项目水土保持技术标准》（</w:t>
      </w:r>
      <w:r>
        <w:rPr>
          <w:rFonts w:ascii="Times New Roman" w:hAnsi="Times New Roman" w:eastAsia="Times New Roman" w:cs="Times New Roman"/>
          <w:spacing w:val="-2"/>
          <w:sz w:val="24"/>
          <w:szCs w:val="24"/>
        </w:rPr>
        <w:t>GB</w:t>
      </w:r>
      <w:r>
        <w:rPr>
          <w:rFonts w:ascii="Times New Roman" w:hAnsi="Times New Roman" w:eastAsia="Times New Roman" w:cs="Times New Roman"/>
          <w:spacing w:val="-3"/>
          <w:sz w:val="24"/>
          <w:szCs w:val="24"/>
        </w:rPr>
        <w:t xml:space="preserve"> 50433-2018</w:t>
      </w:r>
      <w:r>
        <w:rPr>
          <w:rFonts w:ascii="FangSong_GB2312" w:hAnsi="FangSong_GB2312" w:eastAsia="FangSong_GB2312" w:cs="FangSong_GB2312"/>
          <w:spacing w:val="-15"/>
          <w:sz w:val="24"/>
          <w:szCs w:val="24"/>
        </w:rPr>
        <w:t>），</w:t>
      </w:r>
      <w:r>
        <w:rPr>
          <w:rFonts w:ascii="FangSong_GB2312" w:hAnsi="FangSong_GB2312" w:eastAsia="FangSong_GB2312" w:cs="FangSong_GB2312"/>
          <w:spacing w:val="-3"/>
          <w:sz w:val="24"/>
          <w:szCs w:val="24"/>
        </w:rPr>
        <w:t>为了合理布设各项</w:t>
      </w:r>
      <w:r>
        <w:rPr>
          <w:rFonts w:ascii="FangSong_GB2312" w:hAnsi="FangSong_GB2312" w:eastAsia="FangSong_GB2312" w:cs="FangSong_GB2312"/>
          <w:sz w:val="24"/>
          <w:szCs w:val="24"/>
        </w:rPr>
        <w:t>水土保持措施，根据实地调查（勘测）结果，在防治责任</w:t>
      </w:r>
      <w:r>
        <w:rPr>
          <w:rFonts w:ascii="FangSong_GB2312" w:hAnsi="FangSong_GB2312" w:eastAsia="FangSong_GB2312" w:cs="FangSong_GB2312"/>
          <w:spacing w:val="-1"/>
          <w:sz w:val="24"/>
          <w:szCs w:val="24"/>
        </w:rPr>
        <w:t>范围内，依据工程布局、施</w:t>
      </w:r>
      <w:r>
        <w:rPr>
          <w:rFonts w:ascii="FangSong_GB2312" w:hAnsi="FangSong_GB2312" w:eastAsia="FangSong_GB2312" w:cs="FangSong_GB2312"/>
          <w:spacing w:val="-2"/>
          <w:sz w:val="24"/>
          <w:szCs w:val="24"/>
        </w:rPr>
        <w:t>工扰动特点、建设时序、地貌特征、</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2"/>
          <w:sz w:val="24"/>
          <w:szCs w:val="24"/>
        </w:rPr>
        <w:t>自然属性、水土流失影响等进行分区，将本项目</w:t>
      </w:r>
      <w:r>
        <w:rPr>
          <w:rFonts w:ascii="FangSong_GB2312" w:hAnsi="FangSong_GB2312" w:eastAsia="FangSong_GB2312" w:cs="FangSong_GB2312"/>
          <w:spacing w:val="-1"/>
          <w:sz w:val="24"/>
          <w:szCs w:val="24"/>
        </w:rPr>
        <w:t>的水土流失防治区划分为建构筑物工程区、硬化工程区、绿化工程区</w:t>
      </w:r>
      <w:r>
        <w:rPr>
          <w:rFonts w:ascii="FangSong_GB2312" w:hAnsi="FangSong_GB2312" w:eastAsia="FangSong_GB2312" w:cs="FangSong_GB2312"/>
          <w:spacing w:val="-34"/>
          <w:sz w:val="24"/>
          <w:szCs w:val="24"/>
        </w:rPr>
        <w:t xml:space="preserve"> </w:t>
      </w:r>
      <w:r>
        <w:rPr>
          <w:rFonts w:ascii="Times New Roman" w:hAnsi="Times New Roman" w:eastAsia="Times New Roman" w:cs="Times New Roman"/>
          <w:spacing w:val="-1"/>
          <w:sz w:val="24"/>
          <w:szCs w:val="24"/>
        </w:rPr>
        <w:t xml:space="preserve">3 </w:t>
      </w:r>
      <w:r>
        <w:rPr>
          <w:rFonts w:ascii="FangSong_GB2312" w:hAnsi="FangSong_GB2312" w:eastAsia="FangSong_GB2312" w:cs="FangSong_GB2312"/>
          <w:spacing w:val="-1"/>
          <w:sz w:val="24"/>
          <w:szCs w:val="24"/>
        </w:rPr>
        <w:t>个防治分区。</w:t>
      </w:r>
      <w:r>
        <w:rPr>
          <w:rFonts w:ascii="FangSong_GB2312" w:hAnsi="FangSong_GB2312" w:eastAsia="FangSong_GB2312" w:cs="FangSong_GB2312"/>
          <w:spacing w:val="-2"/>
          <w:sz w:val="24"/>
          <w:szCs w:val="24"/>
        </w:rPr>
        <w:t xml:space="preserve">具体情况见表 </w:t>
      </w:r>
      <w:r>
        <w:rPr>
          <w:rFonts w:ascii="Times New Roman" w:hAnsi="Times New Roman" w:eastAsia="Times New Roman" w:cs="Times New Roman"/>
          <w:spacing w:val="-2"/>
          <w:sz w:val="24"/>
          <w:szCs w:val="24"/>
        </w:rPr>
        <w:t>5-1</w:t>
      </w:r>
      <w:r>
        <w:rPr>
          <w:rFonts w:ascii="Times New Roman" w:hAnsi="Times New Roman" w:eastAsia="Times New Roman" w:cs="Times New Roman"/>
          <w:spacing w:val="7"/>
          <w:sz w:val="24"/>
          <w:szCs w:val="24"/>
        </w:rPr>
        <w:t xml:space="preserve">  </w:t>
      </w:r>
      <w:r>
        <w:rPr>
          <w:rFonts w:ascii="FangSong_GB2312" w:hAnsi="FangSong_GB2312" w:eastAsia="FangSong_GB2312" w:cs="FangSong_GB2312"/>
          <w:spacing w:val="-2"/>
          <w:sz w:val="24"/>
          <w:szCs w:val="24"/>
        </w:rPr>
        <w:t>所示。</w:t>
      </w:r>
    </w:p>
    <w:p w14:paraId="605BE1BC">
      <w:pPr>
        <w:spacing w:line="221" w:lineRule="auto"/>
        <w:ind w:left="3052"/>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2"/>
          <w:sz w:val="20"/>
          <w:szCs w:val="20"/>
        </w:rPr>
        <w:t xml:space="preserve"> </w:t>
      </w:r>
      <w:r>
        <w:rPr>
          <w:rFonts w:ascii="Times New Roman" w:hAnsi="Times New Roman" w:eastAsia="Times New Roman" w:cs="Times New Roman"/>
          <w:b/>
          <w:bCs/>
          <w:spacing w:val="5"/>
          <w:sz w:val="20"/>
          <w:szCs w:val="20"/>
        </w:rPr>
        <w:t xml:space="preserve">5.1-1    </w:t>
      </w:r>
      <w:r>
        <w:rPr>
          <w:rFonts w:ascii="FangSong_GB2312" w:hAnsi="FangSong_GB2312" w:eastAsia="FangSong_GB2312" w:cs="FangSong_GB2312"/>
          <w:b/>
          <w:bCs/>
          <w:spacing w:val="5"/>
          <w:sz w:val="20"/>
          <w:szCs w:val="20"/>
        </w:rPr>
        <w:t>水土流失防治分区表</w:t>
      </w:r>
    </w:p>
    <w:tbl>
      <w:tblPr>
        <w:tblStyle w:val="6"/>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1499"/>
        <w:gridCol w:w="1319"/>
        <w:gridCol w:w="5137"/>
      </w:tblGrid>
      <w:tr w14:paraId="28E90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40" w:type="dxa"/>
            <w:vAlign w:val="top"/>
          </w:tcPr>
          <w:p w14:paraId="0EF93468">
            <w:pPr>
              <w:spacing w:before="84" w:line="216" w:lineRule="auto"/>
              <w:ind w:left="11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项目名称</w:t>
            </w:r>
          </w:p>
        </w:tc>
        <w:tc>
          <w:tcPr>
            <w:tcW w:w="1499" w:type="dxa"/>
            <w:vAlign w:val="top"/>
          </w:tcPr>
          <w:p w14:paraId="050A0863">
            <w:pPr>
              <w:spacing w:before="84" w:line="216" w:lineRule="auto"/>
              <w:ind w:left="22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防治分区名称</w:t>
            </w:r>
          </w:p>
        </w:tc>
        <w:tc>
          <w:tcPr>
            <w:tcW w:w="1319" w:type="dxa"/>
            <w:vAlign w:val="top"/>
          </w:tcPr>
          <w:p w14:paraId="729C3BB3">
            <w:pPr>
              <w:spacing w:before="84" w:line="214" w:lineRule="auto"/>
              <w:ind w:left="14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防治责任面积</w:t>
            </w:r>
          </w:p>
        </w:tc>
        <w:tc>
          <w:tcPr>
            <w:tcW w:w="5137" w:type="dxa"/>
            <w:vAlign w:val="top"/>
          </w:tcPr>
          <w:p w14:paraId="5AFE5165">
            <w:pPr>
              <w:spacing w:before="84" w:line="214" w:lineRule="auto"/>
              <w:ind w:left="186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防治责任范围说明</w:t>
            </w:r>
          </w:p>
        </w:tc>
      </w:tr>
      <w:tr w14:paraId="12622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40" w:type="dxa"/>
            <w:vMerge w:val="restart"/>
            <w:tcBorders>
              <w:bottom w:val="nil"/>
            </w:tcBorders>
            <w:vAlign w:val="top"/>
          </w:tcPr>
          <w:p w14:paraId="01C30262">
            <w:pPr>
              <w:spacing w:before="29" w:line="238" w:lineRule="auto"/>
              <w:ind w:left="120" w:right="107" w:firstLine="13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剑阁县义兴镇干</w:t>
            </w:r>
          </w:p>
          <w:p w14:paraId="1BF8C2AC">
            <w:pPr>
              <w:spacing w:before="1" w:line="219" w:lineRule="auto"/>
              <w:ind w:left="11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部职工周</w:t>
            </w:r>
          </w:p>
          <w:p w14:paraId="2DCAC4AE">
            <w:pPr>
              <w:spacing w:before="21" w:line="220" w:lineRule="auto"/>
              <w:ind w:left="296" w:right="107" w:hanging="17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转房建设项目</w:t>
            </w:r>
          </w:p>
        </w:tc>
        <w:tc>
          <w:tcPr>
            <w:tcW w:w="1499" w:type="dxa"/>
            <w:vAlign w:val="top"/>
          </w:tcPr>
          <w:p w14:paraId="79E94315">
            <w:pPr>
              <w:spacing w:before="85" w:line="214" w:lineRule="auto"/>
              <w:ind w:left="12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319" w:type="dxa"/>
            <w:vAlign w:val="top"/>
          </w:tcPr>
          <w:p w14:paraId="2BE95340">
            <w:pPr>
              <w:spacing w:before="63"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5137" w:type="dxa"/>
            <w:vAlign w:val="top"/>
          </w:tcPr>
          <w:p w14:paraId="6B8BA449">
            <w:pPr>
              <w:spacing w:before="27" w:line="216" w:lineRule="auto"/>
              <w:ind w:left="152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干部周转房</w:t>
            </w:r>
            <w:r>
              <w:rPr>
                <w:rFonts w:ascii="FangSong_GB2312" w:hAnsi="FangSong_GB2312" w:eastAsia="FangSong_GB2312" w:cs="FangSong_GB2312"/>
                <w:spacing w:val="33"/>
                <w:sz w:val="18"/>
                <w:szCs w:val="18"/>
              </w:rPr>
              <w:t xml:space="preserve"> </w:t>
            </w:r>
            <w:r>
              <w:rPr>
                <w:rFonts w:ascii="Times New Roman" w:hAnsi="Times New Roman" w:eastAsia="Times New Roman" w:cs="Times New Roman"/>
                <w:spacing w:val="-4"/>
                <w:sz w:val="18"/>
                <w:szCs w:val="18"/>
              </w:rPr>
              <w:t xml:space="preserve">1  </w:t>
            </w:r>
            <w:r>
              <w:rPr>
                <w:rFonts w:ascii="FangSong_GB2312" w:hAnsi="FangSong_GB2312" w:eastAsia="FangSong_GB2312" w:cs="FangSong_GB2312"/>
                <w:spacing w:val="-4"/>
                <w:sz w:val="18"/>
                <w:szCs w:val="18"/>
              </w:rPr>
              <w:t>栋（</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FangSong_GB2312" w:hAnsi="FangSong_GB2312" w:eastAsia="FangSong_GB2312" w:cs="FangSong_GB2312"/>
                <w:spacing w:val="-4"/>
                <w:sz w:val="18"/>
                <w:szCs w:val="18"/>
              </w:rPr>
              <w:t>套）</w:t>
            </w:r>
          </w:p>
        </w:tc>
      </w:tr>
      <w:tr w14:paraId="72CE7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40" w:type="dxa"/>
            <w:vMerge w:val="continue"/>
            <w:tcBorders>
              <w:top w:val="nil"/>
              <w:bottom w:val="nil"/>
            </w:tcBorders>
            <w:vAlign w:val="top"/>
          </w:tcPr>
          <w:p w14:paraId="326E5D9E">
            <w:pPr>
              <w:rPr>
                <w:rFonts w:ascii="Arial"/>
                <w:sz w:val="21"/>
              </w:rPr>
            </w:pPr>
          </w:p>
        </w:tc>
        <w:tc>
          <w:tcPr>
            <w:tcW w:w="1499" w:type="dxa"/>
            <w:vAlign w:val="top"/>
          </w:tcPr>
          <w:p w14:paraId="51F31AFF">
            <w:pPr>
              <w:spacing w:before="86" w:line="216" w:lineRule="auto"/>
              <w:ind w:left="30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319" w:type="dxa"/>
            <w:vAlign w:val="top"/>
          </w:tcPr>
          <w:p w14:paraId="7AFF9845">
            <w:pPr>
              <w:spacing w:before="64"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137" w:type="dxa"/>
            <w:vAlign w:val="top"/>
          </w:tcPr>
          <w:p w14:paraId="33156646">
            <w:pPr>
              <w:spacing w:before="28" w:line="216" w:lineRule="auto"/>
              <w:ind w:left="220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硬化场地</w:t>
            </w:r>
          </w:p>
        </w:tc>
      </w:tr>
      <w:tr w14:paraId="4E5EE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40" w:type="dxa"/>
            <w:vMerge w:val="continue"/>
            <w:tcBorders>
              <w:top w:val="nil"/>
            </w:tcBorders>
            <w:vAlign w:val="top"/>
          </w:tcPr>
          <w:p w14:paraId="05284FDB">
            <w:pPr>
              <w:rPr>
                <w:rFonts w:ascii="Arial"/>
                <w:sz w:val="21"/>
              </w:rPr>
            </w:pPr>
          </w:p>
        </w:tc>
        <w:tc>
          <w:tcPr>
            <w:tcW w:w="1499" w:type="dxa"/>
            <w:vAlign w:val="top"/>
          </w:tcPr>
          <w:p w14:paraId="13838C40">
            <w:pPr>
              <w:spacing w:before="135" w:line="216" w:lineRule="auto"/>
              <w:ind w:left="31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319" w:type="dxa"/>
            <w:vAlign w:val="top"/>
          </w:tcPr>
          <w:p w14:paraId="68E44653">
            <w:pPr>
              <w:spacing w:before="113" w:line="188" w:lineRule="auto"/>
              <w:ind w:left="5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5137" w:type="dxa"/>
            <w:vAlign w:val="top"/>
          </w:tcPr>
          <w:p w14:paraId="40C1C88F">
            <w:pPr>
              <w:spacing w:before="75" w:line="214" w:lineRule="auto"/>
              <w:ind w:left="104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主体建筑周围及硬化场地周围绿化区域</w:t>
            </w:r>
          </w:p>
        </w:tc>
      </w:tr>
      <w:tr w14:paraId="00030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439" w:type="dxa"/>
            <w:gridSpan w:val="2"/>
            <w:vAlign w:val="top"/>
          </w:tcPr>
          <w:p w14:paraId="6D4A4F52">
            <w:pPr>
              <w:spacing w:before="71" w:line="216" w:lineRule="auto"/>
              <w:ind w:left="1045"/>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319" w:type="dxa"/>
            <w:vAlign w:val="top"/>
          </w:tcPr>
          <w:p w14:paraId="2B6B1573">
            <w:pPr>
              <w:spacing w:before="49" w:line="188" w:lineRule="auto"/>
              <w:ind w:left="47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5137" w:type="dxa"/>
            <w:vAlign w:val="top"/>
          </w:tcPr>
          <w:p w14:paraId="3B9688F3">
            <w:pPr>
              <w:spacing w:before="71" w:line="214" w:lineRule="auto"/>
              <w:ind w:left="212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项目建设区</w:t>
            </w:r>
          </w:p>
        </w:tc>
      </w:tr>
    </w:tbl>
    <w:p w14:paraId="61EA9EFB">
      <w:pPr>
        <w:spacing w:before="305" w:line="214" w:lineRule="auto"/>
        <w:ind w:left="22"/>
        <w:outlineLvl w:val="1"/>
        <w:rPr>
          <w:rFonts w:ascii="FangSong_GB2312" w:hAnsi="FangSong_GB2312" w:eastAsia="FangSong_GB2312" w:cs="FangSong_GB2312"/>
          <w:sz w:val="30"/>
          <w:szCs w:val="30"/>
        </w:rPr>
      </w:pPr>
      <w:bookmarkStart w:id="76" w:name="bookmark64"/>
      <w:bookmarkEnd w:id="76"/>
      <w:bookmarkStart w:id="77" w:name="bookmark63"/>
      <w:bookmarkEnd w:id="77"/>
      <w:r>
        <w:rPr>
          <w:rFonts w:ascii="Times New Roman" w:hAnsi="Times New Roman" w:eastAsia="Times New Roman" w:cs="Times New Roman"/>
          <w:b/>
          <w:bCs/>
          <w:spacing w:val="-7"/>
          <w:sz w:val="30"/>
          <w:szCs w:val="30"/>
        </w:rPr>
        <w:t>5.2</w:t>
      </w:r>
      <w:r>
        <w:rPr>
          <w:rFonts w:ascii="Times New Roman" w:hAnsi="Times New Roman" w:eastAsia="Times New Roman" w:cs="Times New Roman"/>
          <w:b/>
          <w:bCs/>
          <w:spacing w:val="46"/>
          <w:sz w:val="30"/>
          <w:szCs w:val="30"/>
        </w:rPr>
        <w:t xml:space="preserve"> </w:t>
      </w:r>
      <w:r>
        <w:rPr>
          <w:rFonts w:ascii="FangSong_GB2312" w:hAnsi="FangSong_GB2312" w:eastAsia="FangSong_GB2312" w:cs="FangSong_GB2312"/>
          <w:b/>
          <w:bCs/>
          <w:spacing w:val="-7"/>
          <w:sz w:val="30"/>
          <w:szCs w:val="30"/>
        </w:rPr>
        <w:t>防治措施总体布局</w:t>
      </w:r>
    </w:p>
    <w:p w14:paraId="2AFAF872">
      <w:pPr>
        <w:pStyle w:val="2"/>
        <w:spacing w:line="355" w:lineRule="auto"/>
      </w:pPr>
    </w:p>
    <w:p w14:paraId="3FF93F10">
      <w:pPr>
        <w:spacing w:before="79" w:line="359" w:lineRule="auto"/>
        <w:ind w:left="30" w:right="70" w:firstLine="47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本项目已完成全部主体工程建设，经前期核查，主</w:t>
      </w:r>
      <w:r>
        <w:rPr>
          <w:rFonts w:ascii="FangSong_GB2312" w:hAnsi="FangSong_GB2312" w:eastAsia="FangSong_GB2312" w:cs="FangSong_GB2312"/>
          <w:spacing w:val="-1"/>
          <w:sz w:val="24"/>
          <w:szCs w:val="24"/>
        </w:rPr>
        <w:t>体工程设计中已包含满足《中华人民共和国水土保持法》《四川省〈中华人民共和国水土保持法〉实施办法》及相关技术标准要求的水土保持措施，无需新增补充性水土保持措施。</w:t>
      </w:r>
    </w:p>
    <w:p w14:paraId="2B4076DD">
      <w:pPr>
        <w:spacing w:before="3" w:line="359" w:lineRule="auto"/>
        <w:ind w:left="21" w:right="10" w:firstLine="476"/>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 xml:space="preserve">依据《四川省〈中华人民共和国水土保持法〉实施办法》第二十三条 </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对主体工</w:t>
      </w:r>
      <w:r>
        <w:rPr>
          <w:rFonts w:ascii="FangSong_GB2312" w:hAnsi="FangSong_GB2312" w:eastAsia="FangSong_GB2312" w:cs="FangSong_GB2312"/>
          <w:spacing w:val="-6"/>
          <w:sz w:val="24"/>
          <w:szCs w:val="24"/>
        </w:rPr>
        <w:t>程设计中已满足水土保持要求的措施，在方案中仅进行说明，不再计列投资</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4"/>
          <w:w w:val="101"/>
          <w:sz w:val="24"/>
          <w:szCs w:val="24"/>
        </w:rPr>
        <w:t xml:space="preserve">  </w:t>
      </w:r>
      <w:r>
        <w:rPr>
          <w:rFonts w:ascii="FangSong_GB2312" w:hAnsi="FangSong_GB2312" w:eastAsia="FangSong_GB2312" w:cs="FangSong_GB2312"/>
          <w:spacing w:val="-6"/>
          <w:sz w:val="24"/>
          <w:szCs w:val="24"/>
        </w:rPr>
        <w:t>的规定，</w:t>
      </w:r>
      <w:r>
        <w:rPr>
          <w:rFonts w:ascii="FangSong_GB2312" w:hAnsi="FangSong_GB2312" w:eastAsia="FangSong_GB2312" w:cs="FangSong_GB2312"/>
          <w:sz w:val="24"/>
          <w:szCs w:val="24"/>
        </w:rPr>
        <w:t>本方案重点对主体工程原有水土保持措施的合规性、有</w:t>
      </w:r>
      <w:r>
        <w:rPr>
          <w:rFonts w:ascii="FangSong_GB2312" w:hAnsi="FangSong_GB2312" w:eastAsia="FangSong_GB2312" w:cs="FangSong_GB2312"/>
          <w:spacing w:val="-1"/>
          <w:sz w:val="24"/>
          <w:szCs w:val="24"/>
        </w:rPr>
        <w:t>效性进行梳理与核验，确保其</w:t>
      </w:r>
      <w:r>
        <w:rPr>
          <w:rFonts w:ascii="FangSong_GB2312" w:hAnsi="FangSong_GB2312" w:eastAsia="FangSong_GB2312" w:cs="FangSong_GB2312"/>
          <w:sz w:val="24"/>
          <w:szCs w:val="24"/>
        </w:rPr>
        <w:t xml:space="preserve">符合 </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预防为主、生态优先、与主体工程衔接</w:t>
      </w:r>
      <w:r>
        <w:rPr>
          <w:rFonts w:ascii="Times New Roman" w:hAnsi="Times New Roman" w:eastAsia="Times New Roman" w:cs="Times New Roman"/>
          <w:sz w:val="24"/>
          <w:szCs w:val="24"/>
        </w:rPr>
        <w:t xml:space="preserve">”  </w:t>
      </w:r>
      <w:r>
        <w:rPr>
          <w:rFonts w:ascii="FangSong_GB2312" w:hAnsi="FangSong_GB2312" w:eastAsia="FangSong_GB2312" w:cs="FangSong_GB2312"/>
          <w:sz w:val="24"/>
          <w:szCs w:val="24"/>
        </w:rPr>
        <w:t>等核心原则，且无遗漏或需补充完善</w:t>
      </w:r>
      <w:r>
        <w:rPr>
          <w:rFonts w:ascii="FangSong_GB2312" w:hAnsi="FangSong_GB2312" w:eastAsia="FangSong_GB2312" w:cs="FangSong_GB2312"/>
          <w:spacing w:val="-3"/>
          <w:sz w:val="24"/>
          <w:szCs w:val="24"/>
        </w:rPr>
        <w:t>的内容。</w:t>
      </w:r>
    </w:p>
    <w:p w14:paraId="22A47163">
      <w:pPr>
        <w:spacing w:before="1" w:line="213" w:lineRule="auto"/>
        <w:ind w:left="497"/>
        <w:rPr>
          <w:rFonts w:ascii="FangSong_GB2312" w:hAnsi="FangSong_GB2312" w:eastAsia="FangSong_GB2312" w:cs="FangSong_GB2312"/>
          <w:sz w:val="24"/>
          <w:szCs w:val="24"/>
        </w:rPr>
      </w:pPr>
      <w:r>
        <w:rPr>
          <w:rFonts w:ascii="FangSong_GB2312" w:hAnsi="FangSong_GB2312" w:eastAsia="FangSong_GB2312" w:cs="FangSong_GB2312"/>
          <w:sz w:val="24"/>
          <w:szCs w:val="24"/>
        </w:rPr>
        <w:t>基于项目已完工且无新增措施的特点，设计原则在实际落地</w:t>
      </w:r>
      <w:r>
        <w:rPr>
          <w:rFonts w:ascii="FangSong_GB2312" w:hAnsi="FangSong_GB2312" w:eastAsia="FangSong_GB2312" w:cs="FangSong_GB2312"/>
          <w:spacing w:val="-1"/>
          <w:sz w:val="24"/>
          <w:szCs w:val="24"/>
        </w:rPr>
        <w:t>中具体体现为：</w:t>
      </w:r>
    </w:p>
    <w:p w14:paraId="64830206">
      <w:pPr>
        <w:spacing w:before="190" w:line="323" w:lineRule="auto"/>
        <w:ind w:left="18" w:firstLine="501"/>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3"/>
          <w:sz w:val="24"/>
          <w:szCs w:val="24"/>
        </w:rPr>
        <w:t>、预防为主原则：主体工程施工阶段已通过合理安排施工工序（如分区域开</w:t>
      </w:r>
      <w:r>
        <w:rPr>
          <w:rFonts w:ascii="FangSong_GB2312" w:hAnsi="FangSong_GB2312" w:eastAsia="FangSong_GB2312" w:cs="FangSong_GB2312"/>
          <w:spacing w:val="-4"/>
          <w:sz w:val="24"/>
          <w:szCs w:val="24"/>
        </w:rPr>
        <w:t>挖、</w:t>
      </w:r>
      <w:r>
        <w:rPr>
          <w:rFonts w:ascii="FangSong_GB2312" w:hAnsi="FangSong_GB2312" w:eastAsia="FangSong_GB2312" w:cs="FangSong_GB2312"/>
          <w:sz w:val="24"/>
          <w:szCs w:val="24"/>
        </w:rPr>
        <w:t>及时回填压实）、控制地表扰动范围（严格按设计红线施工，</w:t>
      </w:r>
      <w:r>
        <w:rPr>
          <w:rFonts w:ascii="FangSong_GB2312" w:hAnsi="FangSong_GB2312" w:eastAsia="FangSong_GB2312" w:cs="FangSong_GB2312"/>
          <w:spacing w:val="-1"/>
          <w:sz w:val="24"/>
          <w:szCs w:val="24"/>
        </w:rPr>
        <w:t>未超范围破坏植被）等</w:t>
      </w:r>
      <w:r>
        <w:rPr>
          <w:rFonts w:ascii="FangSong_GB2312" w:hAnsi="FangSong_GB2312" w:eastAsia="FangSong_GB2312" w:cs="FangSong_GB2312"/>
          <w:sz w:val="24"/>
          <w:szCs w:val="24"/>
        </w:rPr>
        <w:t xml:space="preserve">预防性措施，减少施工期水土流失，且完工后无新增扰动，前期预防措施已实现 </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水</w:t>
      </w:r>
      <w:r>
        <w:rPr>
          <w:rFonts w:ascii="FangSong_GB2312" w:hAnsi="FangSong_GB2312" w:eastAsia="FangSong_GB2312" w:cs="FangSong_GB2312"/>
          <w:spacing w:val="-1"/>
          <w:sz w:val="24"/>
          <w:szCs w:val="24"/>
        </w:rPr>
        <w:t>土流失消失在前期状态</w:t>
      </w:r>
      <w:r>
        <w:rPr>
          <w:rFonts w:ascii="Times New Roman" w:hAnsi="Times New Roman" w:eastAsia="Times New Roman" w:cs="Times New Roman"/>
          <w:spacing w:val="-1"/>
          <w:sz w:val="24"/>
          <w:szCs w:val="24"/>
        </w:rPr>
        <w:t xml:space="preserve">”  </w:t>
      </w:r>
      <w:r>
        <w:rPr>
          <w:rFonts w:ascii="FangSong_GB2312" w:hAnsi="FangSong_GB2312" w:eastAsia="FangSong_GB2312" w:cs="FangSong_GB2312"/>
          <w:spacing w:val="-1"/>
          <w:sz w:val="24"/>
          <w:szCs w:val="24"/>
        </w:rPr>
        <w:t>的目标。</w:t>
      </w:r>
    </w:p>
    <w:p w14:paraId="6F357B93">
      <w:pPr>
        <w:spacing w:before="185" w:line="214" w:lineRule="auto"/>
        <w:ind w:left="497"/>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pacing w:val="2"/>
          <w:sz w:val="24"/>
          <w:szCs w:val="24"/>
        </w:rPr>
        <w:t>、确保防洪安全原则：主体工程已配套建设排水管网等设施（如排水管、雨水</w:t>
      </w:r>
    </w:p>
    <w:p w14:paraId="598E15C5">
      <w:pPr>
        <w:pStyle w:val="2"/>
        <w:spacing w:line="390" w:lineRule="auto"/>
      </w:pPr>
    </w:p>
    <w:p w14:paraId="12F018A7">
      <w:pPr>
        <w:spacing w:before="66" w:line="229" w:lineRule="auto"/>
        <w:ind w:left="5396"/>
        <w:rPr>
          <w:rFonts w:ascii="FangSong_GB2312" w:hAnsi="FangSong_GB2312" w:eastAsia="FangSong_GB2312" w:cs="FangSong_GB2312"/>
          <w:sz w:val="20"/>
          <w:szCs w:val="20"/>
        </w:rPr>
      </w:pPr>
      <w:r>
        <w:pict>
          <v:shape id="_x0000_s1070" o:spid="_x0000_s1070" o:spt="202" type="#_x0000_t202" style="position:absolute;left:0pt;margin-left:217.4pt;margin-top:3pt;height:10.15pt;width:10.7pt;z-index:251739136;mso-width-relative:page;mso-height-relative:page;" filled="f" stroked="f" coordsize="21600,21600">
            <v:path/>
            <v:fill on="f" focussize="0,0"/>
            <v:stroke on="f"/>
            <v:imagedata o:title=""/>
            <o:lock v:ext="edit" aspectratio="f"/>
            <v:textbox inset="0mm,0mm,0mm,0mm">
              <w:txbxContent>
                <w:p w14:paraId="3D110F31">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txbxContent>
            </v:textbox>
          </v:shape>
        </w:pict>
      </w:r>
      <w:r>
        <w:rPr>
          <w:rFonts w:ascii="FangSong_GB2312" w:hAnsi="FangSong_GB2312" w:eastAsia="FangSong_GB2312" w:cs="FangSong_GB2312"/>
          <w:spacing w:val="8"/>
          <w:sz w:val="20"/>
          <w:szCs w:val="20"/>
        </w:rPr>
        <w:t>剑阁县绿森林业勘察设计有限公司</w:t>
      </w:r>
    </w:p>
    <w:p w14:paraId="2C9CA77A">
      <w:pPr>
        <w:spacing w:line="229" w:lineRule="auto"/>
        <w:rPr>
          <w:rFonts w:ascii="FangSong_GB2312" w:hAnsi="FangSong_GB2312" w:eastAsia="FangSong_GB2312" w:cs="FangSong_GB2312"/>
          <w:sz w:val="20"/>
          <w:szCs w:val="20"/>
        </w:rPr>
        <w:sectPr>
          <w:headerReference r:id="rId55" w:type="default"/>
          <w:pgSz w:w="11906" w:h="16839"/>
          <w:pgMar w:top="1159" w:right="1443" w:bottom="400" w:left="1502" w:header="831" w:footer="0" w:gutter="0"/>
          <w:cols w:space="720" w:num="1"/>
        </w:sectPr>
      </w:pPr>
    </w:p>
    <w:p w14:paraId="2C05495F">
      <w:pPr>
        <w:spacing w:before="202" w:line="358" w:lineRule="auto"/>
        <w:ind w:left="17" w:right="70" w:firstLine="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井、雨水口设置</w:t>
      </w:r>
      <w:r>
        <w:rPr>
          <w:rFonts w:ascii="FangSong_GB2312" w:hAnsi="FangSong_GB2312" w:eastAsia="FangSong_GB2312" w:cs="FangSong_GB2312"/>
          <w:spacing w:val="8"/>
          <w:sz w:val="24"/>
          <w:szCs w:val="24"/>
        </w:rPr>
        <w:t>），</w:t>
      </w:r>
      <w:r>
        <w:rPr>
          <w:rFonts w:ascii="FangSong_GB2312" w:hAnsi="FangSong_GB2312" w:eastAsia="FangSong_GB2312" w:cs="FangSong_GB2312"/>
          <w:spacing w:val="-1"/>
          <w:sz w:val="24"/>
          <w:szCs w:val="24"/>
        </w:rPr>
        <w:t>经完工后核查，未出现因工程建设导致周边河</w:t>
      </w:r>
      <w:r>
        <w:rPr>
          <w:rFonts w:ascii="FangSong_GB2312" w:hAnsi="FangSong_GB2312" w:eastAsia="FangSong_GB2312" w:cs="FangSong_GB2312"/>
          <w:spacing w:val="-2"/>
          <w:sz w:val="24"/>
          <w:szCs w:val="24"/>
        </w:rPr>
        <w:t>道淤积、污染的情况，防洪安全相关措施功能完好。</w:t>
      </w:r>
    </w:p>
    <w:p w14:paraId="30B1BF30">
      <w:pPr>
        <w:spacing w:before="3" w:line="330" w:lineRule="auto"/>
        <w:ind w:left="9" w:firstLine="480"/>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2"/>
          <w:sz w:val="24"/>
          <w:szCs w:val="24"/>
        </w:rPr>
        <w:t>、与主体工程相衔接原则：本项目水土保持设施与主体工程的衔接具备实施层</w:t>
      </w:r>
      <w:r>
        <w:rPr>
          <w:rFonts w:ascii="FangSong_GB2312" w:hAnsi="FangSong_GB2312" w:eastAsia="FangSong_GB2312" w:cs="FangSong_GB2312"/>
          <w:spacing w:val="-5"/>
          <w:sz w:val="24"/>
          <w:szCs w:val="24"/>
        </w:rPr>
        <w:t>面优势。主体工程设计阶段已统筹考虑水土保持需求，将表土剥离与回覆、排水系统、</w:t>
      </w:r>
      <w:r>
        <w:rPr>
          <w:rFonts w:ascii="FangSong_GB2312" w:hAnsi="FangSong_GB2312" w:eastAsia="FangSong_GB2312" w:cs="FangSong_GB2312"/>
          <w:sz w:val="24"/>
          <w:szCs w:val="24"/>
        </w:rPr>
        <w:t>绿化等功能模块同步纳入设计体系，实现水土保持设施</w:t>
      </w:r>
      <w:r>
        <w:rPr>
          <w:rFonts w:ascii="FangSong_GB2312" w:hAnsi="FangSong_GB2312" w:eastAsia="FangSong_GB2312" w:cs="FangSong_GB2312"/>
          <w:spacing w:val="-1"/>
          <w:sz w:val="24"/>
          <w:szCs w:val="24"/>
        </w:rPr>
        <w:t>与主体工程同步施工。项目完</w:t>
      </w:r>
      <w:r>
        <w:rPr>
          <w:rFonts w:ascii="FangSong_GB2312" w:hAnsi="FangSong_GB2312" w:eastAsia="FangSong_GB2312" w:cs="FangSong_GB2312"/>
          <w:sz w:val="24"/>
          <w:szCs w:val="24"/>
        </w:rPr>
        <w:t>工后，无需额外补充水土保持专项设计，既减少了重复</w:t>
      </w:r>
      <w:r>
        <w:rPr>
          <w:rFonts w:ascii="FangSong_GB2312" w:hAnsi="FangSong_GB2312" w:eastAsia="FangSong_GB2312" w:cs="FangSong_GB2312"/>
          <w:spacing w:val="-1"/>
          <w:sz w:val="24"/>
          <w:szCs w:val="24"/>
        </w:rPr>
        <w:t>设计成本，也避免了工程措施</w:t>
      </w:r>
      <w:r>
        <w:rPr>
          <w:rFonts w:ascii="FangSong_GB2312" w:hAnsi="FangSong_GB2312" w:eastAsia="FangSong_GB2312" w:cs="FangSong_GB2312"/>
          <w:spacing w:val="-2"/>
          <w:sz w:val="24"/>
          <w:szCs w:val="24"/>
        </w:rPr>
        <w:t>衔接脱节的风险。</w:t>
      </w:r>
    </w:p>
    <w:p w14:paraId="20B53257">
      <w:pPr>
        <w:spacing w:before="191" w:line="310" w:lineRule="auto"/>
        <w:ind w:left="21" w:right="10" w:firstLine="462"/>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4</w:t>
      </w:r>
      <w:r>
        <w:rPr>
          <w:rFonts w:ascii="FangSong_GB2312" w:hAnsi="FangSong_GB2312" w:eastAsia="FangSong_GB2312" w:cs="FangSong_GB2312"/>
          <w:spacing w:val="-3"/>
          <w:sz w:val="24"/>
          <w:szCs w:val="24"/>
        </w:rPr>
        <w:t xml:space="preserve">、综合防治原则：主体工程已按 </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全面治理与重点治理结合</w:t>
      </w:r>
      <w:r>
        <w:rPr>
          <w:rFonts w:ascii="Times New Roman" w:hAnsi="Times New Roman" w:eastAsia="Times New Roman" w:cs="Times New Roman"/>
          <w:spacing w:val="-3"/>
          <w:sz w:val="24"/>
          <w:szCs w:val="24"/>
        </w:rPr>
        <w:t xml:space="preserve">”  </w:t>
      </w:r>
      <w:r>
        <w:rPr>
          <w:rFonts w:ascii="FangSong_GB2312" w:hAnsi="FangSong_GB2312" w:eastAsia="FangSong_GB2312" w:cs="FangSong_GB2312"/>
          <w:spacing w:val="-3"/>
          <w:sz w:val="24"/>
          <w:szCs w:val="24"/>
        </w:rPr>
        <w:t>思路，划分水土流</w:t>
      </w:r>
      <w:r>
        <w:rPr>
          <w:rFonts w:ascii="FangSong_GB2312" w:hAnsi="FangSong_GB2312" w:eastAsia="FangSong_GB2312" w:cs="FangSong_GB2312"/>
          <w:spacing w:val="-9"/>
          <w:sz w:val="24"/>
          <w:szCs w:val="24"/>
        </w:rPr>
        <w:t>失防治区域，并配套工程措施（如排水管、雨水井、雨水</w:t>
      </w:r>
      <w:r>
        <w:rPr>
          <w:rFonts w:ascii="FangSong_GB2312" w:hAnsi="FangSong_GB2312" w:eastAsia="FangSong_GB2312" w:cs="FangSong_GB2312"/>
          <w:spacing w:val="-66"/>
          <w:sz w:val="24"/>
          <w:szCs w:val="24"/>
        </w:rPr>
        <w:t xml:space="preserve"> </w:t>
      </w:r>
      <w:r>
        <w:rPr>
          <w:rFonts w:ascii="FangSong_GB2312" w:hAnsi="FangSong_GB2312" w:eastAsia="FangSong_GB2312" w:cs="FangSong_GB2312"/>
          <w:spacing w:val="-9"/>
          <w:sz w:val="24"/>
          <w:szCs w:val="24"/>
        </w:rPr>
        <w:t>口）、植物措施（撒播草籽</w:t>
      </w:r>
      <w:r>
        <w:rPr>
          <w:rFonts w:ascii="FangSong_GB2312" w:hAnsi="FangSong_GB2312" w:eastAsia="FangSong_GB2312" w:cs="FangSong_GB2312"/>
          <w:spacing w:val="-83"/>
          <w:sz w:val="24"/>
          <w:szCs w:val="24"/>
        </w:rPr>
        <w:t>），</w:t>
      </w:r>
      <w:r>
        <w:rPr>
          <w:rFonts w:ascii="FangSong_GB2312" w:hAnsi="FangSong_GB2312" w:eastAsia="FangSong_GB2312" w:cs="FangSong_GB2312"/>
          <w:spacing w:val="-1"/>
          <w:sz w:val="24"/>
          <w:szCs w:val="24"/>
        </w:rPr>
        <w:t>完工后各类措施均保留且有效，无需新增综合防治手段。</w:t>
      </w:r>
    </w:p>
    <w:p w14:paraId="43A78DB8">
      <w:pPr>
        <w:spacing w:before="190" w:line="311" w:lineRule="auto"/>
        <w:ind w:left="16" w:right="70" w:firstLine="475"/>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、生态优先原则：主体工程选用适宜乡土植物（如小麦冬）进行绿化，与周边</w:t>
      </w:r>
      <w:r>
        <w:rPr>
          <w:rFonts w:ascii="FangSong_GB2312" w:hAnsi="FangSong_GB2312" w:eastAsia="FangSong_GB2312" w:cs="FangSong_GB2312"/>
          <w:sz w:val="24"/>
          <w:szCs w:val="24"/>
        </w:rPr>
        <w:t>自然环境协调，完工后生态景观效果达标，无破坏原有生态环境的情况，</w:t>
      </w:r>
      <w:r>
        <w:rPr>
          <w:rFonts w:ascii="FangSong_GB2312" w:hAnsi="FangSong_GB2312" w:eastAsia="FangSong_GB2312" w:cs="FangSong_GB2312"/>
          <w:spacing w:val="-1"/>
          <w:sz w:val="24"/>
          <w:szCs w:val="24"/>
        </w:rPr>
        <w:t xml:space="preserve">符合 </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生态</w:t>
      </w:r>
      <w:r>
        <w:rPr>
          <w:rFonts w:ascii="FangSong_GB2312" w:hAnsi="FangSong_GB2312" w:eastAsia="FangSong_GB2312" w:cs="FangSong_GB2312"/>
          <w:spacing w:val="-5"/>
          <w:sz w:val="24"/>
          <w:szCs w:val="24"/>
        </w:rPr>
        <w:t>效益第一</w:t>
      </w:r>
      <w:r>
        <w:rPr>
          <w:rFonts w:ascii="Times New Roman" w:hAnsi="Times New Roman" w:eastAsia="Times New Roman" w:cs="Times New Roman"/>
          <w:spacing w:val="-5"/>
          <w:sz w:val="24"/>
          <w:szCs w:val="24"/>
        </w:rPr>
        <w:t>”</w:t>
      </w:r>
      <w:r>
        <w:rPr>
          <w:rFonts w:ascii="Times New Roman" w:hAnsi="Times New Roman" w:eastAsia="Times New Roman" w:cs="Times New Roman"/>
          <w:spacing w:val="11"/>
          <w:sz w:val="24"/>
          <w:szCs w:val="24"/>
        </w:rPr>
        <w:t xml:space="preserve">  </w:t>
      </w:r>
      <w:r>
        <w:rPr>
          <w:rFonts w:ascii="FangSong_GB2312" w:hAnsi="FangSong_GB2312" w:eastAsia="FangSong_GB2312" w:cs="FangSong_GB2312"/>
          <w:spacing w:val="-5"/>
          <w:sz w:val="24"/>
          <w:szCs w:val="24"/>
        </w:rPr>
        <w:t>要求。</w:t>
      </w:r>
    </w:p>
    <w:p w14:paraId="5DAEC0E0">
      <w:pPr>
        <w:spacing w:before="186" w:line="287" w:lineRule="auto"/>
        <w:ind w:left="10" w:right="70" w:firstLine="480"/>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6</w:t>
      </w:r>
      <w:r>
        <w:rPr>
          <w:rFonts w:ascii="FangSong_GB2312" w:hAnsi="FangSong_GB2312" w:eastAsia="FangSong_GB2312" w:cs="FangSong_GB2312"/>
          <w:spacing w:val="-3"/>
          <w:sz w:val="24"/>
          <w:szCs w:val="24"/>
        </w:rPr>
        <w:t>、经济可行原则：经核验，主体工程原有水土保持措施已实</w:t>
      </w:r>
      <w:r>
        <w:rPr>
          <w:rFonts w:ascii="FangSong_GB2312" w:hAnsi="FangSong_GB2312" w:eastAsia="FangSong_GB2312" w:cs="FangSong_GB2312"/>
          <w:spacing w:val="-4"/>
          <w:sz w:val="24"/>
          <w:szCs w:val="24"/>
        </w:rPr>
        <w:t xml:space="preserve">现 </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投资最省、水土</w:t>
      </w:r>
      <w:r>
        <w:rPr>
          <w:rFonts w:ascii="FangSong_GB2312" w:hAnsi="FangSong_GB2312" w:eastAsia="FangSong_GB2312" w:cs="FangSong_GB2312"/>
          <w:sz w:val="24"/>
          <w:szCs w:val="24"/>
        </w:rPr>
        <w:t>流失最低</w:t>
      </w:r>
      <w:r>
        <w:rPr>
          <w:rFonts w:ascii="Times New Roman" w:hAnsi="Times New Roman" w:eastAsia="Times New Roman" w:cs="Times New Roman"/>
          <w:sz w:val="24"/>
          <w:szCs w:val="24"/>
        </w:rPr>
        <w:t xml:space="preserve">”  </w:t>
      </w:r>
      <w:r>
        <w:rPr>
          <w:rFonts w:ascii="FangSong_GB2312" w:hAnsi="FangSong_GB2312" w:eastAsia="FangSong_GB2312" w:cs="FangSong_GB2312"/>
          <w:sz w:val="24"/>
          <w:szCs w:val="24"/>
        </w:rPr>
        <w:t>的目标，无冗余措施，也无需额外增加投资</w:t>
      </w:r>
      <w:r>
        <w:rPr>
          <w:rFonts w:ascii="FangSong_GB2312" w:hAnsi="FangSong_GB2312" w:eastAsia="FangSong_GB2312" w:cs="FangSong_GB2312"/>
          <w:spacing w:val="-1"/>
          <w:sz w:val="24"/>
          <w:szCs w:val="24"/>
        </w:rPr>
        <w:t>，完全满足经济合理性要求。</w:t>
      </w:r>
    </w:p>
    <w:p w14:paraId="39C6E55F">
      <w:pPr>
        <w:spacing w:before="187" w:line="214" w:lineRule="auto"/>
        <w:ind w:left="49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经综合分析，本项目水土流失防治措施体系见图</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1"/>
          <w:sz w:val="24"/>
          <w:szCs w:val="24"/>
        </w:rPr>
        <w:t>5.2-</w:t>
      </w:r>
      <w:r>
        <w:rPr>
          <w:rFonts w:ascii="Times New Roman" w:hAnsi="Times New Roman" w:eastAsia="Times New Roman" w:cs="Times New Roman"/>
          <w:spacing w:val="-2"/>
          <w:sz w:val="24"/>
          <w:szCs w:val="24"/>
        </w:rPr>
        <w:t>1</w:t>
      </w:r>
      <w:r>
        <w:rPr>
          <w:rFonts w:ascii="FangSong_GB2312" w:hAnsi="FangSong_GB2312" w:eastAsia="FangSong_GB2312" w:cs="FangSong_GB2312"/>
          <w:spacing w:val="-2"/>
          <w:sz w:val="24"/>
          <w:szCs w:val="24"/>
        </w:rPr>
        <w:t>。</w:t>
      </w:r>
    </w:p>
    <w:p w14:paraId="0D256CE0">
      <w:pPr>
        <w:pStyle w:val="2"/>
        <w:spacing w:line="353" w:lineRule="auto"/>
      </w:pPr>
    </w:p>
    <w:p w14:paraId="2A80D47F">
      <w:pPr>
        <w:spacing w:before="59" w:line="214" w:lineRule="auto"/>
        <w:ind w:left="769"/>
        <w:rPr>
          <w:rFonts w:ascii="FangSong_GB2312" w:hAnsi="FangSong_GB2312" w:eastAsia="FangSong_GB2312" w:cs="FangSong_GB2312"/>
          <w:sz w:val="18"/>
          <w:szCs w:val="18"/>
        </w:rPr>
      </w:pPr>
      <w:r>
        <w:pict>
          <v:shape id="_x0000_s1071" o:spid="_x0000_s1071" o:spt="202" type="#_x0000_t202" style="position:absolute;left:0pt;margin-left:7.95pt;margin-top:3.1pt;height:116pt;width:12.4pt;z-index:251742208;mso-width-relative:page;mso-height-relative:page;" filled="f" stroked="f" coordsize="21600,21600">
            <v:path/>
            <v:fill on="f" focussize="0,0"/>
            <v:stroke on="f"/>
            <v:imagedata o:title=""/>
            <o:lock v:ext="edit" aspectratio="f"/>
            <v:textbox inset="0mm,0mm,0mm,0mm" style="layout-flow:vertical-ideographic;">
              <w:txbxContent>
                <w:p w14:paraId="32CE1405">
                  <w:pPr>
                    <w:spacing w:before="20" w:line="207"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46"/>
                      <w:w w:val="101"/>
                      <w:sz w:val="18"/>
                      <w:szCs w:val="18"/>
                    </w:rPr>
                    <w:t>水土流失防治体系框图</w:t>
                  </w:r>
                </w:p>
              </w:txbxContent>
            </v:textbox>
          </v:shape>
        </w:pict>
      </w:r>
      <w:r>
        <w:pict>
          <v:shape id="_x0000_s1072" o:spid="_x0000_s1072" o:spt="202" type="#_x0000_t202" style="position:absolute;left:0pt;margin-left:129.3pt;margin-top:1.9pt;height:12.45pt;width:37.45pt;z-index:251745280;mso-width-relative:page;mso-height-relative:page;" filled="f" stroked="f" coordsize="21600,21600">
            <v:path/>
            <v:fill on="f" focussize="0,0"/>
            <v:stroke on="f"/>
            <v:imagedata o:title=""/>
            <o:lock v:ext="edit" aspectratio="f"/>
            <v:textbox inset="0mm,0mm,0mm,0mm">
              <w:txbxContent>
                <w:p w14:paraId="02D0B407">
                  <w:pPr>
                    <w:spacing w:before="19" w:line="214"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xbxContent>
            </v:textbox>
          </v:shape>
        </w:pict>
      </w:r>
      <w:r>
        <w:pict>
          <v:shape id="_x0000_s1073" o:spid="_x0000_s1073" o:spt="202" type="#_x0000_t202" style="position:absolute;left:0pt;margin-left:302.65pt;margin-top:2.4pt;height:12.55pt;width:37.75pt;z-index:251744256;mso-width-relative:page;mso-height-relative:page;" filled="f" stroked="f" coordsize="21600,21600">
            <v:path/>
            <v:fill on="f" focussize="0,0"/>
            <v:stroke on="f"/>
            <v:imagedata o:title=""/>
            <o:lock v:ext="edit" aspectratio="f"/>
            <v:textbox inset="0mm,0mm,0mm,0mm">
              <w:txbxContent>
                <w:p w14:paraId="3EDCDE71">
                  <w:pPr>
                    <w:spacing w:before="19" w:line="216"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表土剥离</w:t>
                  </w:r>
                </w:p>
              </w:txbxContent>
            </v:textbox>
          </v:shape>
        </w:pict>
      </w:r>
      <w:r>
        <w:drawing>
          <wp:anchor distT="0" distB="0" distL="0" distR="0" simplePos="0" relativeHeight="251740160" behindDoc="1" locked="0" layoutInCell="1" allowOverlap="1">
            <wp:simplePos x="0" y="0"/>
            <wp:positionH relativeFrom="column">
              <wp:posOffset>38100</wp:posOffset>
            </wp:positionH>
            <wp:positionV relativeFrom="paragraph">
              <wp:posOffset>-26035</wp:posOffset>
            </wp:positionV>
            <wp:extent cx="5507355" cy="165290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0"/>
                    <a:stretch>
                      <a:fillRect/>
                    </a:stretch>
                  </pic:blipFill>
                  <pic:spPr>
                    <a:xfrm>
                      <a:off x="0" y="0"/>
                      <a:ext cx="5507355" cy="1652905"/>
                    </a:xfrm>
                    <a:prstGeom prst="rect">
                      <a:avLst/>
                    </a:prstGeom>
                  </pic:spPr>
                </pic:pic>
              </a:graphicData>
            </a:graphic>
          </wp:anchor>
        </w:drawing>
      </w:r>
      <w:r>
        <w:rPr>
          <w:rFonts w:ascii="FangSong_GB2312" w:hAnsi="FangSong_GB2312" w:eastAsia="FangSong_GB2312" w:cs="FangSong_GB2312"/>
          <w:spacing w:val="-1"/>
          <w:sz w:val="18"/>
          <w:szCs w:val="18"/>
        </w:rPr>
        <w:t>建构筑物工程区</w:t>
      </w:r>
    </w:p>
    <w:p w14:paraId="40A99EDD">
      <w:pPr>
        <w:pStyle w:val="2"/>
        <w:spacing w:line="246" w:lineRule="auto"/>
      </w:pPr>
    </w:p>
    <w:p w14:paraId="04867556">
      <w:pPr>
        <w:pStyle w:val="2"/>
        <w:spacing w:line="247" w:lineRule="auto"/>
      </w:pPr>
    </w:p>
    <w:p w14:paraId="735927D7">
      <w:pPr>
        <w:spacing w:before="59" w:line="229" w:lineRule="auto"/>
        <w:ind w:left="6440"/>
        <w:rPr>
          <w:rFonts w:ascii="FangSong_GB2312" w:hAnsi="FangSong_GB2312" w:eastAsia="FangSong_GB2312" w:cs="FangSong_GB2312"/>
          <w:sz w:val="18"/>
          <w:szCs w:val="18"/>
        </w:rPr>
      </w:pPr>
      <w:r>
        <w:pict>
          <v:shape id="_x0000_s1074" o:spid="_x0000_s1074" o:spt="202" type="#_x0000_t202" style="position:absolute;left:0pt;margin-left:38.9pt;margin-top:3pt;height:12.55pt;width:46.8pt;z-index:251743232;mso-width-relative:page;mso-height-relative:page;" filled="f" stroked="f" coordsize="21600,21600">
            <v:path/>
            <v:fill on="f" focussize="0,0"/>
            <v:stroke on="f"/>
            <v:imagedata o:title=""/>
            <o:lock v:ext="edit" aspectratio="f"/>
            <v:textbox inset="0mm,0mm,0mm,0mm">
              <w:txbxContent>
                <w:p w14:paraId="6EEDBB2F">
                  <w:pPr>
                    <w:spacing w:before="19" w:line="216"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xbxContent>
            </v:textbox>
          </v:shape>
        </w:pict>
      </w:r>
      <w:r>
        <w:rPr>
          <w:rFonts w:ascii="FangSong_GB2312" w:hAnsi="FangSong_GB2312" w:eastAsia="FangSong_GB2312" w:cs="FangSong_GB2312"/>
          <w:sz w:val="18"/>
          <w:szCs w:val="18"/>
        </w:rPr>
        <w:t>/</w:t>
      </w:r>
    </w:p>
    <w:p w14:paraId="7CAB87F3">
      <w:pPr>
        <w:pStyle w:val="2"/>
        <w:spacing w:line="425" w:lineRule="auto"/>
      </w:pPr>
    </w:p>
    <w:p w14:paraId="7D9FFACA">
      <w:pPr>
        <w:spacing w:before="59" w:line="214" w:lineRule="auto"/>
        <w:ind w:left="5197"/>
        <w:rPr>
          <w:rFonts w:ascii="FangSong_GB2312" w:hAnsi="FangSong_GB2312" w:eastAsia="FangSong_GB2312" w:cs="FangSong_GB2312"/>
          <w:sz w:val="18"/>
          <w:szCs w:val="18"/>
        </w:rPr>
      </w:pPr>
      <w:r>
        <w:pict>
          <v:shape id="_x0000_s1075" o:spid="_x0000_s1075" o:spt="202" type="#_x0000_t202" style="position:absolute;left:0pt;margin-left:128.25pt;margin-top:2.9pt;height:46.15pt;width:38pt;z-index:251741184;mso-width-relative:page;mso-height-relative:page;" filled="f" stroked="f" coordsize="21600,21600">
            <v:path/>
            <v:fill on="f" focussize="0,0"/>
            <v:stroke on="f"/>
            <v:imagedata o:title=""/>
            <o:lock v:ext="edit" aspectratio="f"/>
            <v:textbox inset="0mm,0mm,0mm,0mm">
              <w:txbxContent>
                <w:p w14:paraId="21224119">
                  <w:pPr>
                    <w:spacing w:before="19" w:line="214" w:lineRule="auto"/>
                    <w:ind w:left="3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p w14:paraId="62CE9A81">
                  <w:pPr>
                    <w:pStyle w:val="2"/>
                    <w:spacing w:line="404" w:lineRule="auto"/>
                  </w:pPr>
                </w:p>
                <w:p w14:paraId="0085381A">
                  <w:pPr>
                    <w:spacing w:before="59" w:line="214" w:lineRule="auto"/>
                    <w:ind w:left="2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植物措施</w:t>
                  </w:r>
                </w:p>
              </w:txbxContent>
            </v:textbox>
          </v:shape>
        </w:pict>
      </w:r>
      <w:r>
        <w:rPr>
          <w:rFonts w:ascii="FangSong_GB2312" w:hAnsi="FangSong_GB2312" w:eastAsia="FangSong_GB2312" w:cs="FangSong_GB2312"/>
          <w:spacing w:val="-1"/>
          <w:sz w:val="18"/>
          <w:szCs w:val="18"/>
        </w:rPr>
        <w:t>表土回覆、盖板排水沟、雨水井</w:t>
      </w:r>
    </w:p>
    <w:p w14:paraId="12A81E5D">
      <w:pPr>
        <w:spacing w:before="216" w:line="216" w:lineRule="auto"/>
        <w:ind w:left="100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p w14:paraId="4877ACAD">
      <w:pPr>
        <w:spacing w:before="78" w:line="216" w:lineRule="auto"/>
        <w:ind w:left="56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栽植灌木、撒播草籽</w:t>
      </w:r>
    </w:p>
    <w:p w14:paraId="66E6E737">
      <w:pPr>
        <w:spacing w:before="271" w:line="222" w:lineRule="auto"/>
        <w:ind w:left="3040"/>
        <w:rPr>
          <w:rFonts w:ascii="FangSong_GB2312" w:hAnsi="FangSong_GB2312" w:eastAsia="FangSong_GB2312" w:cs="FangSong_GB2312"/>
          <w:sz w:val="20"/>
          <w:szCs w:val="20"/>
        </w:rPr>
      </w:pPr>
      <w:r>
        <w:rPr>
          <w:rFonts w:ascii="FangSong_GB2312" w:hAnsi="FangSong_GB2312" w:eastAsia="FangSong_GB2312" w:cs="FangSong_GB2312"/>
          <w:b/>
          <w:bCs/>
          <w:spacing w:val="4"/>
          <w:sz w:val="20"/>
          <w:szCs w:val="20"/>
        </w:rPr>
        <w:t>图</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4"/>
          <w:sz w:val="20"/>
          <w:szCs w:val="20"/>
        </w:rPr>
        <w:t xml:space="preserve">5.2-1 </w:t>
      </w:r>
      <w:r>
        <w:rPr>
          <w:rFonts w:ascii="FangSong_GB2312" w:hAnsi="FangSong_GB2312" w:eastAsia="FangSong_GB2312" w:cs="FangSong_GB2312"/>
          <w:b/>
          <w:bCs/>
          <w:spacing w:val="4"/>
          <w:sz w:val="20"/>
          <w:szCs w:val="20"/>
        </w:rPr>
        <w:t>水土保持措施体系框图</w:t>
      </w:r>
    </w:p>
    <w:p w14:paraId="7A51C0C7">
      <w:pPr>
        <w:spacing w:before="183" w:line="214" w:lineRule="auto"/>
        <w:ind w:left="10"/>
        <w:outlineLvl w:val="1"/>
        <w:rPr>
          <w:rFonts w:ascii="FangSong_GB2312" w:hAnsi="FangSong_GB2312" w:eastAsia="FangSong_GB2312" w:cs="FangSong_GB2312"/>
          <w:sz w:val="30"/>
          <w:szCs w:val="30"/>
        </w:rPr>
      </w:pPr>
      <w:bookmarkStart w:id="78" w:name="bookmark66"/>
      <w:bookmarkEnd w:id="78"/>
      <w:bookmarkStart w:id="79" w:name="bookmark65"/>
      <w:bookmarkEnd w:id="79"/>
      <w:r>
        <w:rPr>
          <w:rFonts w:ascii="Times New Roman" w:hAnsi="Times New Roman" w:eastAsia="Times New Roman" w:cs="Times New Roman"/>
          <w:b/>
          <w:bCs/>
          <w:spacing w:val="-3"/>
          <w:sz w:val="30"/>
          <w:szCs w:val="30"/>
        </w:rPr>
        <w:t xml:space="preserve">5.3 </w:t>
      </w:r>
      <w:r>
        <w:rPr>
          <w:rFonts w:ascii="FangSong_GB2312" w:hAnsi="FangSong_GB2312" w:eastAsia="FangSong_GB2312" w:cs="FangSong_GB2312"/>
          <w:b/>
          <w:bCs/>
          <w:spacing w:val="-3"/>
          <w:sz w:val="30"/>
          <w:szCs w:val="30"/>
        </w:rPr>
        <w:t>分区措施布设</w:t>
      </w:r>
    </w:p>
    <w:p w14:paraId="28C1CF93">
      <w:pPr>
        <w:spacing w:before="224" w:line="214" w:lineRule="auto"/>
        <w:ind w:left="448"/>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7"/>
          <w:sz w:val="24"/>
          <w:szCs w:val="24"/>
        </w:rPr>
        <w:t>、建构筑物工程区</w:t>
      </w:r>
    </w:p>
    <w:p w14:paraId="25208930">
      <w:pPr>
        <w:spacing w:before="190" w:line="359" w:lineRule="auto"/>
        <w:ind w:left="9" w:right="70" w:firstLine="478"/>
        <w:rPr>
          <w:rFonts w:ascii="FangSong_GB2312" w:hAnsi="FangSong_GB2312" w:eastAsia="FangSong_GB2312" w:cs="FangSong_GB2312"/>
          <w:sz w:val="24"/>
          <w:szCs w:val="24"/>
        </w:rPr>
      </w:pPr>
      <w:r>
        <w:rPr>
          <w:rFonts w:ascii="FangSong_GB2312" w:hAnsi="FangSong_GB2312" w:eastAsia="FangSong_GB2312" w:cs="FangSong_GB2312"/>
          <w:sz w:val="24"/>
          <w:szCs w:val="24"/>
        </w:rPr>
        <w:t>表土剥离</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已实施：为保护表土资源，在施工前已对该区域所占用的</w:t>
      </w:r>
      <w:r>
        <w:rPr>
          <w:rFonts w:ascii="FangSong_GB2312" w:hAnsi="FangSong_GB2312" w:eastAsia="FangSong_GB2312" w:cs="FangSong_GB2312"/>
          <w:spacing w:val="-41"/>
          <w:sz w:val="24"/>
          <w:szCs w:val="24"/>
        </w:rPr>
        <w:t xml:space="preserve"> </w:t>
      </w:r>
      <w:r>
        <w:rPr>
          <w:rFonts w:ascii="Times New Roman" w:hAnsi="Times New Roman" w:eastAsia="Times New Roman" w:cs="Times New Roman"/>
          <w:sz w:val="24"/>
          <w:szCs w:val="24"/>
        </w:rPr>
        <w:t>0.03h</w:t>
      </w:r>
      <w:r>
        <w:rPr>
          <w:rFonts w:ascii="Times New Roman" w:hAnsi="Times New Roman" w:eastAsia="Times New Roman" w:cs="Times New Roman"/>
          <w:sz w:val="20"/>
          <w:szCs w:val="20"/>
        </w:rPr>
        <w:t>m</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10"/>
          <w:w w:val="101"/>
          <w:position w:val="6"/>
          <w:sz w:val="13"/>
          <w:szCs w:val="13"/>
        </w:rPr>
        <w:t xml:space="preserve"> </w:t>
      </w:r>
      <w:r>
        <w:rPr>
          <w:rFonts w:ascii="FangSong_GB2312" w:hAnsi="FangSong_GB2312" w:eastAsia="FangSong_GB2312" w:cs="FangSong_GB2312"/>
          <w:sz w:val="24"/>
          <w:szCs w:val="24"/>
        </w:rPr>
        <w:t>林地</w:t>
      </w:r>
      <w:r>
        <w:rPr>
          <w:rFonts w:ascii="FangSong_GB2312" w:hAnsi="FangSong_GB2312" w:eastAsia="FangSong_GB2312" w:cs="FangSong_GB2312"/>
          <w:spacing w:val="-4"/>
          <w:sz w:val="24"/>
          <w:szCs w:val="24"/>
        </w:rPr>
        <w:t>进行表土剥离，剥离厚度为</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4"/>
          <w:sz w:val="24"/>
          <w:szCs w:val="24"/>
        </w:rPr>
        <w:t>0.20m</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4"/>
          <w:sz w:val="24"/>
          <w:szCs w:val="24"/>
        </w:rPr>
        <w:t>，剥离总量</w:t>
      </w:r>
      <w:r>
        <w:rPr>
          <w:rFonts w:ascii="FangSong_GB2312" w:hAnsi="FangSong_GB2312" w:eastAsia="FangSong_GB2312" w:cs="FangSong_GB2312"/>
          <w:spacing w:val="-5"/>
          <w:sz w:val="24"/>
          <w:szCs w:val="24"/>
        </w:rPr>
        <w:t>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5"/>
          <w:sz w:val="24"/>
          <w:szCs w:val="24"/>
        </w:rPr>
        <w:t>0.01</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5"/>
          <w:sz w:val="24"/>
          <w:szCs w:val="24"/>
        </w:rPr>
        <w:t>万</w:t>
      </w:r>
      <w:r>
        <w:rPr>
          <w:rFonts w:ascii="FangSong_GB2312" w:hAnsi="FangSong_GB2312" w:eastAsia="FangSong_GB2312" w:cs="FangSong_GB2312"/>
          <w:spacing w:val="-58"/>
          <w:sz w:val="24"/>
          <w:szCs w:val="24"/>
        </w:rPr>
        <w:t xml:space="preserve"> </w:t>
      </w:r>
      <w:r>
        <w:rPr>
          <w:rFonts w:ascii="Times New Roman" w:hAnsi="Times New Roman" w:eastAsia="Times New Roman" w:cs="Times New Roman"/>
          <w:spacing w:val="-5"/>
          <w:sz w:val="24"/>
          <w:szCs w:val="24"/>
        </w:rPr>
        <w:t>m3</w:t>
      </w:r>
      <w:r>
        <w:rPr>
          <w:rFonts w:ascii="FangSong_GB2312" w:hAnsi="FangSong_GB2312" w:eastAsia="FangSong_GB2312" w:cs="FangSong_GB2312"/>
          <w:spacing w:val="-5"/>
          <w:sz w:val="24"/>
          <w:szCs w:val="24"/>
        </w:rPr>
        <w:t>。</w:t>
      </w:r>
    </w:p>
    <w:p w14:paraId="4BF6E360">
      <w:pPr>
        <w:spacing w:line="216" w:lineRule="auto"/>
        <w:ind w:left="605"/>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5"/>
          <w:sz w:val="24"/>
          <w:szCs w:val="24"/>
        </w:rPr>
        <w:t>、绿化工程区</w:t>
      </w:r>
    </w:p>
    <w:p w14:paraId="03A5D847">
      <w:pPr>
        <w:spacing w:before="187" w:line="214" w:lineRule="auto"/>
        <w:ind w:left="42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）工程措施</w:t>
      </w:r>
    </w:p>
    <w:p w14:paraId="43D3F990">
      <w:pPr>
        <w:spacing w:before="189" w:line="439" w:lineRule="auto"/>
        <w:ind w:left="5383" w:right="130" w:hanging="4896"/>
        <w:rPr>
          <w:rFonts w:ascii="FangSong_GB2312" w:hAnsi="FangSong_GB2312" w:eastAsia="FangSong_GB2312" w:cs="FangSong_GB2312"/>
          <w:sz w:val="20"/>
          <w:szCs w:val="20"/>
        </w:rPr>
      </w:pPr>
      <w:r>
        <w:pict>
          <v:shape id="_x0000_s1076" o:spid="_x0000_s1076" o:spt="202" type="#_x0000_t202" style="position:absolute;left:0pt;margin-left:216.8pt;margin-top:36.6pt;height:10.15pt;width:10.7pt;z-index:251746304;mso-width-relative:page;mso-height-relative:page;" filled="f" stroked="f" coordsize="21600,21600">
            <v:path/>
            <v:fill on="f" focussize="0,0"/>
            <v:stroke on="f"/>
            <v:imagedata o:title=""/>
            <o:lock v:ext="edit" aspectratio="f"/>
            <v:textbox inset="0mm,0mm,0mm,0mm">
              <w:txbxContent>
                <w:p w14:paraId="53D47B9E">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txbxContent>
            </v:textbox>
          </v:shape>
        </w:pict>
      </w:r>
      <w:r>
        <w:rPr>
          <w:rFonts w:ascii="FangSong_GB2312" w:hAnsi="FangSong_GB2312" w:eastAsia="FangSong_GB2312" w:cs="FangSong_GB2312"/>
          <w:spacing w:val="-2"/>
          <w:sz w:val="24"/>
          <w:szCs w:val="24"/>
        </w:rPr>
        <w:t>表土回覆</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已实施：本项目后期对</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3"/>
          <w:sz w:val="24"/>
          <w:szCs w:val="24"/>
        </w:rPr>
        <w:t>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24"/>
          <w:w w:val="101"/>
          <w:position w:val="8"/>
          <w:sz w:val="15"/>
          <w:szCs w:val="15"/>
        </w:rPr>
        <w:t xml:space="preserve"> </w:t>
      </w:r>
      <w:r>
        <w:rPr>
          <w:rFonts w:ascii="FangSong_GB2312" w:hAnsi="FangSong_GB2312" w:eastAsia="FangSong_GB2312" w:cs="FangSong_GB2312"/>
          <w:spacing w:val="-3"/>
          <w:sz w:val="24"/>
          <w:szCs w:val="24"/>
        </w:rPr>
        <w:t>绿化工程区进行表土回覆</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3"/>
          <w:sz w:val="24"/>
          <w:szCs w:val="24"/>
        </w:rPr>
        <w:t>0.01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万</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3"/>
          <w:sz w:val="24"/>
          <w:szCs w:val="24"/>
        </w:rPr>
        <w:t>m3</w:t>
      </w:r>
      <w:r>
        <w:rPr>
          <w:rFonts w:ascii="FangSong_GB2312" w:hAnsi="FangSong_GB2312" w:eastAsia="FangSong_GB2312" w:cs="FangSong_GB2312"/>
          <w:spacing w:val="-3"/>
          <w:sz w:val="24"/>
          <w:szCs w:val="24"/>
        </w:rPr>
        <w:t>，</w:t>
      </w:r>
      <w:r>
        <w:rPr>
          <w:rFonts w:ascii="FangSong_GB2312" w:hAnsi="FangSong_GB2312" w:eastAsia="FangSong_GB2312" w:cs="FangSong_GB2312"/>
          <w:spacing w:val="8"/>
          <w:sz w:val="20"/>
          <w:szCs w:val="20"/>
        </w:rPr>
        <w:t>剑阁县绿森林业勘察设计有限公司</w:t>
      </w:r>
    </w:p>
    <w:p w14:paraId="1431A2C3">
      <w:pPr>
        <w:spacing w:line="439" w:lineRule="auto"/>
        <w:rPr>
          <w:rFonts w:ascii="FangSong_GB2312" w:hAnsi="FangSong_GB2312" w:eastAsia="FangSong_GB2312" w:cs="FangSong_GB2312"/>
          <w:sz w:val="20"/>
          <w:szCs w:val="20"/>
        </w:rPr>
        <w:sectPr>
          <w:headerReference r:id="rId56" w:type="default"/>
          <w:pgSz w:w="11906" w:h="16839"/>
          <w:pgMar w:top="1159" w:right="1443" w:bottom="400" w:left="1513" w:header="831" w:footer="0" w:gutter="0"/>
          <w:cols w:space="720" w:num="1"/>
        </w:sectPr>
      </w:pPr>
    </w:p>
    <w:p w14:paraId="5010D397">
      <w:pPr>
        <w:spacing w:before="202" w:line="214" w:lineRule="auto"/>
        <w:ind w:left="128"/>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覆土厚度为</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1"/>
          <w:sz w:val="24"/>
          <w:szCs w:val="24"/>
        </w:rPr>
        <w:t>0.60m</w:t>
      </w:r>
      <w:r>
        <w:rPr>
          <w:rFonts w:ascii="FangSong_GB2312" w:hAnsi="FangSong_GB2312" w:eastAsia="FangSong_GB2312" w:cs="FangSong_GB2312"/>
          <w:spacing w:val="-1"/>
          <w:sz w:val="24"/>
          <w:szCs w:val="24"/>
        </w:rPr>
        <w:t>（按实际剥离及覆土量计算）。</w:t>
      </w:r>
    </w:p>
    <w:p w14:paraId="565AAA60">
      <w:pPr>
        <w:spacing w:before="187" w:line="357" w:lineRule="auto"/>
        <w:ind w:left="135" w:right="119" w:firstLine="480"/>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盖板排水沟</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已实施：建设期间，在绿化工程区设置</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z w:val="24"/>
          <w:szCs w:val="24"/>
        </w:rPr>
        <w:t>0.40m*0.40m</w:t>
      </w:r>
      <w:r>
        <w:rPr>
          <w:rFonts w:ascii="Times New Roman" w:hAnsi="Times New Roman" w:eastAsia="Times New Roman" w:cs="Times New Roman"/>
          <w:spacing w:val="33"/>
          <w:sz w:val="24"/>
          <w:szCs w:val="24"/>
        </w:rPr>
        <w:t xml:space="preserve"> </w:t>
      </w:r>
      <w:r>
        <w:rPr>
          <w:rFonts w:ascii="FangSong_GB2312" w:hAnsi="FangSong_GB2312" w:eastAsia="FangSong_GB2312" w:cs="FangSong_GB2312"/>
          <w:sz w:val="24"/>
          <w:szCs w:val="24"/>
        </w:rPr>
        <w:t>的</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z w:val="24"/>
          <w:szCs w:val="24"/>
        </w:rPr>
        <w:t>C25</w:t>
      </w:r>
      <w:r>
        <w:rPr>
          <w:rFonts w:ascii="Times New Roman" w:hAnsi="Times New Roman" w:eastAsia="Times New Roman" w:cs="Times New Roman"/>
          <w:spacing w:val="18"/>
          <w:sz w:val="24"/>
          <w:szCs w:val="24"/>
        </w:rPr>
        <w:t xml:space="preserve"> </w:t>
      </w:r>
      <w:r>
        <w:rPr>
          <w:rFonts w:ascii="FangSong_GB2312" w:hAnsi="FangSong_GB2312" w:eastAsia="FangSong_GB2312" w:cs="FangSong_GB2312"/>
          <w:sz w:val="24"/>
          <w:szCs w:val="24"/>
        </w:rPr>
        <w:t>盖板沟</w:t>
      </w:r>
      <w:r>
        <w:rPr>
          <w:rFonts w:ascii="Times New Roman" w:hAnsi="Times New Roman" w:eastAsia="Times New Roman" w:cs="Times New Roman"/>
          <w:spacing w:val="-4"/>
          <w:sz w:val="24"/>
          <w:szCs w:val="24"/>
        </w:rPr>
        <w:t>80m</w:t>
      </w:r>
      <w:r>
        <w:rPr>
          <w:rFonts w:ascii="FangSong_GB2312" w:hAnsi="FangSong_GB2312" w:eastAsia="FangSong_GB2312" w:cs="FangSong_GB2312"/>
          <w:spacing w:val="-4"/>
          <w:sz w:val="24"/>
          <w:szCs w:val="24"/>
        </w:rPr>
        <w:t>。</w:t>
      </w:r>
    </w:p>
    <w:p w14:paraId="4204B4D6">
      <w:pPr>
        <w:spacing w:before="8" w:line="214" w:lineRule="auto"/>
        <w:ind w:left="62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雨水井</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已实施：建设期间，在绿化工程区设置雨水井</w:t>
      </w:r>
      <w:r>
        <w:rPr>
          <w:rFonts w:ascii="Times New Roman" w:hAnsi="Times New Roman" w:eastAsia="Times New Roman" w:cs="Times New Roman"/>
          <w:spacing w:val="1"/>
          <w:sz w:val="24"/>
          <w:szCs w:val="24"/>
        </w:rPr>
        <w:t xml:space="preserve">6 </w:t>
      </w:r>
      <w:r>
        <w:rPr>
          <w:rFonts w:ascii="FangSong_GB2312" w:hAnsi="FangSong_GB2312" w:eastAsia="FangSong_GB2312" w:cs="FangSong_GB2312"/>
          <w:spacing w:val="1"/>
          <w:sz w:val="24"/>
          <w:szCs w:val="24"/>
        </w:rPr>
        <w:t>座。</w:t>
      </w:r>
    </w:p>
    <w:p w14:paraId="451C9EA4">
      <w:pPr>
        <w:spacing w:before="187" w:line="214" w:lineRule="auto"/>
        <w:ind w:left="60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）植物措施</w:t>
      </w:r>
    </w:p>
    <w:p w14:paraId="6E41E25C">
      <w:pPr>
        <w:spacing w:before="190" w:line="358" w:lineRule="auto"/>
        <w:ind w:left="130" w:right="58" w:firstLine="478"/>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栽植灌木</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已实施：建设后期，在绿化工程区内栽植灌</w:t>
      </w:r>
      <w:r>
        <w:rPr>
          <w:rFonts w:ascii="FangSong_GB2312" w:hAnsi="FangSong_GB2312" w:eastAsia="FangSong_GB2312" w:cs="FangSong_GB2312"/>
          <w:spacing w:val="-5"/>
          <w:sz w:val="24"/>
          <w:szCs w:val="24"/>
        </w:rPr>
        <w:t>木</w:t>
      </w:r>
      <w:r>
        <w:rPr>
          <w:rFonts w:ascii="FangSong_GB2312" w:hAnsi="FangSong_GB2312" w:eastAsia="FangSong_GB2312" w:cs="FangSong_GB2312"/>
          <w:spacing w:val="-31"/>
          <w:sz w:val="24"/>
          <w:szCs w:val="24"/>
        </w:rPr>
        <w:t xml:space="preserve"> </w:t>
      </w:r>
      <w:r>
        <w:rPr>
          <w:rFonts w:ascii="Times New Roman" w:hAnsi="Times New Roman" w:eastAsia="Times New Roman" w:cs="Times New Roman"/>
          <w:spacing w:val="-5"/>
          <w:sz w:val="24"/>
          <w:szCs w:val="24"/>
        </w:rPr>
        <w:t xml:space="preserve">12 </w:t>
      </w:r>
      <w:r>
        <w:rPr>
          <w:rFonts w:ascii="FangSong_GB2312" w:hAnsi="FangSong_GB2312" w:eastAsia="FangSong_GB2312" w:cs="FangSong_GB2312"/>
          <w:spacing w:val="-5"/>
          <w:sz w:val="24"/>
          <w:szCs w:val="24"/>
        </w:rPr>
        <w:t>株，采用大叶黄杨等，</w:t>
      </w:r>
      <w:r>
        <w:rPr>
          <w:rFonts w:ascii="FangSong_GB2312" w:hAnsi="FangSong_GB2312" w:eastAsia="FangSong_GB2312" w:cs="FangSong_GB2312"/>
          <w:spacing w:val="-1"/>
          <w:sz w:val="24"/>
          <w:szCs w:val="24"/>
        </w:rPr>
        <w:t>采用穴植的方式种植。</w:t>
      </w:r>
    </w:p>
    <w:p w14:paraId="7C61A3F6">
      <w:pPr>
        <w:spacing w:line="355" w:lineRule="auto"/>
        <w:ind w:left="135" w:right="48" w:firstLine="477"/>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撒播草籽</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已实施：因施工过程中对原地貌进行了地表扰</w:t>
      </w:r>
      <w:r>
        <w:rPr>
          <w:rFonts w:ascii="FangSong_GB2312" w:hAnsi="FangSong_GB2312" w:eastAsia="FangSong_GB2312" w:cs="FangSong_GB2312"/>
          <w:spacing w:val="-3"/>
          <w:sz w:val="24"/>
          <w:szCs w:val="24"/>
        </w:rPr>
        <w:t>动，施工结束后，对绿化工程区进行撒播草籽（</w:t>
      </w:r>
      <w:r>
        <w:rPr>
          <w:rFonts w:ascii="Times New Roman" w:hAnsi="Times New Roman" w:eastAsia="Times New Roman" w:cs="Times New Roman"/>
          <w:spacing w:val="-3"/>
          <w:sz w:val="24"/>
          <w:szCs w:val="24"/>
        </w:rPr>
        <w:t>100kg/hm</w:t>
      </w:r>
      <w:r>
        <w:rPr>
          <w:rFonts w:ascii="Times New Roman" w:hAnsi="Times New Roman" w:eastAsia="Times New Roman" w:cs="Times New Roman"/>
          <w:spacing w:val="-3"/>
          <w:position w:val="8"/>
          <w:sz w:val="15"/>
          <w:szCs w:val="15"/>
        </w:rPr>
        <w:t>2</w:t>
      </w:r>
      <w:r>
        <w:rPr>
          <w:rFonts w:ascii="FangSong_GB2312" w:hAnsi="FangSong_GB2312" w:eastAsia="FangSong_GB2312" w:cs="FangSong_GB2312"/>
          <w:spacing w:val="-24"/>
          <w:sz w:val="24"/>
          <w:szCs w:val="24"/>
        </w:rPr>
        <w:t>），</w:t>
      </w:r>
      <w:r>
        <w:rPr>
          <w:rFonts w:ascii="FangSong_GB2312" w:hAnsi="FangSong_GB2312" w:eastAsia="FangSong_GB2312" w:cs="FangSong_GB2312"/>
          <w:spacing w:val="-3"/>
          <w:sz w:val="24"/>
          <w:szCs w:val="24"/>
        </w:rPr>
        <w:t>撒播草籽面积共</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0.01hm</w:t>
      </w:r>
      <w:r>
        <w:rPr>
          <w:rFonts w:ascii="Times New Roman" w:hAnsi="Times New Roman" w:eastAsia="Times New Roman" w:cs="Times New Roman"/>
          <w:spacing w:val="-3"/>
          <w:position w:val="8"/>
          <w:sz w:val="15"/>
          <w:szCs w:val="15"/>
        </w:rPr>
        <w:t>2</w:t>
      </w:r>
      <w:r>
        <w:rPr>
          <w:rFonts w:ascii="FangSong_GB2312" w:hAnsi="FangSong_GB2312" w:eastAsia="FangSong_GB2312" w:cs="FangSong_GB2312"/>
          <w:spacing w:val="-3"/>
          <w:sz w:val="24"/>
          <w:szCs w:val="24"/>
        </w:rPr>
        <w:t>。草种</w:t>
      </w:r>
      <w:r>
        <w:rPr>
          <w:rFonts w:ascii="FangSong_GB2312" w:hAnsi="FangSong_GB2312" w:eastAsia="FangSong_GB2312" w:cs="FangSong_GB2312"/>
          <w:spacing w:val="-4"/>
          <w:sz w:val="24"/>
          <w:szCs w:val="24"/>
        </w:rPr>
        <w:t>主要选择黑麦草、</w:t>
      </w:r>
      <w:r>
        <w:rPr>
          <w:rFonts w:ascii="FangSong_GB2312" w:hAnsi="FangSong_GB2312" w:eastAsia="FangSong_GB2312" w:cs="FangSong_GB2312"/>
          <w:spacing w:val="-1"/>
          <w:sz w:val="24"/>
          <w:szCs w:val="24"/>
        </w:rPr>
        <w:t>高羊茅等，草种采用人工撒播的方式进行种植。</w:t>
      </w:r>
    </w:p>
    <w:p w14:paraId="525ABD15">
      <w:pPr>
        <w:spacing w:before="12" w:line="222" w:lineRule="auto"/>
        <w:ind w:left="3240"/>
        <w:rPr>
          <w:rFonts w:ascii="FangSong_GB2312" w:hAnsi="FangSong_GB2312" w:eastAsia="FangSong_GB2312" w:cs="FangSong_GB2312"/>
          <w:sz w:val="20"/>
          <w:szCs w:val="20"/>
        </w:rPr>
      </w:pPr>
      <w:bookmarkStart w:id="80" w:name="bookmark68"/>
      <w:bookmarkEnd w:id="80"/>
      <w:bookmarkStart w:id="81" w:name="bookmark67"/>
      <w:bookmarkEnd w:id="81"/>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6"/>
          <w:sz w:val="20"/>
          <w:szCs w:val="20"/>
        </w:rPr>
        <w:t xml:space="preserve"> </w:t>
      </w:r>
      <w:r>
        <w:rPr>
          <w:rFonts w:ascii="Times New Roman" w:hAnsi="Times New Roman" w:eastAsia="Times New Roman" w:cs="Times New Roman"/>
          <w:b/>
          <w:bCs/>
          <w:spacing w:val="5"/>
          <w:sz w:val="20"/>
          <w:szCs w:val="20"/>
        </w:rPr>
        <w:t xml:space="preserve">5.3-1 </w:t>
      </w:r>
      <w:r>
        <w:rPr>
          <w:rFonts w:ascii="FangSong_GB2312" w:hAnsi="FangSong_GB2312" w:eastAsia="FangSong_GB2312" w:cs="FangSong_GB2312"/>
          <w:b/>
          <w:bCs/>
          <w:spacing w:val="5"/>
          <w:sz w:val="20"/>
          <w:szCs w:val="20"/>
        </w:rPr>
        <w:t>水土保持措施汇总表</w:t>
      </w:r>
    </w:p>
    <w:p w14:paraId="4BEA62CD">
      <w:pPr>
        <w:spacing w:line="137" w:lineRule="exact"/>
      </w:pPr>
    </w:p>
    <w:tbl>
      <w:tblPr>
        <w:tblStyle w:val="6"/>
        <w:tblW w:w="90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4"/>
        <w:gridCol w:w="1116"/>
        <w:gridCol w:w="2099"/>
        <w:gridCol w:w="1373"/>
        <w:gridCol w:w="1373"/>
        <w:gridCol w:w="1387"/>
      </w:tblGrid>
      <w:tr w14:paraId="49730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744" w:type="dxa"/>
            <w:tcBorders>
              <w:top w:val="single" w:color="000000" w:sz="10" w:space="0"/>
              <w:left w:val="single" w:color="000000" w:sz="10" w:space="0"/>
            </w:tcBorders>
            <w:vAlign w:val="top"/>
          </w:tcPr>
          <w:p w14:paraId="7FE5AD32">
            <w:pPr>
              <w:spacing w:before="71" w:line="217" w:lineRule="auto"/>
              <w:ind w:left="51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防治分区</w:t>
            </w:r>
          </w:p>
        </w:tc>
        <w:tc>
          <w:tcPr>
            <w:tcW w:w="1116" w:type="dxa"/>
            <w:tcBorders>
              <w:top w:val="single" w:color="000000" w:sz="10" w:space="0"/>
            </w:tcBorders>
            <w:vAlign w:val="top"/>
          </w:tcPr>
          <w:p w14:paraId="0079DD09">
            <w:pPr>
              <w:spacing w:before="70" w:line="213" w:lineRule="auto"/>
              <w:ind w:left="19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措施类型</w:t>
            </w:r>
          </w:p>
        </w:tc>
        <w:tc>
          <w:tcPr>
            <w:tcW w:w="2099" w:type="dxa"/>
            <w:tcBorders>
              <w:top w:val="single" w:color="000000" w:sz="10" w:space="0"/>
            </w:tcBorders>
            <w:vAlign w:val="top"/>
          </w:tcPr>
          <w:p w14:paraId="47BD8AA9">
            <w:pPr>
              <w:spacing w:before="70" w:line="214" w:lineRule="auto"/>
              <w:ind w:left="6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措施名称</w:t>
            </w:r>
          </w:p>
        </w:tc>
        <w:tc>
          <w:tcPr>
            <w:tcW w:w="1373" w:type="dxa"/>
            <w:tcBorders>
              <w:top w:val="single" w:color="000000" w:sz="10" w:space="0"/>
            </w:tcBorders>
            <w:vAlign w:val="top"/>
          </w:tcPr>
          <w:p w14:paraId="2A827DC8">
            <w:pPr>
              <w:spacing w:before="70" w:line="214" w:lineRule="auto"/>
              <w:ind w:left="51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373" w:type="dxa"/>
            <w:tcBorders>
              <w:top w:val="single" w:color="000000" w:sz="10" w:space="0"/>
            </w:tcBorders>
            <w:vAlign w:val="top"/>
          </w:tcPr>
          <w:p w14:paraId="73BFEE48">
            <w:pPr>
              <w:spacing w:before="71" w:line="217" w:lineRule="auto"/>
              <w:ind w:left="52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387" w:type="dxa"/>
            <w:tcBorders>
              <w:top w:val="single" w:color="000000" w:sz="10" w:space="0"/>
              <w:right w:val="single" w:color="000000" w:sz="10" w:space="0"/>
            </w:tcBorders>
            <w:vAlign w:val="top"/>
          </w:tcPr>
          <w:p w14:paraId="57047AC7">
            <w:pPr>
              <w:spacing w:before="70" w:line="216" w:lineRule="auto"/>
              <w:ind w:left="52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备注</w:t>
            </w:r>
          </w:p>
        </w:tc>
      </w:tr>
      <w:tr w14:paraId="424D3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744" w:type="dxa"/>
            <w:tcBorders>
              <w:left w:val="single" w:color="000000" w:sz="10" w:space="0"/>
            </w:tcBorders>
            <w:vAlign w:val="top"/>
          </w:tcPr>
          <w:p w14:paraId="43FB5DEE">
            <w:pPr>
              <w:spacing w:before="71" w:line="214" w:lineRule="auto"/>
              <w:ind w:left="32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1116" w:type="dxa"/>
            <w:vAlign w:val="top"/>
          </w:tcPr>
          <w:p w14:paraId="6662B0C5">
            <w:pPr>
              <w:spacing w:before="71" w:line="214" w:lineRule="auto"/>
              <w:ind w:left="19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2099" w:type="dxa"/>
            <w:vAlign w:val="top"/>
          </w:tcPr>
          <w:p w14:paraId="067F9264">
            <w:pPr>
              <w:spacing w:before="71" w:line="216" w:lineRule="auto"/>
              <w:ind w:left="275"/>
              <w:rPr>
                <w:rFonts w:ascii="Times New Roman" w:hAnsi="Times New Roman" w:eastAsia="Times New Roman" w:cs="Times New Roman"/>
                <w:sz w:val="11"/>
                <w:szCs w:val="11"/>
              </w:rPr>
            </w:pPr>
            <w:r>
              <w:rPr>
                <w:rFonts w:ascii="FangSong_GB2312" w:hAnsi="FangSong_GB2312" w:eastAsia="FangSong_GB2312" w:cs="FangSong_GB2312"/>
                <w:spacing w:val="-3"/>
                <w:sz w:val="18"/>
                <w:szCs w:val="18"/>
              </w:rPr>
              <w:t>表土剥离</w:t>
            </w:r>
            <w:r>
              <w:rPr>
                <w:rFonts w:ascii="FangSong_GB2312" w:hAnsi="FangSong_GB2312" w:eastAsia="FangSong_GB2312" w:cs="FangSong_GB2312"/>
                <w:spacing w:val="-35"/>
                <w:sz w:val="18"/>
                <w:szCs w:val="18"/>
              </w:rPr>
              <w:t xml:space="preserve"> </w:t>
            </w:r>
            <w:r>
              <w:rPr>
                <w:rFonts w:ascii="Times New Roman" w:hAnsi="Times New Roman" w:eastAsia="Times New Roman" w:cs="Times New Roman"/>
                <w:spacing w:val="-3"/>
                <w:sz w:val="18"/>
                <w:szCs w:val="18"/>
              </w:rPr>
              <w:t>0.01</w:t>
            </w:r>
            <w:r>
              <w:rPr>
                <w:rFonts w:ascii="Times New Roman" w:hAnsi="Times New Roman" w:eastAsia="Times New Roman" w:cs="Times New Roman"/>
                <w:spacing w:val="17"/>
                <w:sz w:val="18"/>
                <w:szCs w:val="18"/>
              </w:rPr>
              <w:t xml:space="preserve"> </w:t>
            </w:r>
            <w:r>
              <w:rPr>
                <w:rFonts w:ascii="FangSong_GB2312" w:hAnsi="FangSong_GB2312" w:eastAsia="FangSong_GB2312" w:cs="FangSong_GB2312"/>
                <w:spacing w:val="-3"/>
                <w:sz w:val="18"/>
                <w:szCs w:val="18"/>
              </w:rPr>
              <w:t>万</w:t>
            </w:r>
            <w:r>
              <w:rPr>
                <w:rFonts w:ascii="FangSong_GB2312" w:hAnsi="FangSong_GB2312" w:eastAsia="FangSong_GB2312" w:cs="FangSong_GB2312"/>
                <w:spacing w:val="-43"/>
                <w:sz w:val="18"/>
                <w:szCs w:val="18"/>
              </w:rPr>
              <w:t xml:space="preserve"> </w:t>
            </w:r>
            <w:r>
              <w:rPr>
                <w:rFonts w:ascii="Times New Roman" w:hAnsi="Times New Roman" w:eastAsia="Times New Roman" w:cs="Times New Roman"/>
                <w:spacing w:val="-3"/>
                <w:sz w:val="18"/>
                <w:szCs w:val="18"/>
              </w:rPr>
              <w:t>m</w:t>
            </w:r>
            <w:r>
              <w:rPr>
                <w:rFonts w:ascii="Times New Roman" w:hAnsi="Times New Roman" w:eastAsia="Times New Roman" w:cs="Times New Roman"/>
                <w:spacing w:val="-3"/>
                <w:position w:val="5"/>
                <w:sz w:val="11"/>
                <w:szCs w:val="11"/>
              </w:rPr>
              <w:t>3</w:t>
            </w:r>
          </w:p>
        </w:tc>
        <w:tc>
          <w:tcPr>
            <w:tcW w:w="1373" w:type="dxa"/>
            <w:vAlign w:val="top"/>
          </w:tcPr>
          <w:p w14:paraId="7651C259">
            <w:pPr>
              <w:spacing w:before="84" w:line="206" w:lineRule="auto"/>
              <w:ind w:left="474"/>
              <w:rPr>
                <w:rFonts w:ascii="Times New Roman" w:hAnsi="Times New Roman" w:eastAsia="Times New Roman" w:cs="Times New Roman"/>
                <w:sz w:val="11"/>
                <w:szCs w:val="11"/>
              </w:rPr>
            </w:pPr>
            <w:r>
              <w:rPr>
                <w:rFonts w:ascii="Times New Roman" w:hAnsi="Times New Roman" w:eastAsia="Times New Roman" w:cs="Times New Roman"/>
                <w:spacing w:val="-5"/>
                <w:sz w:val="18"/>
                <w:szCs w:val="18"/>
              </w:rPr>
              <w:t>100m</w:t>
            </w:r>
            <w:r>
              <w:rPr>
                <w:rFonts w:ascii="Times New Roman" w:hAnsi="Times New Roman" w:eastAsia="Times New Roman" w:cs="Times New Roman"/>
                <w:spacing w:val="-5"/>
                <w:position w:val="5"/>
                <w:sz w:val="11"/>
                <w:szCs w:val="11"/>
              </w:rPr>
              <w:t>2</w:t>
            </w:r>
          </w:p>
        </w:tc>
        <w:tc>
          <w:tcPr>
            <w:tcW w:w="1373" w:type="dxa"/>
            <w:vAlign w:val="top"/>
          </w:tcPr>
          <w:p w14:paraId="2F7B8F12">
            <w:pPr>
              <w:spacing w:before="100"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387" w:type="dxa"/>
            <w:tcBorders>
              <w:right w:val="single" w:color="000000" w:sz="10" w:space="0"/>
            </w:tcBorders>
            <w:vAlign w:val="top"/>
          </w:tcPr>
          <w:p w14:paraId="0DEC6DAD">
            <w:pPr>
              <w:spacing w:before="71"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r w14:paraId="00569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744" w:type="dxa"/>
            <w:vMerge w:val="restart"/>
            <w:tcBorders>
              <w:left w:val="single" w:color="000000" w:sz="10" w:space="0"/>
              <w:bottom w:val="nil"/>
            </w:tcBorders>
            <w:vAlign w:val="top"/>
          </w:tcPr>
          <w:p w14:paraId="2955F840">
            <w:pPr>
              <w:spacing w:line="327" w:lineRule="auto"/>
              <w:rPr>
                <w:rFonts w:ascii="Arial"/>
                <w:sz w:val="21"/>
              </w:rPr>
            </w:pPr>
          </w:p>
          <w:p w14:paraId="7C5304B5">
            <w:pPr>
              <w:spacing w:line="328" w:lineRule="auto"/>
              <w:rPr>
                <w:rFonts w:ascii="Arial"/>
                <w:sz w:val="21"/>
              </w:rPr>
            </w:pPr>
          </w:p>
          <w:p w14:paraId="2D4F6B3E">
            <w:pPr>
              <w:spacing w:before="59" w:line="216" w:lineRule="auto"/>
              <w:ind w:left="51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1116" w:type="dxa"/>
            <w:vMerge w:val="restart"/>
            <w:tcBorders>
              <w:bottom w:val="nil"/>
            </w:tcBorders>
            <w:vAlign w:val="top"/>
          </w:tcPr>
          <w:p w14:paraId="0013C5B0">
            <w:pPr>
              <w:spacing w:line="336" w:lineRule="auto"/>
              <w:rPr>
                <w:rFonts w:ascii="Arial"/>
                <w:sz w:val="21"/>
              </w:rPr>
            </w:pPr>
          </w:p>
          <w:p w14:paraId="24BCC53B">
            <w:pPr>
              <w:spacing w:before="58" w:line="214" w:lineRule="auto"/>
              <w:ind w:left="19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2099" w:type="dxa"/>
            <w:vAlign w:val="top"/>
          </w:tcPr>
          <w:p w14:paraId="58D56F31">
            <w:pPr>
              <w:spacing w:before="75" w:line="216" w:lineRule="auto"/>
              <w:ind w:left="69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表土回覆</w:t>
            </w:r>
          </w:p>
        </w:tc>
        <w:tc>
          <w:tcPr>
            <w:tcW w:w="1373" w:type="dxa"/>
            <w:vAlign w:val="top"/>
          </w:tcPr>
          <w:p w14:paraId="69075445">
            <w:pPr>
              <w:spacing w:before="88" w:line="206" w:lineRule="auto"/>
              <w:ind w:left="474"/>
              <w:rPr>
                <w:rFonts w:ascii="Times New Roman" w:hAnsi="Times New Roman" w:eastAsia="Times New Roman" w:cs="Times New Roman"/>
                <w:sz w:val="11"/>
                <w:szCs w:val="11"/>
              </w:rPr>
            </w:pPr>
            <w:r>
              <w:rPr>
                <w:rFonts w:ascii="Times New Roman" w:hAnsi="Times New Roman" w:eastAsia="Times New Roman" w:cs="Times New Roman"/>
                <w:spacing w:val="-5"/>
                <w:sz w:val="18"/>
                <w:szCs w:val="18"/>
              </w:rPr>
              <w:t>100m</w:t>
            </w:r>
            <w:r>
              <w:rPr>
                <w:rFonts w:ascii="Times New Roman" w:hAnsi="Times New Roman" w:eastAsia="Times New Roman" w:cs="Times New Roman"/>
                <w:spacing w:val="-5"/>
                <w:position w:val="5"/>
                <w:sz w:val="11"/>
                <w:szCs w:val="11"/>
              </w:rPr>
              <w:t>3</w:t>
            </w:r>
          </w:p>
        </w:tc>
        <w:tc>
          <w:tcPr>
            <w:tcW w:w="1373" w:type="dxa"/>
            <w:vAlign w:val="top"/>
          </w:tcPr>
          <w:p w14:paraId="22D3D329">
            <w:pPr>
              <w:spacing w:before="103" w:line="188" w:lineRule="auto"/>
              <w:ind w:left="5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387" w:type="dxa"/>
            <w:tcBorders>
              <w:right w:val="single" w:color="000000" w:sz="10" w:space="0"/>
            </w:tcBorders>
            <w:vAlign w:val="top"/>
          </w:tcPr>
          <w:p w14:paraId="3A76A845">
            <w:pPr>
              <w:spacing w:before="75"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r w14:paraId="17EB4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744" w:type="dxa"/>
            <w:vMerge w:val="continue"/>
            <w:tcBorders>
              <w:top w:val="nil"/>
              <w:left w:val="single" w:color="000000" w:sz="10" w:space="0"/>
              <w:bottom w:val="nil"/>
            </w:tcBorders>
            <w:vAlign w:val="top"/>
          </w:tcPr>
          <w:p w14:paraId="4DAF9892">
            <w:pPr>
              <w:rPr>
                <w:rFonts w:ascii="Arial"/>
                <w:sz w:val="21"/>
              </w:rPr>
            </w:pPr>
          </w:p>
        </w:tc>
        <w:tc>
          <w:tcPr>
            <w:tcW w:w="1116" w:type="dxa"/>
            <w:vMerge w:val="continue"/>
            <w:tcBorders>
              <w:top w:val="nil"/>
              <w:bottom w:val="nil"/>
            </w:tcBorders>
            <w:vAlign w:val="top"/>
          </w:tcPr>
          <w:p w14:paraId="2BD6C57B">
            <w:pPr>
              <w:rPr>
                <w:rFonts w:ascii="Arial"/>
                <w:sz w:val="21"/>
              </w:rPr>
            </w:pPr>
          </w:p>
        </w:tc>
        <w:tc>
          <w:tcPr>
            <w:tcW w:w="2099" w:type="dxa"/>
            <w:vAlign w:val="top"/>
          </w:tcPr>
          <w:p w14:paraId="3EAC9320">
            <w:pPr>
              <w:spacing w:before="79" w:line="214" w:lineRule="auto"/>
              <w:ind w:left="60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盖板排水沟</w:t>
            </w:r>
          </w:p>
        </w:tc>
        <w:tc>
          <w:tcPr>
            <w:tcW w:w="1373" w:type="dxa"/>
            <w:vAlign w:val="top"/>
          </w:tcPr>
          <w:p w14:paraId="711BA43C">
            <w:pPr>
              <w:spacing w:before="148" w:line="123" w:lineRule="exact"/>
              <w:ind w:left="617"/>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1373" w:type="dxa"/>
            <w:vAlign w:val="top"/>
          </w:tcPr>
          <w:p w14:paraId="5334A666">
            <w:pPr>
              <w:spacing w:before="109" w:line="188"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1387" w:type="dxa"/>
            <w:tcBorders>
              <w:right w:val="single" w:color="000000" w:sz="10" w:space="0"/>
            </w:tcBorders>
            <w:vAlign w:val="top"/>
          </w:tcPr>
          <w:p w14:paraId="62F857A8">
            <w:pPr>
              <w:spacing w:before="78"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r w14:paraId="31248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44" w:type="dxa"/>
            <w:vMerge w:val="continue"/>
            <w:tcBorders>
              <w:top w:val="nil"/>
              <w:left w:val="single" w:color="000000" w:sz="10" w:space="0"/>
              <w:bottom w:val="nil"/>
            </w:tcBorders>
            <w:vAlign w:val="top"/>
          </w:tcPr>
          <w:p w14:paraId="3098ABDA">
            <w:pPr>
              <w:rPr>
                <w:rFonts w:ascii="Arial"/>
                <w:sz w:val="21"/>
              </w:rPr>
            </w:pPr>
          </w:p>
        </w:tc>
        <w:tc>
          <w:tcPr>
            <w:tcW w:w="1116" w:type="dxa"/>
            <w:vMerge w:val="continue"/>
            <w:tcBorders>
              <w:top w:val="nil"/>
            </w:tcBorders>
            <w:vAlign w:val="top"/>
          </w:tcPr>
          <w:p w14:paraId="5AD5A202">
            <w:pPr>
              <w:rPr>
                <w:rFonts w:ascii="Arial"/>
                <w:sz w:val="21"/>
              </w:rPr>
            </w:pPr>
          </w:p>
        </w:tc>
        <w:tc>
          <w:tcPr>
            <w:tcW w:w="2099" w:type="dxa"/>
            <w:vAlign w:val="top"/>
          </w:tcPr>
          <w:p w14:paraId="36B6A12C">
            <w:pPr>
              <w:spacing w:before="82" w:line="214" w:lineRule="auto"/>
              <w:ind w:left="79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雨水井</w:t>
            </w:r>
          </w:p>
        </w:tc>
        <w:tc>
          <w:tcPr>
            <w:tcW w:w="1373" w:type="dxa"/>
            <w:vAlign w:val="top"/>
          </w:tcPr>
          <w:p w14:paraId="59F6D73A">
            <w:pPr>
              <w:spacing w:before="82" w:line="219" w:lineRule="auto"/>
              <w:ind w:left="601"/>
              <w:rPr>
                <w:rFonts w:ascii="FangSong_GB2312" w:hAnsi="FangSong_GB2312" w:eastAsia="FangSong_GB2312" w:cs="FangSong_GB2312"/>
                <w:sz w:val="18"/>
                <w:szCs w:val="18"/>
              </w:rPr>
            </w:pPr>
            <w:r>
              <w:rPr>
                <w:rFonts w:ascii="FangSong_GB2312" w:hAnsi="FangSong_GB2312" w:eastAsia="FangSong_GB2312" w:cs="FangSong_GB2312"/>
                <w:sz w:val="18"/>
                <w:szCs w:val="18"/>
              </w:rPr>
              <w:t>座</w:t>
            </w:r>
          </w:p>
        </w:tc>
        <w:tc>
          <w:tcPr>
            <w:tcW w:w="1373" w:type="dxa"/>
            <w:vAlign w:val="top"/>
          </w:tcPr>
          <w:p w14:paraId="72BD3C3E">
            <w:pPr>
              <w:spacing w:before="113" w:line="188" w:lineRule="auto"/>
              <w:ind w:left="65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387" w:type="dxa"/>
            <w:tcBorders>
              <w:right w:val="single" w:color="000000" w:sz="10" w:space="0"/>
            </w:tcBorders>
            <w:vAlign w:val="top"/>
          </w:tcPr>
          <w:p w14:paraId="5A734380">
            <w:pPr>
              <w:spacing w:before="82"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r w14:paraId="4893A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744" w:type="dxa"/>
            <w:vMerge w:val="continue"/>
            <w:tcBorders>
              <w:top w:val="nil"/>
              <w:left w:val="single" w:color="000000" w:sz="10" w:space="0"/>
              <w:bottom w:val="nil"/>
            </w:tcBorders>
            <w:vAlign w:val="top"/>
          </w:tcPr>
          <w:p w14:paraId="388EF152">
            <w:pPr>
              <w:rPr>
                <w:rFonts w:ascii="Arial"/>
                <w:sz w:val="21"/>
              </w:rPr>
            </w:pPr>
          </w:p>
        </w:tc>
        <w:tc>
          <w:tcPr>
            <w:tcW w:w="1116" w:type="dxa"/>
            <w:vMerge w:val="restart"/>
            <w:tcBorders>
              <w:bottom w:val="nil"/>
            </w:tcBorders>
            <w:vAlign w:val="top"/>
          </w:tcPr>
          <w:p w14:paraId="378B9EE0">
            <w:pPr>
              <w:spacing w:before="245" w:line="214" w:lineRule="auto"/>
              <w:ind w:left="19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植物措施</w:t>
            </w:r>
          </w:p>
        </w:tc>
        <w:tc>
          <w:tcPr>
            <w:tcW w:w="2099" w:type="dxa"/>
            <w:vAlign w:val="top"/>
          </w:tcPr>
          <w:p w14:paraId="407D875E">
            <w:pPr>
              <w:spacing w:before="85" w:line="216" w:lineRule="auto"/>
              <w:ind w:left="69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栽植灌木</w:t>
            </w:r>
          </w:p>
        </w:tc>
        <w:tc>
          <w:tcPr>
            <w:tcW w:w="1373" w:type="dxa"/>
            <w:vAlign w:val="top"/>
          </w:tcPr>
          <w:p w14:paraId="76C9B85E">
            <w:pPr>
              <w:spacing w:before="84" w:line="214" w:lineRule="auto"/>
              <w:ind w:left="459"/>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FangSong_GB2312" w:hAnsi="FangSong_GB2312" w:eastAsia="FangSong_GB2312" w:cs="FangSong_GB2312"/>
                <w:spacing w:val="-6"/>
                <w:sz w:val="18"/>
                <w:szCs w:val="18"/>
              </w:rPr>
              <w:t>株</w:t>
            </w:r>
          </w:p>
        </w:tc>
        <w:tc>
          <w:tcPr>
            <w:tcW w:w="1373" w:type="dxa"/>
            <w:vAlign w:val="top"/>
          </w:tcPr>
          <w:p w14:paraId="2271299B">
            <w:pPr>
              <w:spacing w:before="115" w:line="188" w:lineRule="auto"/>
              <w:ind w:left="53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0.</w:t>
            </w:r>
            <w:r>
              <w:rPr>
                <w:rFonts w:ascii="Times New Roman" w:hAnsi="Times New Roman" w:eastAsia="Times New Roman" w:cs="Times New Roman"/>
                <w:spacing w:val="-23"/>
                <w:sz w:val="18"/>
                <w:szCs w:val="18"/>
              </w:rPr>
              <w:t xml:space="preserve"> </w:t>
            </w:r>
            <w:r>
              <w:rPr>
                <w:rFonts w:ascii="Times New Roman" w:hAnsi="Times New Roman" w:eastAsia="Times New Roman" w:cs="Times New Roman"/>
                <w:spacing w:val="-7"/>
                <w:sz w:val="18"/>
                <w:szCs w:val="18"/>
              </w:rPr>
              <w:t>12</w:t>
            </w:r>
          </w:p>
        </w:tc>
        <w:tc>
          <w:tcPr>
            <w:tcW w:w="1387" w:type="dxa"/>
            <w:tcBorders>
              <w:right w:val="single" w:color="000000" w:sz="10" w:space="0"/>
            </w:tcBorders>
            <w:vAlign w:val="top"/>
          </w:tcPr>
          <w:p w14:paraId="1273682F">
            <w:pPr>
              <w:spacing w:before="85"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r w14:paraId="2B81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744" w:type="dxa"/>
            <w:vMerge w:val="continue"/>
            <w:tcBorders>
              <w:top w:val="nil"/>
              <w:left w:val="single" w:color="000000" w:sz="10" w:space="0"/>
              <w:bottom w:val="single" w:color="000000" w:sz="10" w:space="0"/>
            </w:tcBorders>
            <w:vAlign w:val="top"/>
          </w:tcPr>
          <w:p w14:paraId="24FFDB1F">
            <w:pPr>
              <w:rPr>
                <w:rFonts w:ascii="Arial"/>
                <w:sz w:val="21"/>
              </w:rPr>
            </w:pPr>
          </w:p>
        </w:tc>
        <w:tc>
          <w:tcPr>
            <w:tcW w:w="1116" w:type="dxa"/>
            <w:vMerge w:val="continue"/>
            <w:tcBorders>
              <w:top w:val="nil"/>
              <w:bottom w:val="single" w:color="000000" w:sz="10" w:space="0"/>
            </w:tcBorders>
            <w:vAlign w:val="top"/>
          </w:tcPr>
          <w:p w14:paraId="4F8349F0">
            <w:pPr>
              <w:rPr>
                <w:rFonts w:ascii="Arial"/>
                <w:sz w:val="21"/>
              </w:rPr>
            </w:pPr>
          </w:p>
        </w:tc>
        <w:tc>
          <w:tcPr>
            <w:tcW w:w="2099" w:type="dxa"/>
            <w:tcBorders>
              <w:bottom w:val="single" w:color="000000" w:sz="10" w:space="0"/>
            </w:tcBorders>
            <w:vAlign w:val="top"/>
          </w:tcPr>
          <w:p w14:paraId="17B528C2">
            <w:pPr>
              <w:spacing w:before="85" w:line="216" w:lineRule="auto"/>
              <w:ind w:left="69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撒播草籽</w:t>
            </w:r>
          </w:p>
        </w:tc>
        <w:tc>
          <w:tcPr>
            <w:tcW w:w="1373" w:type="dxa"/>
            <w:tcBorders>
              <w:bottom w:val="single" w:color="000000" w:sz="10" w:space="0"/>
            </w:tcBorders>
            <w:vAlign w:val="top"/>
          </w:tcPr>
          <w:p w14:paraId="2F7851C6">
            <w:pPr>
              <w:spacing w:before="103" w:line="206" w:lineRule="auto"/>
              <w:ind w:left="543"/>
              <w:rPr>
                <w:rFonts w:ascii="Times New Roman" w:hAnsi="Times New Roman" w:eastAsia="Times New Roman" w:cs="Times New Roman"/>
                <w:sz w:val="11"/>
                <w:szCs w:val="11"/>
              </w:rPr>
            </w:pPr>
            <w:r>
              <w:rPr>
                <w:rFonts w:ascii="Times New Roman" w:hAnsi="Times New Roman" w:eastAsia="Times New Roman" w:cs="Times New Roman"/>
                <w:position w:val="-1"/>
                <w:sz w:val="18"/>
                <w:szCs w:val="18"/>
              </w:rPr>
              <w:t>hm</w:t>
            </w:r>
            <w:r>
              <w:rPr>
                <w:rFonts w:ascii="Times New Roman" w:hAnsi="Times New Roman" w:eastAsia="Times New Roman" w:cs="Times New Roman"/>
                <w:spacing w:val="1"/>
                <w:position w:val="4"/>
                <w:sz w:val="11"/>
                <w:szCs w:val="11"/>
              </w:rPr>
              <w:t>2</w:t>
            </w:r>
          </w:p>
        </w:tc>
        <w:tc>
          <w:tcPr>
            <w:tcW w:w="1373" w:type="dxa"/>
            <w:tcBorders>
              <w:bottom w:val="single" w:color="000000" w:sz="10" w:space="0"/>
            </w:tcBorders>
            <w:vAlign w:val="top"/>
          </w:tcPr>
          <w:p w14:paraId="29F9BC80">
            <w:pPr>
              <w:spacing w:before="118" w:line="188" w:lineRule="auto"/>
              <w:ind w:left="5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387" w:type="dxa"/>
            <w:tcBorders>
              <w:bottom w:val="single" w:color="000000" w:sz="10" w:space="0"/>
              <w:right w:val="single" w:color="000000" w:sz="10" w:space="0"/>
            </w:tcBorders>
            <w:vAlign w:val="top"/>
          </w:tcPr>
          <w:p w14:paraId="1D976FDF">
            <w:pPr>
              <w:spacing w:before="87" w:line="216" w:lineRule="auto"/>
              <w:ind w:left="461"/>
              <w:rPr>
                <w:rFonts w:ascii="FangSong_GB2312" w:hAnsi="FangSong_GB2312" w:eastAsia="FangSong_GB2312" w:cs="FangSong_GB2312"/>
                <w:sz w:val="18"/>
                <w:szCs w:val="18"/>
              </w:rPr>
            </w:pPr>
            <w:r>
              <w:rPr>
                <w:rFonts w:ascii="FangSong_GB2312" w:hAnsi="FangSong_GB2312" w:eastAsia="FangSong_GB2312" w:cs="FangSong_GB2312"/>
                <w:spacing w:val="-13"/>
                <w:sz w:val="18"/>
                <w:szCs w:val="18"/>
              </w:rPr>
              <w:t>已实施</w:t>
            </w:r>
          </w:p>
        </w:tc>
      </w:tr>
    </w:tbl>
    <w:p w14:paraId="12F87989">
      <w:pPr>
        <w:spacing w:before="45" w:line="216" w:lineRule="auto"/>
        <w:ind w:left="130"/>
        <w:outlineLvl w:val="1"/>
        <w:rPr>
          <w:rFonts w:ascii="FangSong_GB2312" w:hAnsi="FangSong_GB2312" w:eastAsia="FangSong_GB2312" w:cs="FangSong_GB2312"/>
          <w:sz w:val="28"/>
          <w:szCs w:val="28"/>
        </w:rPr>
      </w:pPr>
      <w:r>
        <w:rPr>
          <w:rFonts w:ascii="Times New Roman" w:hAnsi="Times New Roman" w:eastAsia="Times New Roman" w:cs="Times New Roman"/>
          <w:b/>
          <w:bCs/>
          <w:spacing w:val="-2"/>
          <w:sz w:val="30"/>
          <w:szCs w:val="30"/>
        </w:rPr>
        <w:t xml:space="preserve">5.4  </w:t>
      </w:r>
      <w:r>
        <w:rPr>
          <w:rFonts w:ascii="FangSong_GB2312" w:hAnsi="FangSong_GB2312" w:eastAsia="FangSong_GB2312" w:cs="FangSong_GB2312"/>
          <w:b/>
          <w:bCs/>
          <w:spacing w:val="-2"/>
          <w:sz w:val="28"/>
          <w:szCs w:val="28"/>
        </w:rPr>
        <w:t>施工要求</w:t>
      </w:r>
    </w:p>
    <w:p w14:paraId="31003B9B">
      <w:pPr>
        <w:spacing w:before="214" w:line="216" w:lineRule="auto"/>
        <w:ind w:left="130"/>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5.4.1 </w:t>
      </w:r>
      <w:r>
        <w:rPr>
          <w:rFonts w:ascii="FangSong_GB2312" w:hAnsi="FangSong_GB2312" w:eastAsia="FangSong_GB2312" w:cs="FangSong_GB2312"/>
          <w:b/>
          <w:bCs/>
          <w:spacing w:val="-2"/>
          <w:sz w:val="28"/>
          <w:szCs w:val="28"/>
        </w:rPr>
        <w:t>水土保持施工组织设计</w:t>
      </w:r>
    </w:p>
    <w:p w14:paraId="446FCE46">
      <w:pPr>
        <w:pStyle w:val="2"/>
        <w:spacing w:line="371" w:lineRule="auto"/>
      </w:pPr>
    </w:p>
    <w:p w14:paraId="2C186FD3">
      <w:pPr>
        <w:spacing w:before="78" w:line="214" w:lineRule="auto"/>
        <w:ind w:left="12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5.4.1.1 </w:t>
      </w:r>
      <w:r>
        <w:rPr>
          <w:rFonts w:ascii="FangSong_GB2312" w:hAnsi="FangSong_GB2312" w:eastAsia="FangSong_GB2312" w:cs="FangSong_GB2312"/>
          <w:b/>
          <w:bCs/>
          <w:spacing w:val="-2"/>
          <w:sz w:val="24"/>
          <w:szCs w:val="24"/>
        </w:rPr>
        <w:t>组织原则</w:t>
      </w:r>
    </w:p>
    <w:p w14:paraId="158DF569">
      <w:pPr>
        <w:spacing w:before="251" w:line="286" w:lineRule="auto"/>
        <w:ind w:left="124" w:right="119" w:firstLine="44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）与主体工程相配合、协调，在不影响主体工程施工的前提下，利用主体工程</w:t>
      </w:r>
      <w:r>
        <w:rPr>
          <w:rFonts w:ascii="FangSong_GB2312" w:hAnsi="FangSong_GB2312" w:eastAsia="FangSong_GB2312" w:cs="FangSong_GB2312"/>
          <w:sz w:val="24"/>
          <w:szCs w:val="24"/>
        </w:rPr>
        <w:t>创造的水、电、交通等施工条件，减少施工辅助设</w:t>
      </w:r>
      <w:r>
        <w:rPr>
          <w:rFonts w:ascii="FangSong_GB2312" w:hAnsi="FangSong_GB2312" w:eastAsia="FangSong_GB2312" w:cs="FangSong_GB2312"/>
          <w:spacing w:val="-1"/>
          <w:sz w:val="24"/>
          <w:szCs w:val="24"/>
        </w:rPr>
        <w:t>施工程量；</w:t>
      </w:r>
    </w:p>
    <w:p w14:paraId="20A2E2CA">
      <w:pPr>
        <w:spacing w:before="188" w:line="287" w:lineRule="auto"/>
        <w:ind w:left="130" w:right="119" w:firstLine="444"/>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2</w:t>
      </w:r>
      <w:r>
        <w:rPr>
          <w:rFonts w:ascii="FangSong_GB2312" w:hAnsi="FangSong_GB2312" w:eastAsia="FangSong_GB2312" w:cs="FangSong_GB2312"/>
          <w:spacing w:val="-2"/>
          <w:sz w:val="24"/>
          <w:szCs w:val="24"/>
        </w:rPr>
        <w:t>）施工进度安排坚持</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保护优先、先挡后弃、及时跟进</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的原则，各项植物防护措施应及时实施；</w:t>
      </w:r>
    </w:p>
    <w:p w14:paraId="11D85C0B">
      <w:pPr>
        <w:spacing w:before="188" w:line="287" w:lineRule="auto"/>
        <w:ind w:left="155" w:right="119" w:firstLine="41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）临时防护措施在施工前或施工过程中布置安排，及时修补永久措施未布设或</w:t>
      </w:r>
      <w:r>
        <w:rPr>
          <w:rFonts w:ascii="FangSong_GB2312" w:hAnsi="FangSong_GB2312" w:eastAsia="FangSong_GB2312" w:cs="FangSong_GB2312"/>
          <w:spacing w:val="-4"/>
          <w:sz w:val="24"/>
          <w:szCs w:val="24"/>
        </w:rPr>
        <w:t>尚未发挥作用的不足；</w:t>
      </w:r>
    </w:p>
    <w:p w14:paraId="088FD94E">
      <w:pPr>
        <w:spacing w:before="187" w:line="214" w:lineRule="auto"/>
        <w:ind w:left="574"/>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4</w:t>
      </w:r>
      <w:r>
        <w:rPr>
          <w:rFonts w:ascii="FangSong_GB2312" w:hAnsi="FangSong_GB2312" w:eastAsia="FangSong_GB2312" w:cs="FangSong_GB2312"/>
          <w:sz w:val="24"/>
          <w:szCs w:val="24"/>
        </w:rPr>
        <w:t>）工程措施与主体工程同步安排，排洪</w:t>
      </w:r>
      <w:r>
        <w:rPr>
          <w:rFonts w:ascii="FangSong_GB2312" w:hAnsi="FangSong_GB2312" w:eastAsia="FangSong_GB2312" w:cs="FangSong_GB2312"/>
          <w:spacing w:val="-1"/>
          <w:sz w:val="24"/>
          <w:szCs w:val="24"/>
        </w:rPr>
        <w:t>系统优先布设。</w:t>
      </w:r>
    </w:p>
    <w:p w14:paraId="470261A2">
      <w:pPr>
        <w:pStyle w:val="2"/>
        <w:spacing w:line="350" w:lineRule="auto"/>
      </w:pPr>
    </w:p>
    <w:p w14:paraId="5475EE13">
      <w:pPr>
        <w:spacing w:before="79" w:line="217" w:lineRule="auto"/>
        <w:ind w:left="12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5.4.1.2 </w:t>
      </w:r>
      <w:r>
        <w:rPr>
          <w:rFonts w:ascii="FangSong_GB2312" w:hAnsi="FangSong_GB2312" w:eastAsia="FangSong_GB2312" w:cs="FangSong_GB2312"/>
          <w:b/>
          <w:bCs/>
          <w:spacing w:val="-2"/>
          <w:sz w:val="24"/>
          <w:szCs w:val="24"/>
        </w:rPr>
        <w:t>施工组织形式</w:t>
      </w:r>
    </w:p>
    <w:p w14:paraId="588774D2">
      <w:pPr>
        <w:spacing w:before="244" w:line="359" w:lineRule="auto"/>
        <w:ind w:left="131" w:right="119" w:firstLine="44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水土保持工程具有工程相对集中，工程量小</w:t>
      </w:r>
      <w:r>
        <w:rPr>
          <w:rFonts w:ascii="FangSong_GB2312" w:hAnsi="FangSong_GB2312" w:eastAsia="FangSong_GB2312" w:cs="FangSong_GB2312"/>
          <w:sz w:val="24"/>
          <w:szCs w:val="24"/>
        </w:rPr>
        <w:t>的特点。主要为植物措施。不同的措</w:t>
      </w:r>
      <w:r>
        <w:rPr>
          <w:rFonts w:ascii="FangSong_GB2312" w:hAnsi="FangSong_GB2312" w:eastAsia="FangSong_GB2312" w:cs="FangSong_GB2312"/>
          <w:spacing w:val="-1"/>
          <w:sz w:val="24"/>
          <w:szCs w:val="24"/>
        </w:rPr>
        <w:t>施其施工组织形式不同，区别对待。</w:t>
      </w:r>
    </w:p>
    <w:p w14:paraId="05181E46">
      <w:pPr>
        <w:spacing w:before="36" w:line="229" w:lineRule="auto"/>
        <w:ind w:left="5505"/>
        <w:rPr>
          <w:rFonts w:ascii="FangSong_GB2312" w:hAnsi="FangSong_GB2312" w:eastAsia="FangSong_GB2312" w:cs="FangSong_GB2312"/>
          <w:sz w:val="20"/>
          <w:szCs w:val="20"/>
        </w:rPr>
      </w:pPr>
      <w:r>
        <w:pict>
          <v:shape id="_x0000_s1077" o:spid="_x0000_s1077" o:spt="202" type="#_x0000_t202" style="position:absolute;left:0pt;margin-left:222.6pt;margin-top:1.6pt;height:10.15pt;width:10.95pt;z-index:251747328;mso-width-relative:page;mso-height-relative:page;" filled="f" stroked="f" coordsize="21600,21600">
            <v:path/>
            <v:fill on="f" focussize="0,0"/>
            <v:stroke on="f"/>
            <v:imagedata o:title=""/>
            <o:lock v:ext="edit" aspectratio="f"/>
            <v:textbox inset="0mm,0mm,0mm,0mm">
              <w:txbxContent>
                <w:p w14:paraId="4A395211">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xbxContent>
            </v:textbox>
          </v:shape>
        </w:pict>
      </w:r>
      <w:r>
        <w:rPr>
          <w:rFonts w:ascii="FangSong_GB2312" w:hAnsi="FangSong_GB2312" w:eastAsia="FangSong_GB2312" w:cs="FangSong_GB2312"/>
          <w:spacing w:val="8"/>
          <w:sz w:val="20"/>
          <w:szCs w:val="20"/>
        </w:rPr>
        <w:t>剑阁县绿森林业勘察设计有限公司</w:t>
      </w:r>
    </w:p>
    <w:p w14:paraId="0DDA84A1">
      <w:pPr>
        <w:spacing w:line="229" w:lineRule="auto"/>
        <w:rPr>
          <w:rFonts w:ascii="FangSong_GB2312" w:hAnsi="FangSong_GB2312" w:eastAsia="FangSong_GB2312" w:cs="FangSong_GB2312"/>
          <w:sz w:val="20"/>
          <w:szCs w:val="20"/>
        </w:rPr>
        <w:sectPr>
          <w:headerReference r:id="rId57" w:type="default"/>
          <w:pgSz w:w="11906" w:h="16839"/>
          <w:pgMar w:top="1159" w:right="1394" w:bottom="400" w:left="1393" w:header="831" w:footer="0" w:gutter="0"/>
          <w:cols w:space="720" w:num="1"/>
        </w:sectPr>
      </w:pPr>
    </w:p>
    <w:p w14:paraId="06253FFF">
      <w:pPr>
        <w:spacing w:before="202" w:line="359" w:lineRule="auto"/>
        <w:ind w:left="4" w:firstLine="455"/>
        <w:rPr>
          <w:rFonts w:ascii="FangSong_GB2312" w:hAnsi="FangSong_GB2312" w:eastAsia="FangSong_GB2312" w:cs="FangSong_GB2312"/>
          <w:sz w:val="24"/>
          <w:szCs w:val="24"/>
        </w:rPr>
      </w:pPr>
      <w:bookmarkStart w:id="82" w:name="bookmark105"/>
      <w:bookmarkEnd w:id="82"/>
      <w:r>
        <w:rPr>
          <w:rFonts w:ascii="FangSong_GB2312" w:hAnsi="FangSong_GB2312" w:eastAsia="FangSong_GB2312" w:cs="FangSong_GB2312"/>
          <w:sz w:val="24"/>
          <w:szCs w:val="24"/>
        </w:rPr>
        <w:t>施工时根据各区域合理安排各施工工序，减少或避免各工序间的相互干扰，与主</w:t>
      </w:r>
      <w:r>
        <w:rPr>
          <w:rFonts w:ascii="FangSong_GB2312" w:hAnsi="FangSong_GB2312" w:eastAsia="FangSong_GB2312" w:cs="FangSong_GB2312"/>
          <w:spacing w:val="-1"/>
          <w:sz w:val="24"/>
          <w:szCs w:val="24"/>
        </w:rPr>
        <w:t>体工程施工一并进行。</w:t>
      </w:r>
    </w:p>
    <w:p w14:paraId="6EAF8C76">
      <w:pPr>
        <w:spacing w:before="3" w:line="358" w:lineRule="auto"/>
        <w:ind w:left="10" w:firstLine="445"/>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建设期间，项目建设单位有专职的环境保护和</w:t>
      </w:r>
      <w:r>
        <w:rPr>
          <w:rFonts w:ascii="FangSong_GB2312" w:hAnsi="FangSong_GB2312" w:eastAsia="FangSong_GB2312" w:cs="FangSong_GB2312"/>
          <w:sz w:val="24"/>
          <w:szCs w:val="24"/>
        </w:rPr>
        <w:t>水土保持管理人员，主要负责落实施工过程中的临时措施、管理措施、绿化措施，以及</w:t>
      </w:r>
      <w:r>
        <w:rPr>
          <w:rFonts w:ascii="FangSong_GB2312" w:hAnsi="FangSong_GB2312" w:eastAsia="FangSong_GB2312" w:cs="FangSong_GB2312"/>
          <w:spacing w:val="-1"/>
          <w:sz w:val="24"/>
          <w:szCs w:val="24"/>
        </w:rPr>
        <w:t>监督管理工作。具体工作在施工招标文件中明确由施工单位遵守和完成。</w:t>
      </w:r>
    </w:p>
    <w:p w14:paraId="4195353A">
      <w:pPr>
        <w:spacing w:before="241" w:line="213" w:lineRule="auto"/>
        <w:ind w:left="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3"/>
          <w:sz w:val="24"/>
          <w:szCs w:val="24"/>
        </w:rPr>
        <w:t>5.4.1.3</w:t>
      </w:r>
      <w:r>
        <w:rPr>
          <w:rFonts w:ascii="Times New Roman" w:hAnsi="Times New Roman" w:eastAsia="Times New Roman" w:cs="Times New Roman"/>
          <w:b/>
          <w:bCs/>
          <w:spacing w:val="16"/>
          <w:w w:val="101"/>
          <w:sz w:val="24"/>
          <w:szCs w:val="24"/>
        </w:rPr>
        <w:t xml:space="preserve"> </w:t>
      </w:r>
      <w:r>
        <w:rPr>
          <w:rFonts w:ascii="FangSong_GB2312" w:hAnsi="FangSong_GB2312" w:eastAsia="FangSong_GB2312" w:cs="FangSong_GB2312"/>
          <w:b/>
          <w:bCs/>
          <w:spacing w:val="-3"/>
          <w:sz w:val="24"/>
          <w:szCs w:val="24"/>
        </w:rPr>
        <w:t>物资来源</w:t>
      </w:r>
    </w:p>
    <w:p w14:paraId="5741C534">
      <w:pPr>
        <w:spacing w:before="246" w:line="216" w:lineRule="auto"/>
        <w:ind w:left="457"/>
        <w:rPr>
          <w:rFonts w:ascii="FangSong_GB2312" w:hAnsi="FangSong_GB2312" w:eastAsia="FangSong_GB2312" w:cs="FangSong_GB2312"/>
          <w:sz w:val="24"/>
          <w:szCs w:val="24"/>
        </w:rPr>
      </w:pPr>
      <w:r>
        <w:rPr>
          <w:rFonts w:ascii="FangSong_GB2312" w:hAnsi="FangSong_GB2312" w:eastAsia="FangSong_GB2312" w:cs="FangSong_GB2312"/>
          <w:sz w:val="24"/>
          <w:szCs w:val="24"/>
        </w:rPr>
        <w:t>水土保持防护工程所需材料采取自采，主要的树种、</w:t>
      </w:r>
      <w:r>
        <w:rPr>
          <w:rFonts w:ascii="FangSong_GB2312" w:hAnsi="FangSong_GB2312" w:eastAsia="FangSong_GB2312" w:cs="FangSong_GB2312"/>
          <w:spacing w:val="-1"/>
          <w:sz w:val="24"/>
          <w:szCs w:val="24"/>
        </w:rPr>
        <w:t>草种等在剑阁县采购。</w:t>
      </w:r>
    </w:p>
    <w:p w14:paraId="55FC025A">
      <w:pPr>
        <w:pStyle w:val="2"/>
        <w:spacing w:line="349" w:lineRule="auto"/>
      </w:pPr>
    </w:p>
    <w:p w14:paraId="5A086C61">
      <w:pPr>
        <w:spacing w:before="78" w:line="214" w:lineRule="auto"/>
        <w:ind w:left="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5.4.1.4 </w:t>
      </w:r>
      <w:r>
        <w:rPr>
          <w:rFonts w:ascii="FangSong_GB2312" w:hAnsi="FangSong_GB2312" w:eastAsia="FangSong_GB2312" w:cs="FangSong_GB2312"/>
          <w:b/>
          <w:bCs/>
          <w:spacing w:val="-2"/>
          <w:sz w:val="24"/>
          <w:szCs w:val="24"/>
        </w:rPr>
        <w:t>施工条件</w:t>
      </w:r>
    </w:p>
    <w:p w14:paraId="6E5479E5">
      <w:pPr>
        <w:spacing w:before="252" w:line="285" w:lineRule="auto"/>
        <w:ind w:left="20" w:firstLine="434"/>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）水土保持施工依托主体工程的交通、水电、道路和机械等施工条件，本项目</w:t>
      </w:r>
      <w:r>
        <w:rPr>
          <w:rFonts w:ascii="FangSong_GB2312" w:hAnsi="FangSong_GB2312" w:eastAsia="FangSong_GB2312" w:cs="FangSong_GB2312"/>
          <w:spacing w:val="-1"/>
          <w:sz w:val="24"/>
          <w:szCs w:val="24"/>
        </w:rPr>
        <w:t>主体工程对外交通方便，能满足施工材料运输需要；</w:t>
      </w:r>
    </w:p>
    <w:p w14:paraId="67B8B1ED">
      <w:pPr>
        <w:spacing w:before="187" w:line="311" w:lineRule="auto"/>
        <w:ind w:left="5" w:firstLine="44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w:t>
      </w:r>
      <w:r>
        <w:rPr>
          <w:rFonts w:ascii="FangSong_GB2312" w:hAnsi="FangSong_GB2312" w:eastAsia="FangSong_GB2312" w:cs="FangSong_GB2312"/>
          <w:spacing w:val="-3"/>
          <w:sz w:val="24"/>
          <w:szCs w:val="24"/>
        </w:rPr>
        <w:t>）本方案水土保持措施的实施与主体工程建设配套进行，故其施工条件与主体</w:t>
      </w:r>
      <w:r>
        <w:rPr>
          <w:rFonts w:ascii="FangSong_GB2312" w:hAnsi="FangSong_GB2312" w:eastAsia="FangSong_GB2312" w:cs="FangSong_GB2312"/>
          <w:sz w:val="24"/>
          <w:szCs w:val="24"/>
        </w:rPr>
        <w:t>工程大致相同，设施原则上利用主体工程已有设施，如水电供应</w:t>
      </w:r>
      <w:r>
        <w:rPr>
          <w:rFonts w:ascii="FangSong_GB2312" w:hAnsi="FangSong_GB2312" w:eastAsia="FangSong_GB2312" w:cs="FangSong_GB2312"/>
          <w:spacing w:val="-1"/>
          <w:sz w:val="24"/>
          <w:szCs w:val="24"/>
        </w:rPr>
        <w:t>等均由主体工程供水</w:t>
      </w:r>
      <w:r>
        <w:rPr>
          <w:rFonts w:ascii="FangSong_GB2312" w:hAnsi="FangSong_GB2312" w:eastAsia="FangSong_GB2312" w:cs="FangSong_GB2312"/>
          <w:sz w:val="24"/>
          <w:szCs w:val="24"/>
        </w:rPr>
        <w:t>供电系统统一供应建筑材料纳入主体工程材料供应体系，种子</w:t>
      </w:r>
      <w:r>
        <w:rPr>
          <w:rFonts w:ascii="FangSong_GB2312" w:hAnsi="FangSong_GB2312" w:eastAsia="FangSong_GB2312" w:cs="FangSong_GB2312"/>
          <w:spacing w:val="-1"/>
          <w:sz w:val="24"/>
          <w:szCs w:val="24"/>
        </w:rPr>
        <w:t>在当地采购；</w:t>
      </w:r>
    </w:p>
    <w:p w14:paraId="5A0DB928">
      <w:pPr>
        <w:spacing w:before="190" w:line="214" w:lineRule="auto"/>
        <w:ind w:left="454"/>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3</w:t>
      </w:r>
      <w:r>
        <w:rPr>
          <w:rFonts w:ascii="FangSong_GB2312" w:hAnsi="FangSong_GB2312" w:eastAsia="FangSong_GB2312" w:cs="FangSong_GB2312"/>
          <w:sz w:val="24"/>
          <w:szCs w:val="24"/>
        </w:rPr>
        <w:t>）水土保持设施应工程措施与植物措施同步进行</w:t>
      </w:r>
      <w:r>
        <w:rPr>
          <w:rFonts w:ascii="FangSong_GB2312" w:hAnsi="FangSong_GB2312" w:eastAsia="FangSong_GB2312" w:cs="FangSong_GB2312"/>
          <w:spacing w:val="-1"/>
          <w:sz w:val="24"/>
          <w:szCs w:val="24"/>
        </w:rPr>
        <w:t>，协调进行。</w:t>
      </w:r>
    </w:p>
    <w:p w14:paraId="4780A61D">
      <w:pPr>
        <w:pStyle w:val="2"/>
        <w:spacing w:line="349" w:lineRule="auto"/>
      </w:pPr>
    </w:p>
    <w:p w14:paraId="2090708D">
      <w:pPr>
        <w:spacing w:before="79" w:line="216" w:lineRule="auto"/>
        <w:ind w:left="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5.4.1.5 </w:t>
      </w:r>
      <w:r>
        <w:rPr>
          <w:rFonts w:ascii="FangSong_GB2312" w:hAnsi="FangSong_GB2312" w:eastAsia="FangSong_GB2312" w:cs="FangSong_GB2312"/>
          <w:b/>
          <w:bCs/>
          <w:spacing w:val="-2"/>
          <w:sz w:val="24"/>
          <w:szCs w:val="24"/>
        </w:rPr>
        <w:t>施工工艺和方法</w:t>
      </w:r>
    </w:p>
    <w:p w14:paraId="229B1449">
      <w:pPr>
        <w:spacing w:before="245" w:line="359" w:lineRule="auto"/>
        <w:ind w:left="9" w:firstLine="448"/>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w:t>
      </w:r>
      <w:r>
        <w:rPr>
          <w:rFonts w:ascii="FangSong_GB2312" w:hAnsi="FangSong_GB2312" w:eastAsia="FangSong_GB2312" w:cs="FangSong_GB2312"/>
          <w:spacing w:val="-67"/>
          <w:sz w:val="24"/>
          <w:szCs w:val="24"/>
        </w:rPr>
        <w:t xml:space="preserve"> </w:t>
      </w:r>
      <w:r>
        <w:rPr>
          <w:rFonts w:ascii="FangSong_GB2312" w:hAnsi="FangSong_GB2312" w:eastAsia="FangSong_GB2312" w:cs="FangSong_GB2312"/>
          <w:spacing w:val="-1"/>
          <w:sz w:val="24"/>
          <w:szCs w:val="24"/>
        </w:rPr>
        <w:t>已顺利完工，建设期间始终围绕各防治区域工程需求合理安排施工工序，</w:t>
      </w:r>
      <w:r>
        <w:rPr>
          <w:rFonts w:ascii="FangSong_GB2312" w:hAnsi="FangSong_GB2312" w:eastAsia="FangSong_GB2312" w:cs="FangSong_GB2312"/>
          <w:sz w:val="24"/>
          <w:szCs w:val="24"/>
        </w:rPr>
        <w:t>有效减少了工序间相互干扰，且水土保持措施充分依托</w:t>
      </w:r>
      <w:r>
        <w:rPr>
          <w:rFonts w:ascii="FangSong_GB2312" w:hAnsi="FangSong_GB2312" w:eastAsia="FangSong_GB2312" w:cs="FangSong_GB2312"/>
          <w:spacing w:val="-1"/>
          <w:sz w:val="24"/>
          <w:szCs w:val="24"/>
        </w:rPr>
        <w:t>主体工程施工条件同步推进，</w:t>
      </w:r>
      <w:r>
        <w:rPr>
          <w:rFonts w:ascii="FangSong_GB2312" w:hAnsi="FangSong_GB2312" w:eastAsia="FangSong_GB2312" w:cs="FangSong_GB2312"/>
          <w:spacing w:val="-2"/>
          <w:sz w:val="24"/>
          <w:szCs w:val="24"/>
        </w:rPr>
        <w:t>未出现单独施工脱节情况。</w:t>
      </w:r>
      <w:r>
        <w:rPr>
          <w:rFonts w:ascii="FangSong_GB2312" w:hAnsi="FangSong_GB2312" w:eastAsia="FangSong_GB2312" w:cs="FangSong_GB2312"/>
          <w:spacing w:val="-59"/>
          <w:sz w:val="24"/>
          <w:szCs w:val="24"/>
        </w:rPr>
        <w:t xml:space="preserve"> </w:t>
      </w:r>
      <w:r>
        <w:rPr>
          <w:rFonts w:ascii="FangSong_GB2312" w:hAnsi="FangSong_GB2312" w:eastAsia="FangSong_GB2312" w:cs="FangSong_GB2312"/>
          <w:spacing w:val="-2"/>
          <w:sz w:val="24"/>
          <w:szCs w:val="24"/>
        </w:rPr>
        <w:t>目前项目无新增水土保持措施，建设期间已完成的水土保</w:t>
      </w:r>
      <w:r>
        <w:rPr>
          <w:rFonts w:ascii="FangSong_GB2312" w:hAnsi="FangSong_GB2312" w:eastAsia="FangSong_GB2312" w:cs="FangSong_GB2312"/>
          <w:spacing w:val="-1"/>
          <w:sz w:val="24"/>
          <w:szCs w:val="24"/>
        </w:rPr>
        <w:t>持核心措施及实施情况如下：</w:t>
      </w:r>
    </w:p>
    <w:p w14:paraId="0C0687E2">
      <w:pPr>
        <w:spacing w:before="1" w:line="215" w:lineRule="auto"/>
        <w:ind w:left="477"/>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5"/>
          <w:sz w:val="24"/>
          <w:szCs w:val="24"/>
        </w:rPr>
        <w:t>、表土剥离与回覆（</w:t>
      </w:r>
      <w:r>
        <w:rPr>
          <w:rFonts w:ascii="FangSong_GB2312" w:hAnsi="FangSong_GB2312" w:eastAsia="FangSong_GB2312" w:cs="FangSong_GB2312"/>
          <w:spacing w:val="-71"/>
          <w:sz w:val="24"/>
          <w:szCs w:val="24"/>
        </w:rPr>
        <w:t xml:space="preserve"> </w:t>
      </w:r>
      <w:r>
        <w:rPr>
          <w:rFonts w:ascii="FangSong_GB2312" w:hAnsi="FangSong_GB2312" w:eastAsia="FangSong_GB2312" w:cs="FangSong_GB2312"/>
          <w:spacing w:val="-5"/>
          <w:sz w:val="24"/>
          <w:szCs w:val="24"/>
        </w:rPr>
        <w:t>已全面完成，无后续需求）</w:t>
      </w:r>
    </w:p>
    <w:p w14:paraId="299090F4">
      <w:pPr>
        <w:spacing w:before="188" w:line="359" w:lineRule="auto"/>
        <w:ind w:left="8" w:firstLine="45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项目施工前期，</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1"/>
          <w:sz w:val="24"/>
          <w:szCs w:val="24"/>
        </w:rPr>
        <w:t>已对施工区域可用表土完成剥离作业，剥离前精准调查可剥离厚</w:t>
      </w:r>
      <w:r>
        <w:rPr>
          <w:rFonts w:ascii="FangSong_GB2312" w:hAnsi="FangSong_GB2312" w:eastAsia="FangSong_GB2312" w:cs="FangSong_GB2312"/>
          <w:spacing w:val="-3"/>
          <w:sz w:val="24"/>
          <w:szCs w:val="24"/>
        </w:rPr>
        <w:t xml:space="preserve">度，采用 </w:t>
      </w:r>
      <w:r>
        <w:rPr>
          <w:rFonts w:ascii="Times New Roman" w:hAnsi="Times New Roman" w:eastAsia="Times New Roman" w:cs="Times New Roman"/>
          <w:spacing w:val="-3"/>
          <w:sz w:val="24"/>
          <w:szCs w:val="24"/>
        </w:rPr>
        <w:t xml:space="preserve">74kW  </w:t>
      </w:r>
      <w:r>
        <w:rPr>
          <w:rFonts w:ascii="FangSong_GB2312" w:hAnsi="FangSong_GB2312" w:eastAsia="FangSong_GB2312" w:cs="FangSong_GB2312"/>
          <w:spacing w:val="-3"/>
          <w:sz w:val="24"/>
          <w:szCs w:val="24"/>
        </w:rPr>
        <w:t>推土机辅以人工按设计标准完成表土剥离，剥离的表层土通过装载机</w:t>
      </w:r>
      <w:r>
        <w:rPr>
          <w:rFonts w:ascii="FangSong_GB2312" w:hAnsi="FangSong_GB2312" w:eastAsia="FangSong_GB2312" w:cs="FangSong_GB2312"/>
          <w:sz w:val="24"/>
          <w:szCs w:val="24"/>
        </w:rPr>
        <w:t>转运至预设区域集中堆放，全程无表土浪费或随意丢弃情</w:t>
      </w:r>
      <w:r>
        <w:rPr>
          <w:rFonts w:ascii="FangSong_GB2312" w:hAnsi="FangSong_GB2312" w:eastAsia="FangSong_GB2312" w:cs="FangSong_GB2312"/>
          <w:spacing w:val="-1"/>
          <w:sz w:val="24"/>
          <w:szCs w:val="24"/>
        </w:rPr>
        <w:t>况。后续表土回覆工作已同</w:t>
      </w:r>
      <w:r>
        <w:rPr>
          <w:rFonts w:ascii="FangSong_GB2312" w:hAnsi="FangSong_GB2312" w:eastAsia="FangSong_GB2312" w:cs="FangSong_GB2312"/>
          <w:spacing w:val="-3"/>
          <w:sz w:val="24"/>
          <w:szCs w:val="24"/>
        </w:rPr>
        <w:t xml:space="preserve">步完成，通过自卸汽车或胶轮架子车将表土运输至覆土场地，再由 </w:t>
      </w:r>
      <w:r>
        <w:rPr>
          <w:rFonts w:ascii="Times New Roman" w:hAnsi="Times New Roman" w:eastAsia="Times New Roman" w:cs="Times New Roman"/>
          <w:spacing w:val="-3"/>
          <w:sz w:val="24"/>
          <w:szCs w:val="24"/>
        </w:rPr>
        <w:t xml:space="preserve">74kW  </w:t>
      </w:r>
      <w:r>
        <w:rPr>
          <w:rFonts w:ascii="FangSong_GB2312" w:hAnsi="FangSong_GB2312" w:eastAsia="FangSong_GB2312" w:cs="FangSong_GB2312"/>
          <w:spacing w:val="-3"/>
          <w:sz w:val="24"/>
          <w:szCs w:val="24"/>
        </w:rPr>
        <w:t>推土机配合</w:t>
      </w:r>
      <w:r>
        <w:rPr>
          <w:rFonts w:ascii="FangSong_GB2312" w:hAnsi="FangSong_GB2312" w:eastAsia="FangSong_GB2312" w:cs="FangSong_GB2312"/>
          <w:sz w:val="24"/>
          <w:szCs w:val="24"/>
        </w:rPr>
        <w:t>人工进行摊铺整平，回覆质量满足植被恢复土壤肥力要求</w:t>
      </w:r>
      <w:r>
        <w:rPr>
          <w:rFonts w:ascii="FangSong_GB2312" w:hAnsi="FangSong_GB2312" w:eastAsia="FangSong_GB2312" w:cs="FangSong_GB2312"/>
          <w:spacing w:val="-1"/>
          <w:sz w:val="24"/>
          <w:szCs w:val="24"/>
        </w:rPr>
        <w:t>，当前无剩余表土待处理或</w:t>
      </w:r>
      <w:r>
        <w:rPr>
          <w:rFonts w:ascii="FangSong_GB2312" w:hAnsi="FangSong_GB2312" w:eastAsia="FangSong_GB2312" w:cs="FangSong_GB2312"/>
          <w:spacing w:val="-2"/>
          <w:sz w:val="24"/>
          <w:szCs w:val="24"/>
        </w:rPr>
        <w:t>补充回覆需求。</w:t>
      </w:r>
    </w:p>
    <w:p w14:paraId="69A1024D">
      <w:pPr>
        <w:spacing w:before="1" w:line="213" w:lineRule="auto"/>
        <w:ind w:left="454"/>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pacing w:val="-5"/>
          <w:sz w:val="24"/>
          <w:szCs w:val="24"/>
        </w:rPr>
        <w:t>、土石方开挖（</w:t>
      </w:r>
      <w:r>
        <w:rPr>
          <w:rFonts w:ascii="FangSong_GB2312" w:hAnsi="FangSong_GB2312" w:eastAsia="FangSong_GB2312" w:cs="FangSong_GB2312"/>
          <w:spacing w:val="-71"/>
          <w:sz w:val="24"/>
          <w:szCs w:val="24"/>
        </w:rPr>
        <w:t xml:space="preserve"> </w:t>
      </w:r>
      <w:r>
        <w:rPr>
          <w:rFonts w:ascii="FangSong_GB2312" w:hAnsi="FangSong_GB2312" w:eastAsia="FangSong_GB2312" w:cs="FangSong_GB2312"/>
          <w:spacing w:val="-5"/>
          <w:sz w:val="24"/>
          <w:szCs w:val="24"/>
        </w:rPr>
        <w:t>已完工，无新增开挖作业）</w:t>
      </w:r>
    </w:p>
    <w:p w14:paraId="6053178F">
      <w:pPr>
        <w:spacing w:before="188" w:line="214" w:lineRule="auto"/>
        <w:jc w:val="right"/>
        <w:rPr>
          <w:rFonts w:ascii="FangSong_GB2312" w:hAnsi="FangSong_GB2312" w:eastAsia="FangSong_GB2312" w:cs="FangSong_GB2312"/>
          <w:sz w:val="24"/>
          <w:szCs w:val="24"/>
        </w:rPr>
      </w:pPr>
      <w:r>
        <w:rPr>
          <w:rFonts w:ascii="FangSong_GB2312" w:hAnsi="FangSong_GB2312" w:eastAsia="FangSong_GB2312" w:cs="FangSong_GB2312"/>
          <w:sz w:val="24"/>
          <w:szCs w:val="24"/>
        </w:rPr>
        <w:t>项目土石方开挖工作已全部结束，开挖内容主要为排水设施基础开挖。施工期间</w:t>
      </w:r>
    </w:p>
    <w:p w14:paraId="01C3D32A">
      <w:pPr>
        <w:pStyle w:val="2"/>
        <w:spacing w:line="393" w:lineRule="auto"/>
      </w:pPr>
    </w:p>
    <w:p w14:paraId="1DD3844B">
      <w:pPr>
        <w:spacing w:before="65" w:line="229" w:lineRule="auto"/>
        <w:ind w:left="5384"/>
        <w:rPr>
          <w:rFonts w:ascii="FangSong_GB2312" w:hAnsi="FangSong_GB2312" w:eastAsia="FangSong_GB2312" w:cs="FangSong_GB2312"/>
          <w:sz w:val="20"/>
          <w:szCs w:val="20"/>
        </w:rPr>
      </w:pPr>
      <w:r>
        <w:pict>
          <v:shape id="_x0000_s1078" o:spid="_x0000_s1078" o:spt="202" type="#_x0000_t202" style="position:absolute;left:0pt;margin-left:216.6pt;margin-top:3pt;height:10.15pt;width:10.95pt;z-index:251748352;mso-width-relative:page;mso-height-relative:page;" filled="f" stroked="f" coordsize="21600,21600">
            <v:path/>
            <v:fill on="f" focussize="0,0"/>
            <v:stroke on="f"/>
            <v:imagedata o:title=""/>
            <o:lock v:ext="edit" aspectratio="f"/>
            <v:textbox inset="0mm,0mm,0mm,0mm">
              <w:txbxContent>
                <w:p w14:paraId="32499E1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txbxContent>
            </v:textbox>
          </v:shape>
        </w:pict>
      </w:r>
      <w:r>
        <w:rPr>
          <w:rFonts w:ascii="FangSong_GB2312" w:hAnsi="FangSong_GB2312" w:eastAsia="FangSong_GB2312" w:cs="FangSong_GB2312"/>
          <w:spacing w:val="8"/>
          <w:sz w:val="20"/>
          <w:szCs w:val="20"/>
        </w:rPr>
        <w:t>剑阁县绿森林业勘察设计有限公司</w:t>
      </w:r>
    </w:p>
    <w:p w14:paraId="0A34C069">
      <w:pPr>
        <w:spacing w:line="229" w:lineRule="auto"/>
        <w:rPr>
          <w:rFonts w:ascii="FangSong_GB2312" w:hAnsi="FangSong_GB2312" w:eastAsia="FangSong_GB2312" w:cs="FangSong_GB2312"/>
          <w:sz w:val="20"/>
          <w:szCs w:val="20"/>
        </w:rPr>
        <w:sectPr>
          <w:headerReference r:id="rId58" w:type="default"/>
          <w:pgSz w:w="11906" w:h="16839"/>
          <w:pgMar w:top="1159" w:right="1514" w:bottom="400" w:left="1513" w:header="831" w:footer="0" w:gutter="0"/>
          <w:cols w:space="720" w:num="1"/>
        </w:sectPr>
      </w:pPr>
    </w:p>
    <w:p w14:paraId="29A23A26">
      <w:pPr>
        <w:spacing w:before="205" w:line="358" w:lineRule="auto"/>
        <w:ind w:left="6" w:hanging="1"/>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严格依据放样桩线，采用机械作业为主、人工修整为辅的方式推</w:t>
      </w:r>
      <w:r>
        <w:rPr>
          <w:rFonts w:ascii="FangSong_GB2312" w:hAnsi="FangSong_GB2312" w:eastAsia="FangSong_GB2312" w:cs="FangSong_GB2312"/>
          <w:spacing w:val="-1"/>
          <w:sz w:val="24"/>
          <w:szCs w:val="24"/>
        </w:rPr>
        <w:t>进，开挖产生的土石</w:t>
      </w:r>
      <w:r>
        <w:rPr>
          <w:rFonts w:ascii="FangSong_GB2312" w:hAnsi="FangSong_GB2312" w:eastAsia="FangSong_GB2312" w:cs="FangSong_GB2312"/>
          <w:spacing w:val="-5"/>
          <w:sz w:val="24"/>
          <w:szCs w:val="24"/>
        </w:rPr>
        <w:t>方均就近规范堆放并及时平整，未出现长期堆土遗留问题。为控制建设期间水土流失，</w:t>
      </w:r>
      <w:r>
        <w:rPr>
          <w:rFonts w:ascii="FangSong_GB2312" w:hAnsi="FangSong_GB2312" w:eastAsia="FangSong_GB2312" w:cs="FangSong_GB2312"/>
          <w:sz w:val="24"/>
          <w:szCs w:val="24"/>
        </w:rPr>
        <w:t>开挖作业全程规避大风、下雨天气，有效降低了雨水冲刷及风</w:t>
      </w:r>
      <w:r>
        <w:rPr>
          <w:rFonts w:ascii="FangSong_GB2312" w:hAnsi="FangSong_GB2312" w:eastAsia="FangSong_GB2312" w:cs="FangSong_GB2312"/>
          <w:spacing w:val="-1"/>
          <w:sz w:val="24"/>
          <w:szCs w:val="24"/>
        </w:rPr>
        <w:t>力侵蚀风险，当前无新增土石方开挖计划，无需补充防护措施。</w:t>
      </w:r>
    </w:p>
    <w:p w14:paraId="24356F06">
      <w:pPr>
        <w:spacing w:before="1" w:line="215" w:lineRule="auto"/>
        <w:ind w:left="459"/>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4"/>
          <w:sz w:val="24"/>
          <w:szCs w:val="24"/>
        </w:rPr>
        <w:t>、撒播草籽（</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4"/>
          <w:sz w:val="24"/>
          <w:szCs w:val="24"/>
        </w:rPr>
        <w:t>已完成播种及养护，植被覆盖达标）</w:t>
      </w:r>
    </w:p>
    <w:p w14:paraId="3AC698B3">
      <w:pPr>
        <w:spacing w:before="187" w:line="358" w:lineRule="auto"/>
        <w:ind w:left="16" w:right="60" w:firstLine="445"/>
        <w:rPr>
          <w:rFonts w:ascii="FangSong_GB2312" w:hAnsi="FangSong_GB2312" w:eastAsia="FangSong_GB2312" w:cs="FangSong_GB2312"/>
          <w:sz w:val="24"/>
          <w:szCs w:val="24"/>
        </w:rPr>
      </w:pPr>
      <w:r>
        <w:rPr>
          <w:rFonts w:ascii="FangSong_GB2312" w:hAnsi="FangSong_GB2312" w:eastAsia="FangSong_GB2312" w:cs="FangSong_GB2312"/>
          <w:sz w:val="24"/>
          <w:szCs w:val="24"/>
        </w:rPr>
        <w:t>项目撒播草籽工作已全面完成，从草种采购到后期养护的全流程均严格把控，当</w:t>
      </w:r>
      <w:r>
        <w:rPr>
          <w:rFonts w:ascii="FangSong_GB2312" w:hAnsi="FangSong_GB2312" w:eastAsia="FangSong_GB2312" w:cs="FangSong_GB2312"/>
          <w:spacing w:val="-1"/>
          <w:sz w:val="24"/>
          <w:szCs w:val="24"/>
        </w:rPr>
        <w:t>前植被生长稳定，无需新增播种或补播措施，具体实施情况如下：</w:t>
      </w:r>
    </w:p>
    <w:p w14:paraId="4AE698DD">
      <w:pPr>
        <w:spacing w:before="3" w:line="359" w:lineRule="auto"/>
        <w:ind w:left="9" w:right="60" w:firstLine="454"/>
        <w:rPr>
          <w:rFonts w:ascii="FangSong_GB2312" w:hAnsi="FangSong_GB2312" w:eastAsia="FangSong_GB2312" w:cs="FangSong_GB2312"/>
          <w:sz w:val="24"/>
          <w:szCs w:val="24"/>
        </w:rPr>
      </w:pPr>
      <w:r>
        <w:rPr>
          <w:rFonts w:ascii="FangSong_GB2312" w:hAnsi="FangSong_GB2312" w:eastAsia="FangSong_GB2312" w:cs="FangSong_GB2312"/>
          <w:sz w:val="24"/>
          <w:szCs w:val="24"/>
        </w:rPr>
        <w:t>草种检验：采购阶段已对整批草籽开展质量抽检，根据草籽包装形式（袋装、散装、围囤、输送流）采用对应抽样方法，完成种子净度</w:t>
      </w:r>
      <w:r>
        <w:rPr>
          <w:rFonts w:ascii="FangSong_GB2312" w:hAnsi="FangSong_GB2312" w:eastAsia="FangSong_GB2312" w:cs="FangSong_GB2312"/>
          <w:spacing w:val="-1"/>
          <w:sz w:val="24"/>
          <w:szCs w:val="24"/>
        </w:rPr>
        <w:t>、发芽试验、生活力测定、水</w:t>
      </w:r>
      <w:r>
        <w:rPr>
          <w:rFonts w:ascii="FangSong_GB2312" w:hAnsi="FangSong_GB2312" w:eastAsia="FangSong_GB2312" w:cs="FangSong_GB2312"/>
          <w:sz w:val="24"/>
          <w:szCs w:val="24"/>
        </w:rPr>
        <w:t>分测定、重量测定及品种纯度检测，抽检合格后方投</w:t>
      </w:r>
      <w:r>
        <w:rPr>
          <w:rFonts w:ascii="FangSong_GB2312" w:hAnsi="FangSong_GB2312" w:eastAsia="FangSong_GB2312" w:cs="FangSong_GB2312"/>
          <w:spacing w:val="-1"/>
          <w:sz w:val="24"/>
          <w:szCs w:val="24"/>
        </w:rPr>
        <w:t>入使用，确保草种品质达标。</w:t>
      </w:r>
    </w:p>
    <w:p w14:paraId="3CBFC520">
      <w:pPr>
        <w:spacing w:line="358" w:lineRule="auto"/>
        <w:ind w:left="9" w:right="19" w:firstLine="44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播种时间：结合项目区气候特点，选择春季（雨季来临前</w:t>
      </w:r>
      <w:r>
        <w:rPr>
          <w:rFonts w:ascii="FangSong_GB2312" w:hAnsi="FangSong_GB2312" w:eastAsia="FangSong_GB2312" w:cs="FangSong_GB2312"/>
          <w:spacing w:val="28"/>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4"/>
          <w:sz w:val="24"/>
          <w:szCs w:val="24"/>
        </w:rPr>
        <w:t xml:space="preserve">  </w:t>
      </w:r>
      <w:r>
        <w:rPr>
          <w:rFonts w:ascii="FangSong_GB2312" w:hAnsi="FangSong_GB2312" w:eastAsia="FangSong_GB2312" w:cs="FangSong_GB2312"/>
          <w:spacing w:val="-4"/>
          <w:sz w:val="24"/>
          <w:szCs w:val="24"/>
        </w:rPr>
        <w:t>天）完成播种，</w:t>
      </w:r>
      <w:r>
        <w:rPr>
          <w:rFonts w:ascii="FangSong_GB2312" w:hAnsi="FangSong_GB2312" w:eastAsia="FangSong_GB2312" w:cs="FangSong_GB2312"/>
          <w:spacing w:val="-1"/>
          <w:sz w:val="24"/>
          <w:szCs w:val="24"/>
        </w:rPr>
        <w:t>部分区域依托人工供水条件，未受雨季时间限制，播种时机合理。</w:t>
      </w:r>
    </w:p>
    <w:p w14:paraId="1370CF5F">
      <w:pPr>
        <w:spacing w:before="1" w:line="359" w:lineRule="auto"/>
        <w:ind w:left="12" w:right="60" w:firstLine="451"/>
        <w:rPr>
          <w:rFonts w:ascii="FangSong_GB2312" w:hAnsi="FangSong_GB2312" w:eastAsia="FangSong_GB2312" w:cs="FangSong_GB2312"/>
          <w:sz w:val="24"/>
          <w:szCs w:val="24"/>
        </w:rPr>
      </w:pPr>
      <w:r>
        <w:rPr>
          <w:rFonts w:ascii="FangSong_GB2312" w:hAnsi="FangSong_GB2312" w:eastAsia="FangSong_GB2312" w:cs="FangSong_GB2312"/>
          <w:sz w:val="24"/>
          <w:szCs w:val="24"/>
        </w:rPr>
        <w:t>草籽撒播：采用人工撒播方式，确保草籽分布均匀、密度适宜，撒播后通过人工</w:t>
      </w:r>
      <w:r>
        <w:rPr>
          <w:rFonts w:ascii="FangSong_GB2312" w:hAnsi="FangSong_GB2312" w:eastAsia="FangSong_GB2312" w:cs="FangSong_GB2312"/>
          <w:spacing w:val="-1"/>
          <w:sz w:val="24"/>
          <w:szCs w:val="24"/>
        </w:rPr>
        <w:t>铁耙整理，保证草籽完全被土壤覆盖，为成活率提供保障。</w:t>
      </w:r>
    </w:p>
    <w:p w14:paraId="08C7602B">
      <w:pPr>
        <w:spacing w:before="6" w:line="358" w:lineRule="auto"/>
        <w:ind w:left="12" w:right="60" w:firstLine="447"/>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养护覆盖：播种后已根据当地气候状况落实养护措施，气温偏高时采用遮阳网遮挡防晒保水，并早晚进行雾状喷水；气温较低时</w:t>
      </w:r>
      <w:r>
        <w:rPr>
          <w:rFonts w:ascii="FangSong_GB2312" w:hAnsi="FangSong_GB2312" w:eastAsia="FangSong_GB2312" w:cs="FangSong_GB2312"/>
          <w:spacing w:val="-1"/>
          <w:sz w:val="24"/>
          <w:szCs w:val="24"/>
        </w:rPr>
        <w:t>用地膜覆盖保温，同时根据土壤湿度</w:t>
      </w:r>
      <w:r>
        <w:rPr>
          <w:rFonts w:ascii="FangSong_GB2312" w:hAnsi="FangSong_GB2312" w:eastAsia="FangSong_GB2312" w:cs="FangSong_GB2312"/>
          <w:sz w:val="24"/>
          <w:szCs w:val="24"/>
        </w:rPr>
        <w:t>开展洒水养护，苗期严格控制喷水强度，避免损</w:t>
      </w:r>
      <w:r>
        <w:rPr>
          <w:rFonts w:ascii="FangSong_GB2312" w:hAnsi="FangSong_GB2312" w:eastAsia="FangSong_GB2312" w:cs="FangSong_GB2312"/>
          <w:spacing w:val="-1"/>
          <w:sz w:val="24"/>
          <w:szCs w:val="24"/>
        </w:rPr>
        <w:t>伤幼苗。当前草籽已顺利出苗并形成稳定植被覆盖，无需额外补充养护作业。</w:t>
      </w:r>
    </w:p>
    <w:p w14:paraId="64EB93B7">
      <w:pPr>
        <w:spacing w:before="4" w:line="214" w:lineRule="auto"/>
        <w:ind w:left="453"/>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FangSong_GB2312" w:hAnsi="FangSong_GB2312" w:eastAsia="FangSong_GB2312" w:cs="FangSong_GB2312"/>
          <w:spacing w:val="-4"/>
          <w:sz w:val="24"/>
          <w:szCs w:val="24"/>
        </w:rPr>
        <w:t>、苗木栽植（</w:t>
      </w:r>
      <w:r>
        <w:rPr>
          <w:rFonts w:ascii="FangSong_GB2312" w:hAnsi="FangSong_GB2312" w:eastAsia="FangSong_GB2312" w:cs="FangSong_GB2312"/>
          <w:spacing w:val="-70"/>
          <w:sz w:val="24"/>
          <w:szCs w:val="24"/>
        </w:rPr>
        <w:t xml:space="preserve"> </w:t>
      </w:r>
      <w:r>
        <w:rPr>
          <w:rFonts w:ascii="FangSong_GB2312" w:hAnsi="FangSong_GB2312" w:eastAsia="FangSong_GB2312" w:cs="FangSong_GB2312"/>
          <w:spacing w:val="-4"/>
          <w:sz w:val="24"/>
          <w:szCs w:val="24"/>
        </w:rPr>
        <w:t>已完成栽植，成活率达标，无补栽需求）</w:t>
      </w:r>
    </w:p>
    <w:p w14:paraId="268F2950">
      <w:pPr>
        <w:spacing w:before="188" w:line="359" w:lineRule="auto"/>
        <w:ind w:left="16" w:right="60" w:firstLine="445"/>
        <w:rPr>
          <w:rFonts w:ascii="FangSong_GB2312" w:hAnsi="FangSong_GB2312" w:eastAsia="FangSong_GB2312" w:cs="FangSong_GB2312"/>
          <w:sz w:val="24"/>
          <w:szCs w:val="24"/>
        </w:rPr>
      </w:pPr>
      <w:r>
        <w:rPr>
          <w:rFonts w:ascii="FangSong_GB2312" w:hAnsi="FangSong_GB2312" w:eastAsia="FangSong_GB2312" w:cs="FangSong_GB2312"/>
          <w:sz w:val="24"/>
          <w:szCs w:val="24"/>
        </w:rPr>
        <w:t>项目苗木栽植工作已全部完工，栽植流程规范，当前苗木生长状态良好，成活率</w:t>
      </w:r>
      <w:r>
        <w:rPr>
          <w:rFonts w:ascii="FangSong_GB2312" w:hAnsi="FangSong_GB2312" w:eastAsia="FangSong_GB2312" w:cs="FangSong_GB2312"/>
          <w:spacing w:val="-1"/>
          <w:sz w:val="24"/>
          <w:szCs w:val="24"/>
        </w:rPr>
        <w:t>符合要求，无需新增栽植或补栽措施，具体实施情况如下：</w:t>
      </w:r>
    </w:p>
    <w:p w14:paraId="30386B46">
      <w:pPr>
        <w:spacing w:line="359" w:lineRule="auto"/>
        <w:ind w:left="9" w:right="60" w:firstLine="459"/>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 xml:space="preserve">绿化地段准备：确定种树位置后已完成穴状整地，对地表扰动区域就近换填熟土 </w:t>
      </w:r>
      <w:r>
        <w:rPr>
          <w:rFonts w:ascii="Times New Roman" w:hAnsi="Times New Roman" w:eastAsia="Times New Roman" w:cs="Times New Roman"/>
          <w:spacing w:val="-5"/>
          <w:sz w:val="24"/>
          <w:szCs w:val="24"/>
        </w:rPr>
        <w:t>/</w:t>
      </w:r>
      <w:r>
        <w:rPr>
          <w:rFonts w:ascii="FangSong_GB2312" w:hAnsi="FangSong_GB2312" w:eastAsia="FangSong_GB2312" w:cs="FangSong_GB2312"/>
          <w:spacing w:val="-1"/>
          <w:sz w:val="24"/>
          <w:szCs w:val="24"/>
        </w:rPr>
        <w:t>肥土（利用施工准备期剥离的表土</w:t>
      </w:r>
      <w:r>
        <w:rPr>
          <w:rFonts w:ascii="FangSong_GB2312" w:hAnsi="FangSong_GB2312" w:eastAsia="FangSong_GB2312" w:cs="FangSong_GB2312"/>
          <w:spacing w:val="11"/>
          <w:sz w:val="24"/>
          <w:szCs w:val="24"/>
        </w:rPr>
        <w:t>），</w:t>
      </w:r>
      <w:r>
        <w:rPr>
          <w:rFonts w:ascii="FangSong_GB2312" w:hAnsi="FangSong_GB2312" w:eastAsia="FangSong_GB2312" w:cs="FangSong_GB2312"/>
          <w:spacing w:val="-1"/>
          <w:sz w:val="24"/>
          <w:szCs w:val="24"/>
        </w:rPr>
        <w:t>保证树苗生长所需土壤肥力；地表未扰动地段</w:t>
      </w:r>
      <w:r>
        <w:rPr>
          <w:rFonts w:ascii="FangSong_GB2312" w:hAnsi="FangSong_GB2312" w:eastAsia="FangSong_GB2312" w:cs="FangSong_GB2312"/>
          <w:sz w:val="24"/>
          <w:szCs w:val="24"/>
        </w:rPr>
        <w:t>挖坑时严格分层堆放各层土壤，回填时逐层覆盖，根据</w:t>
      </w:r>
      <w:r>
        <w:rPr>
          <w:rFonts w:ascii="FangSong_GB2312" w:hAnsi="FangSong_GB2312" w:eastAsia="FangSong_GB2312" w:cs="FangSong_GB2312"/>
          <w:spacing w:val="-1"/>
          <w:sz w:val="24"/>
          <w:szCs w:val="24"/>
        </w:rPr>
        <w:t>植物特性确定表土覆盖厚度，采用穴植方式在穴坑周边填充熟土，整地质量满足栽植要求。</w:t>
      </w:r>
    </w:p>
    <w:p w14:paraId="489022DD">
      <w:pPr>
        <w:spacing w:before="2" w:line="359" w:lineRule="auto"/>
        <w:ind w:left="12" w:firstLine="448"/>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 xml:space="preserve">挖穴质量把控：根据树苗土球 </w:t>
      </w:r>
      <w:r>
        <w:rPr>
          <w:rFonts w:ascii="Times New Roman" w:hAnsi="Times New Roman" w:eastAsia="Times New Roman" w:cs="Times New Roman"/>
          <w:spacing w:val="-1"/>
          <w:sz w:val="24"/>
          <w:szCs w:val="24"/>
        </w:rPr>
        <w:t xml:space="preserve">/  </w:t>
      </w:r>
      <w:r>
        <w:rPr>
          <w:rFonts w:ascii="FangSong_GB2312" w:hAnsi="FangSong_GB2312" w:eastAsia="FangSong_GB2312" w:cs="FangSong_GB2312"/>
          <w:spacing w:val="-1"/>
          <w:sz w:val="24"/>
          <w:szCs w:val="24"/>
        </w:rPr>
        <w:t>根系大小及土质</w:t>
      </w:r>
      <w:r>
        <w:rPr>
          <w:rFonts w:ascii="FangSong_GB2312" w:hAnsi="FangSong_GB2312" w:eastAsia="FangSong_GB2312" w:cs="FangSong_GB2312"/>
          <w:spacing w:val="-2"/>
          <w:sz w:val="24"/>
          <w:szCs w:val="24"/>
        </w:rPr>
        <w:t>情况确定穴坑尺寸，确保穴坑比</w:t>
      </w:r>
      <w:r>
        <w:rPr>
          <w:rFonts w:ascii="FangSong_GB2312" w:hAnsi="FangSong_GB2312" w:eastAsia="FangSong_GB2312" w:cs="FangSong_GB2312"/>
          <w:sz w:val="24"/>
          <w:szCs w:val="24"/>
        </w:rPr>
        <w:t xml:space="preserve">土球 </w:t>
      </w:r>
      <w:r>
        <w:rPr>
          <w:rFonts w:ascii="Times New Roman" w:hAnsi="Times New Roman" w:eastAsia="Times New Roman" w:cs="Times New Roman"/>
          <w:sz w:val="24"/>
          <w:szCs w:val="24"/>
        </w:rPr>
        <w:t xml:space="preserve">/  </w:t>
      </w:r>
      <w:r>
        <w:rPr>
          <w:rFonts w:ascii="FangSong_GB2312" w:hAnsi="FangSong_GB2312" w:eastAsia="FangSong_GB2312" w:cs="FangSong_GB2312"/>
          <w:sz w:val="24"/>
          <w:szCs w:val="24"/>
        </w:rPr>
        <w:t xml:space="preserve">根系大 </w:t>
      </w:r>
      <w:r>
        <w:rPr>
          <w:rFonts w:ascii="Times New Roman" w:hAnsi="Times New Roman" w:eastAsia="Times New Roman" w:cs="Times New Roman"/>
          <w:sz w:val="24"/>
          <w:szCs w:val="24"/>
        </w:rPr>
        <w:t>20cm~30cm</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z w:val="24"/>
          <w:szCs w:val="24"/>
        </w:rPr>
        <w:t>，深度略深于树木原栽植深度；按定点放线位置挖到规定</w:t>
      </w:r>
      <w:r>
        <w:rPr>
          <w:rFonts w:ascii="FangSong_GB2312" w:hAnsi="FangSong_GB2312" w:eastAsia="FangSong_GB2312" w:cs="FangSong_GB2312"/>
          <w:spacing w:val="-5"/>
          <w:sz w:val="24"/>
          <w:szCs w:val="24"/>
        </w:rPr>
        <w:t>深度后，将穴底刨松弄平，栽植裸根苗时在坑底中央堆设小土丘，保障根</w:t>
      </w:r>
      <w:r>
        <w:rPr>
          <w:rFonts w:ascii="FangSong_GB2312" w:hAnsi="FangSong_GB2312" w:eastAsia="FangSong_GB2312" w:cs="FangSong_GB2312"/>
          <w:spacing w:val="-6"/>
          <w:sz w:val="24"/>
          <w:szCs w:val="24"/>
        </w:rPr>
        <w:t>系自然舒展，</w:t>
      </w:r>
      <w:r>
        <w:rPr>
          <w:rFonts w:ascii="FangSong_GB2312" w:hAnsi="FangSong_GB2312" w:eastAsia="FangSong_GB2312" w:cs="FangSong_GB2312"/>
          <w:spacing w:val="-2"/>
          <w:sz w:val="24"/>
          <w:szCs w:val="24"/>
        </w:rPr>
        <w:t>穴坑质量无偏差。</w:t>
      </w:r>
    </w:p>
    <w:p w14:paraId="5C8BD522">
      <w:pPr>
        <w:spacing w:before="1" w:line="213" w:lineRule="auto"/>
        <w:ind w:left="46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穴坑土壤处理：针对土层垂直分布不一致的穴坑，</w:t>
      </w:r>
      <w:r>
        <w:rPr>
          <w:rFonts w:ascii="FangSong_GB2312" w:hAnsi="FangSong_GB2312" w:eastAsia="FangSong_GB2312" w:cs="FangSong_GB2312"/>
          <w:spacing w:val="-68"/>
          <w:sz w:val="24"/>
          <w:szCs w:val="24"/>
        </w:rPr>
        <w:t xml:space="preserve"> </w:t>
      </w:r>
      <w:r>
        <w:rPr>
          <w:rFonts w:ascii="FangSong_GB2312" w:hAnsi="FangSong_GB2312" w:eastAsia="FangSong_GB2312" w:cs="FangSong_GB2312"/>
          <w:spacing w:val="-1"/>
          <w:sz w:val="24"/>
          <w:szCs w:val="24"/>
        </w:rPr>
        <w:t>已分开堆放各层</w:t>
      </w:r>
      <w:r>
        <w:rPr>
          <w:rFonts w:ascii="FangSong_GB2312" w:hAnsi="FangSong_GB2312" w:eastAsia="FangSong_GB2312" w:cs="FangSong_GB2312"/>
          <w:spacing w:val="-2"/>
          <w:sz w:val="24"/>
          <w:szCs w:val="24"/>
        </w:rPr>
        <w:t>土壤并逐层回</w:t>
      </w:r>
    </w:p>
    <w:p w14:paraId="4C5D3D1D">
      <w:pPr>
        <w:pStyle w:val="2"/>
        <w:spacing w:line="358" w:lineRule="auto"/>
      </w:pPr>
    </w:p>
    <w:p w14:paraId="5C24377D">
      <w:pPr>
        <w:spacing w:before="65" w:line="229" w:lineRule="auto"/>
        <w:ind w:left="5384"/>
        <w:rPr>
          <w:rFonts w:ascii="FangSong_GB2312" w:hAnsi="FangSong_GB2312" w:eastAsia="FangSong_GB2312" w:cs="FangSong_GB2312"/>
          <w:sz w:val="20"/>
          <w:szCs w:val="20"/>
        </w:rPr>
      </w:pPr>
      <w:r>
        <w:pict>
          <v:shape id="_x0000_s1079" o:spid="_x0000_s1079" o:spt="202" type="#_x0000_t202" style="position:absolute;left:0pt;margin-left:216.6pt;margin-top:3pt;height:10.15pt;width:10.95pt;z-index:251749376;mso-width-relative:page;mso-height-relative:page;" filled="f" stroked="f" coordsize="21600,21600">
            <v:path/>
            <v:fill on="f" focussize="0,0"/>
            <v:stroke on="f"/>
            <v:imagedata o:title=""/>
            <o:lock v:ext="edit" aspectratio="f"/>
            <v:textbox inset="0mm,0mm,0mm,0mm">
              <w:txbxContent>
                <w:p w14:paraId="50EDE0A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xbxContent>
            </v:textbox>
          </v:shape>
        </w:pict>
      </w:r>
      <w:r>
        <w:rPr>
          <w:rFonts w:ascii="FangSong_GB2312" w:hAnsi="FangSong_GB2312" w:eastAsia="FangSong_GB2312" w:cs="FangSong_GB2312"/>
          <w:spacing w:val="8"/>
          <w:sz w:val="20"/>
          <w:szCs w:val="20"/>
        </w:rPr>
        <w:t>剑阁县绿森林业勘察设计有限公司</w:t>
      </w:r>
    </w:p>
    <w:p w14:paraId="65B70627">
      <w:pPr>
        <w:spacing w:line="229" w:lineRule="auto"/>
        <w:rPr>
          <w:rFonts w:ascii="FangSong_GB2312" w:hAnsi="FangSong_GB2312" w:eastAsia="FangSong_GB2312" w:cs="FangSong_GB2312"/>
          <w:sz w:val="20"/>
          <w:szCs w:val="20"/>
        </w:rPr>
        <w:sectPr>
          <w:headerReference r:id="rId59" w:type="default"/>
          <w:pgSz w:w="11906" w:h="16839"/>
          <w:pgMar w:top="1159" w:right="1453" w:bottom="400" w:left="1513" w:header="831" w:footer="0" w:gutter="0"/>
          <w:cols w:space="720" w:num="1"/>
        </w:sectPr>
      </w:pPr>
    </w:p>
    <w:p w14:paraId="3CC46A47">
      <w:pPr>
        <w:spacing w:before="204" w:line="357" w:lineRule="auto"/>
        <w:ind w:left="16" w:right="70" w:hanging="7"/>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填，确保穴坑上下口大小一致；对土壤污染或含较多建筑垃圾的穴坑，</w:t>
      </w:r>
      <w:r>
        <w:rPr>
          <w:rFonts w:ascii="FangSong_GB2312" w:hAnsi="FangSong_GB2312" w:eastAsia="FangSong_GB2312" w:cs="FangSong_GB2312"/>
          <w:spacing w:val="-59"/>
          <w:sz w:val="24"/>
          <w:szCs w:val="24"/>
        </w:rPr>
        <w:t xml:space="preserve"> </w:t>
      </w:r>
      <w:r>
        <w:rPr>
          <w:rFonts w:ascii="FangSong_GB2312" w:hAnsi="FangSong_GB2312" w:eastAsia="FangSong_GB2312" w:cs="FangSong_GB2312"/>
          <w:spacing w:val="-2"/>
          <w:sz w:val="24"/>
          <w:szCs w:val="24"/>
        </w:rPr>
        <w:t>已彻底清理污</w:t>
      </w:r>
      <w:r>
        <w:rPr>
          <w:rFonts w:ascii="FangSong_GB2312" w:hAnsi="FangSong_GB2312" w:eastAsia="FangSong_GB2312" w:cs="FangSong_GB2312"/>
          <w:spacing w:val="-1"/>
          <w:sz w:val="24"/>
          <w:szCs w:val="24"/>
        </w:rPr>
        <w:t>染物，为苗木生长提供良好土壤环境。</w:t>
      </w:r>
    </w:p>
    <w:p w14:paraId="7A8E63F5">
      <w:pPr>
        <w:spacing w:before="3" w:line="214" w:lineRule="auto"/>
        <w:ind w:left="45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树苗栽植操作：</w:t>
      </w:r>
    </w:p>
    <w:p w14:paraId="156D1E5E">
      <w:pPr>
        <w:spacing w:before="187" w:line="358" w:lineRule="auto"/>
        <w:ind w:left="4" w:right="73" w:firstLine="452"/>
        <w:rPr>
          <w:rFonts w:ascii="FangSong_GB2312" w:hAnsi="FangSong_GB2312" w:eastAsia="FangSong_GB2312" w:cs="FangSong_GB2312"/>
          <w:sz w:val="24"/>
          <w:szCs w:val="24"/>
        </w:rPr>
      </w:pPr>
      <w:r>
        <w:rPr>
          <w:rFonts w:ascii="FangSong_GB2312" w:hAnsi="FangSong_GB2312" w:eastAsia="FangSong_GB2312" w:cs="FangSong_GB2312"/>
          <w:sz w:val="24"/>
          <w:szCs w:val="24"/>
        </w:rPr>
        <w:t xml:space="preserve">栽苗时全程用草帘苫盖苗木，避免根系长时间暴露；灌木按 </w:t>
      </w:r>
      <w:r>
        <w:rPr>
          <w:rFonts w:ascii="Times New Roman" w:hAnsi="Times New Roman" w:eastAsia="Times New Roman" w:cs="Times New Roman"/>
          <w:sz w:val="24"/>
          <w:szCs w:val="24"/>
        </w:rPr>
        <w:t>“</w:t>
      </w:r>
      <w:r>
        <w:rPr>
          <w:rFonts w:ascii="Times New Roman" w:hAnsi="Times New Roman" w:eastAsia="Times New Roman" w:cs="Times New Roman"/>
          <w:spacing w:val="-16"/>
          <w:sz w:val="24"/>
          <w:szCs w:val="24"/>
        </w:rPr>
        <w:t xml:space="preserve"> </w:t>
      </w:r>
      <w:r>
        <w:rPr>
          <w:rFonts w:ascii="FangSong_GB2312" w:hAnsi="FangSong_GB2312" w:eastAsia="FangSong_GB2312" w:cs="FangSong_GB2312"/>
          <w:sz w:val="24"/>
          <w:szCs w:val="24"/>
        </w:rPr>
        <w:t>一穴一株</w:t>
      </w:r>
      <w:r>
        <w:rPr>
          <w:rFonts w:ascii="Times New Roman" w:hAnsi="Times New Roman" w:eastAsia="Times New Roman" w:cs="Times New Roman"/>
          <w:sz w:val="24"/>
          <w:szCs w:val="24"/>
        </w:rPr>
        <w:t xml:space="preserve">”  </w:t>
      </w:r>
      <w:r>
        <w:rPr>
          <w:rFonts w:ascii="FangSong_GB2312" w:hAnsi="FangSong_GB2312" w:eastAsia="FangSong_GB2312" w:cs="FangSong_GB2312"/>
          <w:sz w:val="24"/>
          <w:szCs w:val="24"/>
        </w:rPr>
        <w:t>规范栽植，确保行列整齐、苗木在坑内舒展无窝曲，根据需求适当深栽或</w:t>
      </w:r>
      <w:r>
        <w:rPr>
          <w:rFonts w:ascii="FangSong_GB2312" w:hAnsi="FangSong_GB2312" w:eastAsia="FangSong_GB2312" w:cs="FangSong_GB2312"/>
          <w:spacing w:val="-1"/>
          <w:sz w:val="24"/>
          <w:szCs w:val="24"/>
        </w:rPr>
        <w:t>深栽浅覆。</w:t>
      </w:r>
    </w:p>
    <w:p w14:paraId="3A8B9BD5">
      <w:pPr>
        <w:spacing w:before="4" w:line="359" w:lineRule="auto"/>
        <w:ind w:left="12" w:right="70" w:firstLine="451"/>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苗木放入穴中扶正后，填土至三分之二时适当提苗调整栽植深度，踩实后继续填</w:t>
      </w:r>
      <w:r>
        <w:rPr>
          <w:rFonts w:ascii="FangSong_GB2312" w:hAnsi="FangSong_GB2312" w:eastAsia="FangSong_GB2312" w:cs="FangSong_GB2312"/>
          <w:spacing w:val="2"/>
          <w:sz w:val="24"/>
          <w:szCs w:val="24"/>
        </w:rPr>
        <w:t xml:space="preserve">土至穴满并再次踩实，及时灌水（栽后 </w:t>
      </w:r>
      <w:r>
        <w:rPr>
          <w:rFonts w:ascii="Times New Roman" w:hAnsi="Times New Roman" w:eastAsia="Times New Roman" w:cs="Times New Roman"/>
          <w:spacing w:val="2"/>
          <w:sz w:val="24"/>
          <w:szCs w:val="24"/>
        </w:rPr>
        <w:t xml:space="preserve">24  </w:t>
      </w:r>
      <w:r>
        <w:rPr>
          <w:rFonts w:ascii="FangSong_GB2312" w:hAnsi="FangSong_GB2312" w:eastAsia="FangSong_GB2312" w:cs="FangSong_GB2312"/>
          <w:spacing w:val="2"/>
          <w:sz w:val="24"/>
          <w:szCs w:val="24"/>
        </w:rPr>
        <w:t xml:space="preserve">小时内灌第一次水，间隔 </w:t>
      </w:r>
      <w:r>
        <w:rPr>
          <w:rFonts w:ascii="Times New Roman" w:hAnsi="Times New Roman" w:eastAsia="Times New Roman" w:cs="Times New Roman"/>
          <w:spacing w:val="2"/>
          <w:sz w:val="24"/>
          <w:szCs w:val="24"/>
        </w:rPr>
        <w:t xml:space="preserve">3~5  </w:t>
      </w:r>
      <w:r>
        <w:rPr>
          <w:rFonts w:ascii="FangSong_GB2312" w:hAnsi="FangSong_GB2312" w:eastAsia="FangSong_GB2312" w:cs="FangSong_GB2312"/>
          <w:spacing w:val="2"/>
          <w:sz w:val="24"/>
          <w:szCs w:val="24"/>
        </w:rPr>
        <w:t>天灌第二</w:t>
      </w:r>
      <w:r>
        <w:rPr>
          <w:rFonts w:ascii="FangSong_GB2312" w:hAnsi="FangSong_GB2312" w:eastAsia="FangSong_GB2312" w:cs="FangSong_GB2312"/>
          <w:spacing w:val="-1"/>
          <w:sz w:val="24"/>
          <w:szCs w:val="24"/>
        </w:rPr>
        <w:t xml:space="preserve">次，再隔 </w:t>
      </w:r>
      <w:r>
        <w:rPr>
          <w:rFonts w:ascii="Times New Roman" w:hAnsi="Times New Roman" w:eastAsia="Times New Roman" w:cs="Times New Roman"/>
          <w:spacing w:val="-1"/>
          <w:sz w:val="24"/>
          <w:szCs w:val="24"/>
        </w:rPr>
        <w:t xml:space="preserve">3~7  </w:t>
      </w:r>
      <w:r>
        <w:rPr>
          <w:rFonts w:ascii="FangSong_GB2312" w:hAnsi="FangSong_GB2312" w:eastAsia="FangSong_GB2312" w:cs="FangSong_GB2312"/>
          <w:spacing w:val="-1"/>
          <w:sz w:val="24"/>
          <w:szCs w:val="24"/>
        </w:rPr>
        <w:t>天灌第三次</w:t>
      </w:r>
      <w:r>
        <w:rPr>
          <w:rFonts w:ascii="FangSong_GB2312" w:hAnsi="FangSong_GB2312" w:eastAsia="FangSong_GB2312" w:cs="FangSong_GB2312"/>
          <w:spacing w:val="9"/>
          <w:sz w:val="24"/>
          <w:szCs w:val="24"/>
        </w:rPr>
        <w:t>），</w:t>
      </w:r>
      <w:r>
        <w:rPr>
          <w:rFonts w:ascii="FangSong_GB2312" w:hAnsi="FangSong_GB2312" w:eastAsia="FangSong_GB2312" w:cs="FangSong_GB2312"/>
          <w:spacing w:val="-1"/>
          <w:sz w:val="24"/>
          <w:szCs w:val="24"/>
        </w:rPr>
        <w:t>水渗后立即覆土防蒸发，栽植流程规范。</w:t>
      </w:r>
    </w:p>
    <w:p w14:paraId="61730EB7">
      <w:pPr>
        <w:spacing w:before="2" w:line="213" w:lineRule="auto"/>
        <w:ind w:left="459"/>
        <w:rPr>
          <w:rFonts w:ascii="FangSong_GB2312" w:hAnsi="FangSong_GB2312" w:eastAsia="FangSong_GB2312" w:cs="FangSong_GB2312"/>
          <w:sz w:val="24"/>
          <w:szCs w:val="24"/>
        </w:rPr>
      </w:pPr>
      <w:r>
        <w:rPr>
          <w:rFonts w:ascii="FangSong_GB2312" w:hAnsi="FangSong_GB2312" w:eastAsia="FangSong_GB2312" w:cs="FangSong_GB2312"/>
          <w:sz w:val="24"/>
          <w:szCs w:val="24"/>
        </w:rPr>
        <w:t>施工中结合当地环境条件，对树木株距进行适当</w:t>
      </w:r>
      <w:r>
        <w:rPr>
          <w:rFonts w:ascii="FangSong_GB2312" w:hAnsi="FangSong_GB2312" w:eastAsia="FangSong_GB2312" w:cs="FangSong_GB2312"/>
          <w:spacing w:val="-1"/>
          <w:sz w:val="24"/>
          <w:szCs w:val="24"/>
        </w:rPr>
        <w:t>调整，确保栽植布局合理。</w:t>
      </w:r>
    </w:p>
    <w:p w14:paraId="2EBFD260">
      <w:pPr>
        <w:spacing w:before="190" w:line="357" w:lineRule="auto"/>
        <w:ind w:left="39" w:right="4" w:firstLine="429"/>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绿化时机选择：在雨前栽植，同时在栽植后加强浇水灌溉管理，保障苗木成活率。</w:t>
      </w:r>
      <w:r>
        <w:rPr>
          <w:rFonts w:ascii="FangSong_GB2312" w:hAnsi="FangSong_GB2312" w:eastAsia="FangSong_GB2312" w:cs="FangSong_GB2312"/>
          <w:spacing w:val="-2"/>
          <w:sz w:val="24"/>
          <w:szCs w:val="24"/>
        </w:rPr>
        <w:t>当前苗木已适应生长环境，无需额外开展栽植相关作业。</w:t>
      </w:r>
    </w:p>
    <w:p w14:paraId="2A5C21C5">
      <w:pPr>
        <w:spacing w:before="3" w:line="359" w:lineRule="auto"/>
        <w:ind w:left="7" w:right="10" w:firstLine="461"/>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综上，项目建设期间已全面完成表土剥离与回覆、土石方开挖、撒播草籽、苗木</w:t>
      </w:r>
      <w:r>
        <w:rPr>
          <w:rFonts w:ascii="FangSong_GB2312" w:hAnsi="FangSong_GB2312" w:eastAsia="FangSong_GB2312" w:cs="FangSong_GB2312"/>
          <w:spacing w:val="-5"/>
          <w:sz w:val="24"/>
          <w:szCs w:val="24"/>
        </w:rPr>
        <w:t>栽植等水土保持核心措施，各项措施实施规范、成效达标，当前项目无剩余施工任务，</w:t>
      </w:r>
      <w:r>
        <w:rPr>
          <w:rFonts w:ascii="FangSong_GB2312" w:hAnsi="FangSong_GB2312" w:eastAsia="FangSong_GB2312" w:cs="FangSong_GB2312"/>
          <w:sz w:val="24"/>
          <w:szCs w:val="24"/>
        </w:rPr>
        <w:t>场地生态趋于稳定，不存在水土流失隐患，无需</w:t>
      </w:r>
      <w:r>
        <w:rPr>
          <w:rFonts w:ascii="FangSong_GB2312" w:hAnsi="FangSong_GB2312" w:eastAsia="FangSong_GB2312" w:cs="FangSong_GB2312"/>
          <w:spacing w:val="-1"/>
          <w:sz w:val="24"/>
          <w:szCs w:val="24"/>
        </w:rPr>
        <w:t>新增水土保持措施。</w:t>
      </w:r>
    </w:p>
    <w:p w14:paraId="4EA78E40">
      <w:pPr>
        <w:spacing w:before="243" w:line="214" w:lineRule="auto"/>
        <w:ind w:left="8"/>
        <w:outlineLvl w:val="3"/>
        <w:rPr>
          <w:rFonts w:ascii="FangSong_GB2312" w:hAnsi="FangSong_GB2312" w:eastAsia="FangSong_GB2312" w:cs="FangSong_GB2312"/>
          <w:sz w:val="24"/>
          <w:szCs w:val="24"/>
        </w:rPr>
      </w:pPr>
      <w:r>
        <w:drawing>
          <wp:anchor distT="0" distB="0" distL="0" distR="0" simplePos="0" relativeHeight="251752448" behindDoc="0" locked="0" layoutInCell="1" allowOverlap="1">
            <wp:simplePos x="0" y="0"/>
            <wp:positionH relativeFrom="column">
              <wp:posOffset>5140325</wp:posOffset>
            </wp:positionH>
            <wp:positionV relativeFrom="paragraph">
              <wp:posOffset>270510</wp:posOffset>
            </wp:positionV>
            <wp:extent cx="6350" cy="952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1"/>
                    <a:stretch>
                      <a:fillRect/>
                    </a:stretch>
                  </pic:blipFill>
                  <pic:spPr>
                    <a:xfrm>
                      <a:off x="0" y="0"/>
                      <a:ext cx="6350" cy="9525"/>
                    </a:xfrm>
                    <a:prstGeom prst="rect">
                      <a:avLst/>
                    </a:prstGeom>
                  </pic:spPr>
                </pic:pic>
              </a:graphicData>
            </a:graphic>
          </wp:anchor>
        </w:drawing>
      </w:r>
      <w:r>
        <w:rPr>
          <w:rFonts w:ascii="Times New Roman" w:hAnsi="Times New Roman" w:eastAsia="Times New Roman" w:cs="Times New Roman"/>
          <w:b/>
          <w:bCs/>
          <w:spacing w:val="-2"/>
          <w:sz w:val="24"/>
          <w:szCs w:val="24"/>
        </w:rPr>
        <w:t xml:space="preserve">5.4.1.6 </w:t>
      </w:r>
      <w:r>
        <w:rPr>
          <w:rFonts w:ascii="FangSong_GB2312" w:hAnsi="FangSong_GB2312" w:eastAsia="FangSong_GB2312" w:cs="FangSong_GB2312"/>
          <w:b/>
          <w:bCs/>
          <w:spacing w:val="-2"/>
          <w:sz w:val="24"/>
          <w:szCs w:val="24"/>
        </w:rPr>
        <w:t>施工质量要求</w:t>
      </w:r>
    </w:p>
    <w:p w14:paraId="2AFA4136">
      <w:pPr>
        <w:spacing w:before="246" w:line="214" w:lineRule="auto"/>
        <w:ind w:left="45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水土保持措施实施后，各项治理措施必须符合规定的质量要求。</w:t>
      </w:r>
    </w:p>
    <w:p w14:paraId="3981A446">
      <w:pPr>
        <w:spacing w:before="190" w:line="359" w:lineRule="auto"/>
        <w:ind w:left="8" w:firstLine="446"/>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根据《水土保持综合治理</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验收规范》（</w:t>
      </w:r>
      <w:r>
        <w:rPr>
          <w:rFonts w:ascii="Times New Roman" w:hAnsi="Times New Roman" w:eastAsia="Times New Roman" w:cs="Times New Roman"/>
          <w:spacing w:val="-2"/>
          <w:sz w:val="24"/>
          <w:szCs w:val="24"/>
        </w:rPr>
        <w:t>GB/T15773-2008</w:t>
      </w:r>
      <w:r>
        <w:rPr>
          <w:rFonts w:ascii="FangSong_GB2312" w:hAnsi="FangSong_GB2312" w:eastAsia="FangSong_GB2312" w:cs="FangSong_GB2312"/>
          <w:spacing w:val="-2"/>
          <w:sz w:val="24"/>
          <w:szCs w:val="24"/>
        </w:rPr>
        <w:t>）的相关规定，水土保持</w:t>
      </w:r>
      <w:r>
        <w:rPr>
          <w:rFonts w:ascii="FangSong_GB2312" w:hAnsi="FangSong_GB2312" w:eastAsia="FangSong_GB2312" w:cs="FangSong_GB2312"/>
          <w:spacing w:val="-5"/>
          <w:sz w:val="24"/>
          <w:szCs w:val="24"/>
        </w:rPr>
        <w:t>各项治理措施的基本要求是总体布局合理，各项措施位置符合规划要求，规格、尺寸、</w:t>
      </w:r>
      <w:r>
        <w:rPr>
          <w:rFonts w:ascii="FangSong_GB2312" w:hAnsi="FangSong_GB2312" w:eastAsia="FangSong_GB2312" w:cs="FangSong_GB2312"/>
          <w:sz w:val="24"/>
          <w:szCs w:val="24"/>
        </w:rPr>
        <w:t>质量使用材料、施工方法符合施工和设计标准经</w:t>
      </w:r>
      <w:r>
        <w:rPr>
          <w:rFonts w:ascii="FangSong_GB2312" w:hAnsi="FangSong_GB2312" w:eastAsia="FangSong_GB2312" w:cs="FangSong_GB2312"/>
          <w:spacing w:val="-1"/>
          <w:sz w:val="24"/>
          <w:szCs w:val="24"/>
        </w:rPr>
        <w:t>暴雨考验后基本完好。</w:t>
      </w:r>
    </w:p>
    <w:p w14:paraId="2B9D05EB">
      <w:pPr>
        <w:spacing w:before="239" w:line="214" w:lineRule="auto"/>
        <w:ind w:left="8"/>
        <w:outlineLvl w:val="3"/>
        <w:rPr>
          <w:rFonts w:ascii="FangSong_GB2312" w:hAnsi="FangSong_GB2312" w:eastAsia="FangSong_GB2312" w:cs="FangSong_GB2312"/>
          <w:sz w:val="24"/>
          <w:szCs w:val="24"/>
        </w:rPr>
      </w:pPr>
      <w:r>
        <w:drawing>
          <wp:anchor distT="0" distB="0" distL="0" distR="0" simplePos="0" relativeHeight="251751424" behindDoc="0" locked="0" layoutInCell="1" allowOverlap="1">
            <wp:simplePos x="0" y="0"/>
            <wp:positionH relativeFrom="column">
              <wp:posOffset>5140325</wp:posOffset>
            </wp:positionH>
            <wp:positionV relativeFrom="paragraph">
              <wp:posOffset>268605</wp:posOffset>
            </wp:positionV>
            <wp:extent cx="6350" cy="952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2"/>
                    <a:stretch>
                      <a:fillRect/>
                    </a:stretch>
                  </pic:blipFill>
                  <pic:spPr>
                    <a:xfrm>
                      <a:off x="0" y="0"/>
                      <a:ext cx="6350" cy="9525"/>
                    </a:xfrm>
                    <a:prstGeom prst="rect">
                      <a:avLst/>
                    </a:prstGeom>
                  </pic:spPr>
                </pic:pic>
              </a:graphicData>
            </a:graphic>
          </wp:anchor>
        </w:drawing>
      </w:r>
      <w:r>
        <w:rPr>
          <w:rFonts w:ascii="Times New Roman" w:hAnsi="Times New Roman" w:eastAsia="Times New Roman" w:cs="Times New Roman"/>
          <w:b/>
          <w:bCs/>
          <w:spacing w:val="-2"/>
          <w:sz w:val="24"/>
          <w:szCs w:val="24"/>
        </w:rPr>
        <w:t xml:space="preserve">5.4.1.7 </w:t>
      </w:r>
      <w:r>
        <w:rPr>
          <w:rFonts w:ascii="FangSong_GB2312" w:hAnsi="FangSong_GB2312" w:eastAsia="FangSong_GB2312" w:cs="FangSong_GB2312"/>
          <w:b/>
          <w:bCs/>
          <w:spacing w:val="-2"/>
          <w:sz w:val="24"/>
          <w:szCs w:val="24"/>
        </w:rPr>
        <w:t>施工过程中应注意的问题</w:t>
      </w:r>
    </w:p>
    <w:p w14:paraId="4F1680B9">
      <w:pPr>
        <w:spacing w:before="250" w:line="286" w:lineRule="auto"/>
        <w:ind w:left="22" w:right="70" w:firstLine="454"/>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、施工单位在施工手册中专章给出水土保持措施实</w:t>
      </w:r>
      <w:r>
        <w:rPr>
          <w:rFonts w:ascii="FangSong_GB2312" w:hAnsi="FangSong_GB2312" w:eastAsia="FangSong_GB2312" w:cs="FangSong_GB2312"/>
          <w:spacing w:val="-4"/>
          <w:sz w:val="24"/>
          <w:szCs w:val="24"/>
        </w:rPr>
        <w:t>施细则，将水土保持方案报告</w:t>
      </w:r>
      <w:r>
        <w:rPr>
          <w:rFonts w:ascii="FangSong_GB2312" w:hAnsi="FangSong_GB2312" w:eastAsia="FangSong_GB2312" w:cs="FangSong_GB2312"/>
          <w:spacing w:val="-1"/>
          <w:sz w:val="24"/>
          <w:szCs w:val="24"/>
        </w:rPr>
        <w:t>书及设计文件中规定的水土保持措施进行细化，管理到位，监理到场，责任到人；</w:t>
      </w:r>
    </w:p>
    <w:p w14:paraId="079982B0">
      <w:pPr>
        <w:spacing w:before="191" w:line="286" w:lineRule="auto"/>
        <w:ind w:left="15" w:right="70" w:firstLine="43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2</w:t>
      </w:r>
      <w:r>
        <w:rPr>
          <w:rFonts w:ascii="FangSong_GB2312" w:hAnsi="FangSong_GB2312" w:eastAsia="FangSong_GB2312" w:cs="FangSong_GB2312"/>
          <w:spacing w:val="-3"/>
          <w:sz w:val="24"/>
          <w:szCs w:val="24"/>
        </w:rPr>
        <w:t>、加强设计方与施工方的交流。使施工方理解环保设计意图，并贯彻落实到施工</w:t>
      </w:r>
      <w:r>
        <w:rPr>
          <w:rFonts w:ascii="FangSong_GB2312" w:hAnsi="FangSong_GB2312" w:eastAsia="FangSong_GB2312" w:cs="FangSong_GB2312"/>
          <w:spacing w:val="-6"/>
          <w:sz w:val="24"/>
          <w:szCs w:val="24"/>
        </w:rPr>
        <w:t>班组；</w:t>
      </w:r>
    </w:p>
    <w:p w14:paraId="76D69FE5">
      <w:pPr>
        <w:spacing w:before="188" w:line="311" w:lineRule="auto"/>
        <w:ind w:left="10" w:right="70" w:firstLine="44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、在建设期间，工程建设单位有专职或兼职的环境保护和水土保持管理人员，主</w:t>
      </w:r>
      <w:r>
        <w:rPr>
          <w:rFonts w:ascii="FangSong_GB2312" w:hAnsi="FangSong_GB2312" w:eastAsia="FangSong_GB2312" w:cs="FangSong_GB2312"/>
          <w:sz w:val="24"/>
          <w:szCs w:val="24"/>
        </w:rPr>
        <w:t>要负责落实施工过程中的临时水土保持管理措施、临</w:t>
      </w:r>
      <w:r>
        <w:rPr>
          <w:rFonts w:ascii="FangSong_GB2312" w:hAnsi="FangSong_GB2312" w:eastAsia="FangSong_GB2312" w:cs="FangSong_GB2312"/>
          <w:spacing w:val="-1"/>
          <w:sz w:val="24"/>
          <w:szCs w:val="24"/>
        </w:rPr>
        <w:t>时水土保持工程措施，以及监督</w:t>
      </w:r>
      <w:r>
        <w:rPr>
          <w:rFonts w:ascii="FangSong_GB2312" w:hAnsi="FangSong_GB2312" w:eastAsia="FangSong_GB2312" w:cs="FangSong_GB2312"/>
          <w:sz w:val="24"/>
          <w:szCs w:val="24"/>
        </w:rPr>
        <w:t>管理工作，具体工作在施工招标文件中明确</w:t>
      </w:r>
      <w:r>
        <w:rPr>
          <w:rFonts w:ascii="FangSong_GB2312" w:hAnsi="FangSong_GB2312" w:eastAsia="FangSong_GB2312" w:cs="FangSong_GB2312"/>
          <w:spacing w:val="-1"/>
          <w:sz w:val="24"/>
          <w:szCs w:val="24"/>
        </w:rPr>
        <w:t>并由施工单位遵守和完成；</w:t>
      </w:r>
    </w:p>
    <w:p w14:paraId="32A486D6">
      <w:pPr>
        <w:spacing w:before="189" w:line="286" w:lineRule="auto"/>
        <w:ind w:left="17" w:right="70" w:firstLine="435"/>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4</w:t>
      </w:r>
      <w:r>
        <w:rPr>
          <w:rFonts w:ascii="FangSong_GB2312" w:hAnsi="FangSong_GB2312" w:eastAsia="FangSong_GB2312" w:cs="FangSong_GB2312"/>
          <w:spacing w:val="-3"/>
          <w:sz w:val="24"/>
          <w:szCs w:val="24"/>
        </w:rPr>
        <w:t>、加强对施工人员的宣传教育，增强生态环境保护及防治水土流失意识。并安排</w:t>
      </w:r>
      <w:r>
        <w:rPr>
          <w:rFonts w:ascii="FangSong_GB2312" w:hAnsi="FangSong_GB2312" w:eastAsia="FangSong_GB2312" w:cs="FangSong_GB2312"/>
          <w:spacing w:val="-1"/>
          <w:sz w:val="24"/>
          <w:szCs w:val="24"/>
        </w:rPr>
        <w:t>专人对施工环境状况进行日常监督检查，并将水土保持及生态环境保护纳入个人收入</w:t>
      </w:r>
    </w:p>
    <w:p w14:paraId="3F99193C">
      <w:pPr>
        <w:spacing w:before="294" w:line="229" w:lineRule="auto"/>
        <w:ind w:left="5384"/>
        <w:rPr>
          <w:rFonts w:ascii="FangSong_GB2312" w:hAnsi="FangSong_GB2312" w:eastAsia="FangSong_GB2312" w:cs="FangSong_GB2312"/>
          <w:sz w:val="20"/>
          <w:szCs w:val="20"/>
        </w:rPr>
      </w:pPr>
      <w:r>
        <w:pict>
          <v:shape id="_x0000_s1080" o:spid="_x0000_s1080" o:spt="202" type="#_x0000_t202" style="position:absolute;left:0pt;margin-left:216.6pt;margin-top:14.4pt;height:10.15pt;width:10.95pt;z-index:251750400;mso-width-relative:page;mso-height-relative:page;" filled="f" stroked="f" coordsize="21600,21600">
            <v:path/>
            <v:fill on="f" focussize="0,0"/>
            <v:stroke on="f"/>
            <v:imagedata o:title=""/>
            <o:lock v:ext="edit" aspectratio="f"/>
            <v:textbox inset="0mm,0mm,0mm,0mm">
              <w:txbxContent>
                <w:p w14:paraId="1CE6DDF4">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xbxContent>
            </v:textbox>
          </v:shape>
        </w:pict>
      </w:r>
      <w:r>
        <w:rPr>
          <w:rFonts w:ascii="FangSong_GB2312" w:hAnsi="FangSong_GB2312" w:eastAsia="FangSong_GB2312" w:cs="FangSong_GB2312"/>
          <w:spacing w:val="8"/>
          <w:sz w:val="20"/>
          <w:szCs w:val="20"/>
        </w:rPr>
        <w:t>剑阁县绿森林业勘察设计有限公司</w:t>
      </w:r>
    </w:p>
    <w:p w14:paraId="477438F0">
      <w:pPr>
        <w:spacing w:line="229" w:lineRule="auto"/>
        <w:rPr>
          <w:rFonts w:ascii="FangSong_GB2312" w:hAnsi="FangSong_GB2312" w:eastAsia="FangSong_GB2312" w:cs="FangSong_GB2312"/>
          <w:sz w:val="20"/>
          <w:szCs w:val="20"/>
        </w:rPr>
        <w:sectPr>
          <w:headerReference r:id="rId60" w:type="default"/>
          <w:pgSz w:w="11906" w:h="16839"/>
          <w:pgMar w:top="1159" w:right="1443" w:bottom="400" w:left="1513" w:header="831" w:footer="0" w:gutter="0"/>
          <w:cols w:space="720" w:num="1"/>
        </w:sectPr>
      </w:pPr>
    </w:p>
    <w:p w14:paraId="494ED958">
      <w:pPr>
        <w:spacing w:before="202" w:line="214" w:lineRule="auto"/>
        <w:ind w:left="28"/>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考核范围；</w:t>
      </w:r>
    </w:p>
    <w:p w14:paraId="33E2DC7D">
      <w:pPr>
        <w:spacing w:before="188" w:line="360" w:lineRule="auto"/>
        <w:ind w:left="53" w:right="21" w:firstLine="428"/>
        <w:rPr>
          <w:rFonts w:ascii="FangSong_GB2312" w:hAnsi="FangSong_GB2312" w:eastAsia="FangSong_GB2312" w:cs="FangSong_GB2312"/>
          <w:sz w:val="24"/>
          <w:szCs w:val="24"/>
        </w:rPr>
      </w:pPr>
      <w:r>
        <w:rPr>
          <w:rFonts w:ascii="Times New Roman" w:hAnsi="Times New Roman" w:eastAsia="Times New Roman" w:cs="Times New Roman"/>
          <w:spacing w:val="-3"/>
          <w:sz w:val="24"/>
          <w:szCs w:val="24"/>
        </w:rPr>
        <w:t>5</w:t>
      </w:r>
      <w:r>
        <w:rPr>
          <w:rFonts w:ascii="FangSong_GB2312" w:hAnsi="FangSong_GB2312" w:eastAsia="FangSong_GB2312" w:cs="FangSong_GB2312"/>
          <w:spacing w:val="-3"/>
          <w:sz w:val="24"/>
          <w:szCs w:val="24"/>
        </w:rPr>
        <w:t>、积极关注天气情况，与气象部门联系，已避免在雨天施工，暴雨来临前做好临</w:t>
      </w:r>
      <w:r>
        <w:rPr>
          <w:rFonts w:ascii="FangSong_GB2312" w:hAnsi="FangSong_GB2312" w:eastAsia="FangSong_GB2312" w:cs="FangSong_GB2312"/>
          <w:spacing w:val="-6"/>
          <w:sz w:val="24"/>
          <w:szCs w:val="24"/>
        </w:rPr>
        <w:t>时防护工作。</w:t>
      </w:r>
    </w:p>
    <w:p w14:paraId="5F4EE963">
      <w:pPr>
        <w:spacing w:before="4" w:line="216" w:lineRule="auto"/>
        <w:ind w:left="31"/>
        <w:outlineLvl w:val="2"/>
        <w:rPr>
          <w:rFonts w:ascii="FangSong_GB2312" w:hAnsi="FangSong_GB2312" w:eastAsia="FangSong_GB2312" w:cs="FangSong_GB2312"/>
          <w:sz w:val="28"/>
          <w:szCs w:val="28"/>
        </w:rPr>
      </w:pPr>
      <w:r>
        <w:drawing>
          <wp:anchor distT="0" distB="0" distL="0" distR="0" simplePos="0" relativeHeight="251754496" behindDoc="0" locked="0" layoutInCell="1" allowOverlap="1">
            <wp:simplePos x="0" y="0"/>
            <wp:positionH relativeFrom="column">
              <wp:posOffset>5153660</wp:posOffset>
            </wp:positionH>
            <wp:positionV relativeFrom="paragraph">
              <wp:posOffset>267335</wp:posOffset>
            </wp:positionV>
            <wp:extent cx="6350" cy="952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2"/>
                    <a:stretch>
                      <a:fillRect/>
                    </a:stretch>
                  </pic:blipFill>
                  <pic:spPr>
                    <a:xfrm>
                      <a:off x="0" y="0"/>
                      <a:ext cx="6350" cy="9525"/>
                    </a:xfrm>
                    <a:prstGeom prst="rect">
                      <a:avLst/>
                    </a:prstGeom>
                  </pic:spPr>
                </pic:pic>
              </a:graphicData>
            </a:graphic>
          </wp:anchor>
        </w:drawing>
      </w:r>
      <w:r>
        <w:rPr>
          <w:rFonts w:ascii="Times New Roman" w:hAnsi="Times New Roman" w:eastAsia="Times New Roman" w:cs="Times New Roman"/>
          <w:b/>
          <w:bCs/>
          <w:spacing w:val="-2"/>
          <w:sz w:val="28"/>
          <w:szCs w:val="28"/>
        </w:rPr>
        <w:t xml:space="preserve">5.4.2 </w:t>
      </w:r>
      <w:r>
        <w:rPr>
          <w:rFonts w:ascii="FangSong_GB2312" w:hAnsi="FangSong_GB2312" w:eastAsia="FangSong_GB2312" w:cs="FangSong_GB2312"/>
          <w:b/>
          <w:bCs/>
          <w:spacing w:val="-2"/>
          <w:sz w:val="28"/>
          <w:szCs w:val="28"/>
        </w:rPr>
        <w:t>水土保持施工进度安排</w:t>
      </w:r>
    </w:p>
    <w:p w14:paraId="2D585CBA">
      <w:pPr>
        <w:spacing w:before="291" w:line="358" w:lineRule="auto"/>
        <w:ind w:left="36" w:right="21" w:firstLine="486"/>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实施过程中结合主体工程及其施工特点和本地区的气候特点，利用主体工程的施工条件布设水土保持措施，合理使用资金、劳力、材料和机械设备，保证了水土保持工程施工进度和工程质量。各项水土保持措施实施进度见表</w:t>
      </w:r>
      <w:r>
        <w:rPr>
          <w:rFonts w:ascii="FangSong_GB2312" w:hAnsi="FangSong_GB2312" w:eastAsia="FangSong_GB2312" w:cs="FangSong_GB2312"/>
          <w:spacing w:val="-45"/>
          <w:sz w:val="24"/>
          <w:szCs w:val="24"/>
        </w:rPr>
        <w:t xml:space="preserve"> </w:t>
      </w:r>
      <w:r>
        <w:rPr>
          <w:rFonts w:ascii="Times New Roman" w:hAnsi="Times New Roman" w:eastAsia="Times New Roman" w:cs="Times New Roman"/>
          <w:spacing w:val="-1"/>
          <w:sz w:val="24"/>
          <w:szCs w:val="24"/>
        </w:rPr>
        <w:t>5.4-1</w:t>
      </w:r>
      <w:r>
        <w:rPr>
          <w:rFonts w:ascii="FangSong_GB2312" w:hAnsi="FangSong_GB2312" w:eastAsia="FangSong_GB2312" w:cs="FangSong_GB2312"/>
          <w:spacing w:val="-1"/>
          <w:sz w:val="24"/>
          <w:szCs w:val="24"/>
        </w:rPr>
        <w:t>。</w:t>
      </w:r>
    </w:p>
    <w:p w14:paraId="18DAE60E">
      <w:pPr>
        <w:spacing w:before="1" w:line="221" w:lineRule="auto"/>
        <w:ind w:left="3141"/>
        <w:rPr>
          <w:rFonts w:ascii="FangSong_GB2312" w:hAnsi="FangSong_GB2312" w:eastAsia="FangSong_GB2312" w:cs="FangSong_GB2312"/>
          <w:sz w:val="20"/>
          <w:szCs w:val="20"/>
        </w:rPr>
      </w:pPr>
      <w:r>
        <w:drawing>
          <wp:anchor distT="0" distB="0" distL="0" distR="0" simplePos="0" relativeHeight="251756544" behindDoc="0" locked="0" layoutInCell="1" allowOverlap="1">
            <wp:simplePos x="0" y="0"/>
            <wp:positionH relativeFrom="column">
              <wp:posOffset>3782060</wp:posOffset>
            </wp:positionH>
            <wp:positionV relativeFrom="paragraph">
              <wp:posOffset>1353185</wp:posOffset>
            </wp:positionV>
            <wp:extent cx="1372870" cy="5588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3"/>
                    <a:stretch>
                      <a:fillRect/>
                    </a:stretch>
                  </pic:blipFill>
                  <pic:spPr>
                    <a:xfrm>
                      <a:off x="0" y="0"/>
                      <a:ext cx="1373047" cy="55880"/>
                    </a:xfrm>
                    <a:prstGeom prst="rect">
                      <a:avLst/>
                    </a:prstGeom>
                  </pic:spPr>
                </pic:pic>
              </a:graphicData>
            </a:graphic>
          </wp:anchor>
        </w:drawing>
      </w: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6"/>
          <w:sz w:val="20"/>
          <w:szCs w:val="20"/>
        </w:rPr>
        <w:t xml:space="preserve"> </w:t>
      </w:r>
      <w:r>
        <w:rPr>
          <w:rFonts w:ascii="Times New Roman" w:hAnsi="Times New Roman" w:eastAsia="Times New Roman" w:cs="Times New Roman"/>
          <w:b/>
          <w:bCs/>
          <w:spacing w:val="5"/>
          <w:sz w:val="20"/>
          <w:szCs w:val="20"/>
        </w:rPr>
        <w:t xml:space="preserve">5.4-1 </w:t>
      </w:r>
      <w:r>
        <w:rPr>
          <w:rFonts w:ascii="FangSong_GB2312" w:hAnsi="FangSong_GB2312" w:eastAsia="FangSong_GB2312" w:cs="FangSong_GB2312"/>
          <w:b/>
          <w:bCs/>
          <w:spacing w:val="5"/>
          <w:sz w:val="20"/>
          <w:szCs w:val="20"/>
        </w:rPr>
        <w:t>水土保持措施进度表</w:t>
      </w:r>
    </w:p>
    <w:p w14:paraId="4A16F94B">
      <w:pPr>
        <w:spacing w:line="136" w:lineRule="exact"/>
      </w:pPr>
    </w:p>
    <w:tbl>
      <w:tblPr>
        <w:tblStyle w:val="6"/>
        <w:tblW w:w="88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2"/>
        <w:gridCol w:w="1085"/>
        <w:gridCol w:w="1281"/>
        <w:gridCol w:w="740"/>
        <w:gridCol w:w="740"/>
        <w:gridCol w:w="740"/>
        <w:gridCol w:w="740"/>
        <w:gridCol w:w="740"/>
        <w:gridCol w:w="653"/>
        <w:gridCol w:w="844"/>
      </w:tblGrid>
      <w:tr w14:paraId="64451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332" w:type="dxa"/>
            <w:vMerge w:val="restart"/>
            <w:tcBorders>
              <w:top w:val="single" w:color="000000" w:sz="10" w:space="0"/>
              <w:left w:val="single" w:color="000000" w:sz="10" w:space="0"/>
              <w:bottom w:val="nil"/>
            </w:tcBorders>
            <w:vAlign w:val="top"/>
          </w:tcPr>
          <w:p w14:paraId="4F3ACFB2">
            <w:pPr>
              <w:spacing w:before="233" w:line="217" w:lineRule="auto"/>
              <w:ind w:left="31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防治分区</w:t>
            </w:r>
          </w:p>
        </w:tc>
        <w:tc>
          <w:tcPr>
            <w:tcW w:w="1085" w:type="dxa"/>
            <w:vMerge w:val="restart"/>
            <w:tcBorders>
              <w:top w:val="single" w:color="000000" w:sz="10" w:space="0"/>
              <w:bottom w:val="nil"/>
            </w:tcBorders>
            <w:vAlign w:val="top"/>
          </w:tcPr>
          <w:p w14:paraId="209966BF">
            <w:pPr>
              <w:spacing w:before="232" w:line="213" w:lineRule="auto"/>
              <w:ind w:left="17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措施类型</w:t>
            </w:r>
          </w:p>
        </w:tc>
        <w:tc>
          <w:tcPr>
            <w:tcW w:w="1281" w:type="dxa"/>
            <w:vMerge w:val="restart"/>
            <w:tcBorders>
              <w:top w:val="single" w:color="000000" w:sz="10" w:space="0"/>
              <w:bottom w:val="nil"/>
            </w:tcBorders>
            <w:vAlign w:val="top"/>
          </w:tcPr>
          <w:p w14:paraId="077E623A">
            <w:pPr>
              <w:spacing w:before="232" w:line="214" w:lineRule="auto"/>
              <w:ind w:left="28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措施名称</w:t>
            </w:r>
          </w:p>
        </w:tc>
        <w:tc>
          <w:tcPr>
            <w:tcW w:w="4353" w:type="dxa"/>
            <w:gridSpan w:val="6"/>
            <w:tcBorders>
              <w:top w:val="single" w:color="000000" w:sz="10" w:space="0"/>
            </w:tcBorders>
            <w:vAlign w:val="top"/>
          </w:tcPr>
          <w:p w14:paraId="17AF165F">
            <w:pPr>
              <w:spacing w:before="71" w:line="216" w:lineRule="auto"/>
              <w:ind w:left="1890"/>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2022</w:t>
            </w:r>
            <w:r>
              <w:rPr>
                <w:rFonts w:ascii="Times New Roman" w:hAnsi="Times New Roman" w:eastAsia="Times New Roman" w:cs="Times New Roman"/>
                <w:spacing w:val="9"/>
                <w:sz w:val="18"/>
                <w:szCs w:val="18"/>
              </w:rPr>
              <w:t xml:space="preserve"> </w:t>
            </w:r>
            <w:r>
              <w:rPr>
                <w:rFonts w:ascii="FangSong_GB2312" w:hAnsi="FangSong_GB2312" w:eastAsia="FangSong_GB2312" w:cs="FangSong_GB2312"/>
                <w:spacing w:val="-1"/>
                <w:sz w:val="18"/>
                <w:szCs w:val="18"/>
              </w:rPr>
              <w:t>年</w:t>
            </w:r>
          </w:p>
        </w:tc>
        <w:tc>
          <w:tcPr>
            <w:tcW w:w="844" w:type="dxa"/>
            <w:tcBorders>
              <w:top w:val="single" w:color="000000" w:sz="10" w:space="0"/>
              <w:right w:val="single" w:color="000000" w:sz="10" w:space="0"/>
            </w:tcBorders>
            <w:vAlign w:val="top"/>
          </w:tcPr>
          <w:p w14:paraId="43525CB1">
            <w:pPr>
              <w:spacing w:before="71" w:line="216" w:lineRule="auto"/>
              <w:ind w:left="133"/>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2023</w:t>
            </w:r>
            <w:r>
              <w:rPr>
                <w:rFonts w:ascii="Times New Roman" w:hAnsi="Times New Roman" w:eastAsia="Times New Roman" w:cs="Times New Roman"/>
                <w:spacing w:val="10"/>
                <w:sz w:val="18"/>
                <w:szCs w:val="18"/>
              </w:rPr>
              <w:t xml:space="preserve"> </w:t>
            </w:r>
            <w:r>
              <w:rPr>
                <w:rFonts w:ascii="FangSong_GB2312" w:hAnsi="FangSong_GB2312" w:eastAsia="FangSong_GB2312" w:cs="FangSong_GB2312"/>
                <w:spacing w:val="-1"/>
                <w:sz w:val="18"/>
                <w:szCs w:val="18"/>
              </w:rPr>
              <w:t>年</w:t>
            </w:r>
          </w:p>
        </w:tc>
      </w:tr>
      <w:tr w14:paraId="4F2E3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32" w:type="dxa"/>
            <w:vMerge w:val="continue"/>
            <w:tcBorders>
              <w:top w:val="nil"/>
              <w:left w:val="single" w:color="000000" w:sz="10" w:space="0"/>
            </w:tcBorders>
            <w:vAlign w:val="top"/>
          </w:tcPr>
          <w:p w14:paraId="61812CFB">
            <w:pPr>
              <w:rPr>
                <w:rFonts w:ascii="Arial"/>
                <w:sz w:val="21"/>
              </w:rPr>
            </w:pPr>
          </w:p>
        </w:tc>
        <w:tc>
          <w:tcPr>
            <w:tcW w:w="1085" w:type="dxa"/>
            <w:vMerge w:val="continue"/>
            <w:tcBorders>
              <w:top w:val="nil"/>
            </w:tcBorders>
            <w:vAlign w:val="top"/>
          </w:tcPr>
          <w:p w14:paraId="4312D07B">
            <w:pPr>
              <w:rPr>
                <w:rFonts w:ascii="Arial"/>
                <w:sz w:val="21"/>
              </w:rPr>
            </w:pPr>
          </w:p>
        </w:tc>
        <w:tc>
          <w:tcPr>
            <w:tcW w:w="1281" w:type="dxa"/>
            <w:vMerge w:val="continue"/>
            <w:tcBorders>
              <w:top w:val="nil"/>
            </w:tcBorders>
            <w:vAlign w:val="top"/>
          </w:tcPr>
          <w:p w14:paraId="6F85CB56">
            <w:pPr>
              <w:rPr>
                <w:rFonts w:ascii="Arial"/>
                <w:sz w:val="21"/>
              </w:rPr>
            </w:pPr>
          </w:p>
        </w:tc>
        <w:tc>
          <w:tcPr>
            <w:tcW w:w="740" w:type="dxa"/>
            <w:vAlign w:val="top"/>
          </w:tcPr>
          <w:p w14:paraId="7F046779">
            <w:pPr>
              <w:spacing w:before="101" w:line="185" w:lineRule="auto"/>
              <w:ind w:left="32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740" w:type="dxa"/>
            <w:vAlign w:val="top"/>
          </w:tcPr>
          <w:p w14:paraId="5E80DF63">
            <w:pPr>
              <w:spacing w:before="98" w:line="188"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740" w:type="dxa"/>
            <w:vAlign w:val="top"/>
          </w:tcPr>
          <w:p w14:paraId="164670EF">
            <w:pPr>
              <w:spacing w:before="98" w:line="188" w:lineRule="auto"/>
              <w:ind w:left="33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740" w:type="dxa"/>
            <w:vAlign w:val="top"/>
          </w:tcPr>
          <w:p w14:paraId="6A2C95EB">
            <w:pPr>
              <w:spacing w:before="98" w:line="188" w:lineRule="auto"/>
              <w:ind w:left="30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740" w:type="dxa"/>
            <w:vAlign w:val="top"/>
          </w:tcPr>
          <w:p w14:paraId="054BAA9B">
            <w:pPr>
              <w:spacing w:before="98" w:line="188" w:lineRule="auto"/>
              <w:ind w:left="30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tc>
        <w:tc>
          <w:tcPr>
            <w:tcW w:w="653" w:type="dxa"/>
            <w:vAlign w:val="top"/>
          </w:tcPr>
          <w:p w14:paraId="1EF55625">
            <w:pPr>
              <w:spacing w:before="98" w:line="188" w:lineRule="auto"/>
              <w:ind w:left="26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844" w:type="dxa"/>
            <w:vMerge w:val="restart"/>
            <w:tcBorders>
              <w:bottom w:val="nil"/>
              <w:right w:val="single" w:color="000000" w:sz="10" w:space="0"/>
            </w:tcBorders>
            <w:vAlign w:val="top"/>
          </w:tcPr>
          <w:p w14:paraId="05ECA365">
            <w:pPr>
              <w:spacing w:line="284" w:lineRule="auto"/>
              <w:rPr>
                <w:rFonts w:ascii="Arial"/>
                <w:sz w:val="21"/>
              </w:rPr>
            </w:pPr>
          </w:p>
          <w:p w14:paraId="4F0B62D8">
            <w:pPr>
              <w:spacing w:line="284" w:lineRule="auto"/>
              <w:rPr>
                <w:rFonts w:ascii="Arial"/>
                <w:sz w:val="21"/>
              </w:rPr>
            </w:pPr>
          </w:p>
          <w:p w14:paraId="5BDF9C5D">
            <w:pPr>
              <w:spacing w:line="285" w:lineRule="auto"/>
              <w:rPr>
                <w:rFonts w:ascii="Arial"/>
                <w:sz w:val="21"/>
              </w:rPr>
            </w:pPr>
          </w:p>
          <w:p w14:paraId="5FCDFBE0">
            <w:pPr>
              <w:spacing w:before="58" w:line="243" w:lineRule="auto"/>
              <w:ind w:left="353" w:right="134" w:hanging="18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竣工验</w:t>
            </w:r>
            <w:r>
              <w:rPr>
                <w:rFonts w:ascii="FangSong_GB2312" w:hAnsi="FangSong_GB2312" w:eastAsia="FangSong_GB2312" w:cs="FangSong_GB2312"/>
                <w:sz w:val="18"/>
                <w:szCs w:val="18"/>
              </w:rPr>
              <w:t>收</w:t>
            </w:r>
          </w:p>
        </w:tc>
      </w:tr>
      <w:tr w14:paraId="72DFD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32" w:type="dxa"/>
            <w:tcBorders>
              <w:left w:val="single" w:color="000000" w:sz="10" w:space="0"/>
            </w:tcBorders>
            <w:vAlign w:val="top"/>
          </w:tcPr>
          <w:p w14:paraId="1BC53F2E">
            <w:pPr>
              <w:spacing w:before="72" w:line="214" w:lineRule="auto"/>
              <w:ind w:left="11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w:t>
            </w:r>
          </w:p>
        </w:tc>
        <w:tc>
          <w:tcPr>
            <w:tcW w:w="1085" w:type="dxa"/>
            <w:vAlign w:val="top"/>
          </w:tcPr>
          <w:p w14:paraId="1429A133">
            <w:pPr>
              <w:spacing w:before="72" w:line="214" w:lineRule="auto"/>
              <w:ind w:left="18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1281" w:type="dxa"/>
            <w:vAlign w:val="top"/>
          </w:tcPr>
          <w:p w14:paraId="1A976AA9">
            <w:pPr>
              <w:spacing w:before="72" w:line="216" w:lineRule="auto"/>
              <w:ind w:left="2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表土剥离</w:t>
            </w:r>
          </w:p>
        </w:tc>
        <w:tc>
          <w:tcPr>
            <w:tcW w:w="740" w:type="dxa"/>
            <w:vAlign w:val="top"/>
          </w:tcPr>
          <w:p w14:paraId="13841F4D">
            <w:pPr>
              <w:rPr>
                <w:rFonts w:ascii="Arial"/>
                <w:sz w:val="21"/>
              </w:rPr>
            </w:pPr>
            <w:r>
              <w:pict>
                <v:rect id="_x0000_s1081" o:spid="_x0000_s1081" o:spt="1" style="position:absolute;left:0pt;margin-left:2.3pt;margin-top:5.05pt;height:5pt;width:25.7pt;mso-position-horizontal-relative:page;mso-position-vertical-relative:page;z-index:251759616;mso-width-relative:page;mso-height-relative:page;" fillcolor="#0070C0" filled="t" stroked="f" coordsize="21600,21600">
                  <v:path/>
                  <v:fill on="t" opacity="61167f" focussize="0,0"/>
                  <v:stroke on="f"/>
                  <v:imagedata o:title=""/>
                  <o:lock v:ext="edit"/>
                </v:rect>
              </w:pict>
            </w:r>
          </w:p>
        </w:tc>
        <w:tc>
          <w:tcPr>
            <w:tcW w:w="740" w:type="dxa"/>
            <w:vAlign w:val="top"/>
          </w:tcPr>
          <w:p w14:paraId="5D1000E2">
            <w:pPr>
              <w:rPr>
                <w:rFonts w:ascii="Arial"/>
                <w:sz w:val="21"/>
              </w:rPr>
            </w:pPr>
          </w:p>
        </w:tc>
        <w:tc>
          <w:tcPr>
            <w:tcW w:w="740" w:type="dxa"/>
            <w:vAlign w:val="top"/>
          </w:tcPr>
          <w:p w14:paraId="5FB75D9F">
            <w:pPr>
              <w:rPr>
                <w:rFonts w:ascii="Arial"/>
                <w:sz w:val="21"/>
              </w:rPr>
            </w:pPr>
          </w:p>
        </w:tc>
        <w:tc>
          <w:tcPr>
            <w:tcW w:w="740" w:type="dxa"/>
            <w:vAlign w:val="top"/>
          </w:tcPr>
          <w:p w14:paraId="5BD9B6DA">
            <w:pPr>
              <w:rPr>
                <w:rFonts w:ascii="Arial"/>
                <w:sz w:val="21"/>
              </w:rPr>
            </w:pPr>
          </w:p>
        </w:tc>
        <w:tc>
          <w:tcPr>
            <w:tcW w:w="740" w:type="dxa"/>
            <w:vAlign w:val="top"/>
          </w:tcPr>
          <w:p w14:paraId="0B0F929B">
            <w:pPr>
              <w:rPr>
                <w:rFonts w:ascii="Arial"/>
                <w:sz w:val="21"/>
              </w:rPr>
            </w:pPr>
          </w:p>
        </w:tc>
        <w:tc>
          <w:tcPr>
            <w:tcW w:w="653" w:type="dxa"/>
            <w:vAlign w:val="top"/>
          </w:tcPr>
          <w:p w14:paraId="373A4A30">
            <w:pPr>
              <w:rPr>
                <w:rFonts w:ascii="Arial"/>
                <w:sz w:val="21"/>
              </w:rPr>
            </w:pPr>
          </w:p>
        </w:tc>
        <w:tc>
          <w:tcPr>
            <w:tcW w:w="844" w:type="dxa"/>
            <w:vMerge w:val="continue"/>
            <w:tcBorders>
              <w:top w:val="nil"/>
              <w:bottom w:val="nil"/>
              <w:right w:val="single" w:color="000000" w:sz="10" w:space="0"/>
            </w:tcBorders>
            <w:vAlign w:val="top"/>
          </w:tcPr>
          <w:p w14:paraId="5CB03824">
            <w:pPr>
              <w:rPr>
                <w:rFonts w:ascii="Arial"/>
                <w:sz w:val="21"/>
              </w:rPr>
            </w:pPr>
          </w:p>
        </w:tc>
      </w:tr>
      <w:tr w14:paraId="32C1E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32" w:type="dxa"/>
            <w:vMerge w:val="restart"/>
            <w:tcBorders>
              <w:left w:val="single" w:color="000000" w:sz="10" w:space="0"/>
              <w:bottom w:val="nil"/>
            </w:tcBorders>
            <w:vAlign w:val="top"/>
          </w:tcPr>
          <w:p w14:paraId="5EE10CA9">
            <w:pPr>
              <w:spacing w:line="328" w:lineRule="auto"/>
              <w:rPr>
                <w:rFonts w:ascii="Arial"/>
                <w:sz w:val="21"/>
              </w:rPr>
            </w:pPr>
          </w:p>
          <w:p w14:paraId="51DDF9F4">
            <w:pPr>
              <w:spacing w:line="328" w:lineRule="auto"/>
              <w:rPr>
                <w:rFonts w:ascii="Arial"/>
                <w:sz w:val="21"/>
              </w:rPr>
            </w:pPr>
          </w:p>
          <w:p w14:paraId="31DE22E8">
            <w:pPr>
              <w:spacing w:before="58" w:line="216" w:lineRule="auto"/>
              <w:ind w:left="30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绿化工程</w:t>
            </w:r>
          </w:p>
        </w:tc>
        <w:tc>
          <w:tcPr>
            <w:tcW w:w="1085" w:type="dxa"/>
            <w:vMerge w:val="restart"/>
            <w:tcBorders>
              <w:bottom w:val="nil"/>
            </w:tcBorders>
            <w:vAlign w:val="top"/>
          </w:tcPr>
          <w:p w14:paraId="69358797">
            <w:pPr>
              <w:spacing w:line="336" w:lineRule="auto"/>
              <w:rPr>
                <w:rFonts w:ascii="Arial"/>
                <w:sz w:val="21"/>
              </w:rPr>
            </w:pPr>
          </w:p>
          <w:p w14:paraId="08C7A328">
            <w:pPr>
              <w:spacing w:before="58" w:line="214" w:lineRule="auto"/>
              <w:ind w:left="18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工程措施</w:t>
            </w:r>
          </w:p>
        </w:tc>
        <w:tc>
          <w:tcPr>
            <w:tcW w:w="1281" w:type="dxa"/>
            <w:vAlign w:val="top"/>
          </w:tcPr>
          <w:p w14:paraId="70EE5758">
            <w:pPr>
              <w:spacing w:before="76" w:line="216" w:lineRule="auto"/>
              <w:ind w:left="2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表土回覆</w:t>
            </w:r>
          </w:p>
        </w:tc>
        <w:tc>
          <w:tcPr>
            <w:tcW w:w="740" w:type="dxa"/>
            <w:vAlign w:val="top"/>
          </w:tcPr>
          <w:p w14:paraId="122C7267">
            <w:pPr>
              <w:rPr>
                <w:rFonts w:ascii="Arial"/>
                <w:sz w:val="21"/>
              </w:rPr>
            </w:pPr>
          </w:p>
        </w:tc>
        <w:tc>
          <w:tcPr>
            <w:tcW w:w="740" w:type="dxa"/>
            <w:vAlign w:val="top"/>
          </w:tcPr>
          <w:p w14:paraId="0F65D7C3">
            <w:pPr>
              <w:rPr>
                <w:rFonts w:ascii="Arial"/>
                <w:sz w:val="21"/>
              </w:rPr>
            </w:pPr>
          </w:p>
        </w:tc>
        <w:tc>
          <w:tcPr>
            <w:tcW w:w="740" w:type="dxa"/>
            <w:vAlign w:val="top"/>
          </w:tcPr>
          <w:p w14:paraId="4F62B5BE">
            <w:pPr>
              <w:rPr>
                <w:rFonts w:ascii="Arial"/>
                <w:sz w:val="21"/>
              </w:rPr>
            </w:pPr>
            <w:r>
              <w:pict>
                <v:rect id="_x0000_s1082" o:spid="_x0000_s1082" o:spt="1" style="position:absolute;left:0pt;margin-left:12.15pt;margin-top:7.45pt;height:5pt;width:25.7pt;mso-position-horizontal-relative:page;mso-position-vertical-relative:page;z-index:251758592;mso-width-relative:page;mso-height-relative:page;" fillcolor="#0070C0" filled="t" stroked="f" coordsize="21600,21600">
                  <v:path/>
                  <v:fill on="t" opacity="64251f" focussize="0,0"/>
                  <v:stroke on="f"/>
                  <v:imagedata o:title=""/>
                  <o:lock v:ext="edit"/>
                </v:rect>
              </w:pict>
            </w:r>
          </w:p>
        </w:tc>
        <w:tc>
          <w:tcPr>
            <w:tcW w:w="740" w:type="dxa"/>
            <w:vAlign w:val="top"/>
          </w:tcPr>
          <w:p w14:paraId="4BF1AE16">
            <w:pPr>
              <w:rPr>
                <w:rFonts w:ascii="Arial"/>
                <w:sz w:val="21"/>
              </w:rPr>
            </w:pPr>
          </w:p>
        </w:tc>
        <w:tc>
          <w:tcPr>
            <w:tcW w:w="740" w:type="dxa"/>
            <w:vAlign w:val="top"/>
          </w:tcPr>
          <w:p w14:paraId="30A765BB">
            <w:pPr>
              <w:rPr>
                <w:rFonts w:ascii="Arial"/>
                <w:sz w:val="21"/>
              </w:rPr>
            </w:pPr>
          </w:p>
        </w:tc>
        <w:tc>
          <w:tcPr>
            <w:tcW w:w="653" w:type="dxa"/>
            <w:vAlign w:val="top"/>
          </w:tcPr>
          <w:p w14:paraId="050817F0">
            <w:pPr>
              <w:rPr>
                <w:rFonts w:ascii="Arial"/>
                <w:sz w:val="21"/>
              </w:rPr>
            </w:pPr>
          </w:p>
        </w:tc>
        <w:tc>
          <w:tcPr>
            <w:tcW w:w="844" w:type="dxa"/>
            <w:vMerge w:val="continue"/>
            <w:tcBorders>
              <w:top w:val="nil"/>
              <w:bottom w:val="nil"/>
              <w:right w:val="single" w:color="000000" w:sz="10" w:space="0"/>
            </w:tcBorders>
            <w:vAlign w:val="top"/>
          </w:tcPr>
          <w:p w14:paraId="529BEF5C">
            <w:pPr>
              <w:rPr>
                <w:rFonts w:ascii="Arial"/>
                <w:sz w:val="21"/>
              </w:rPr>
            </w:pPr>
          </w:p>
        </w:tc>
      </w:tr>
      <w:tr w14:paraId="781DC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1332" w:type="dxa"/>
            <w:vMerge w:val="continue"/>
            <w:tcBorders>
              <w:top w:val="nil"/>
              <w:left w:val="single" w:color="000000" w:sz="10" w:space="0"/>
              <w:bottom w:val="nil"/>
            </w:tcBorders>
            <w:vAlign w:val="top"/>
          </w:tcPr>
          <w:p w14:paraId="79EBB084">
            <w:pPr>
              <w:rPr>
                <w:rFonts w:ascii="Arial"/>
                <w:sz w:val="21"/>
              </w:rPr>
            </w:pPr>
          </w:p>
        </w:tc>
        <w:tc>
          <w:tcPr>
            <w:tcW w:w="1085" w:type="dxa"/>
            <w:vMerge w:val="continue"/>
            <w:tcBorders>
              <w:top w:val="nil"/>
              <w:bottom w:val="nil"/>
            </w:tcBorders>
            <w:vAlign w:val="top"/>
          </w:tcPr>
          <w:p w14:paraId="7F515F0B">
            <w:pPr>
              <w:rPr>
                <w:rFonts w:ascii="Arial"/>
                <w:sz w:val="21"/>
              </w:rPr>
            </w:pPr>
          </w:p>
        </w:tc>
        <w:tc>
          <w:tcPr>
            <w:tcW w:w="1281" w:type="dxa"/>
            <w:vMerge w:val="restart"/>
            <w:tcBorders>
              <w:bottom w:val="nil"/>
            </w:tcBorders>
            <w:vAlign w:val="top"/>
          </w:tcPr>
          <w:p w14:paraId="718BC559">
            <w:pPr>
              <w:spacing w:before="78" w:line="214" w:lineRule="auto"/>
              <w:ind w:left="19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盖板排水沟</w:t>
            </w:r>
          </w:p>
        </w:tc>
        <w:tc>
          <w:tcPr>
            <w:tcW w:w="740" w:type="dxa"/>
            <w:vMerge w:val="restart"/>
            <w:tcBorders>
              <w:bottom w:val="nil"/>
            </w:tcBorders>
            <w:vAlign w:val="top"/>
          </w:tcPr>
          <w:p w14:paraId="7ADB9019">
            <w:pPr>
              <w:rPr>
                <w:rFonts w:ascii="Arial"/>
                <w:sz w:val="21"/>
              </w:rPr>
            </w:pPr>
          </w:p>
        </w:tc>
        <w:tc>
          <w:tcPr>
            <w:tcW w:w="740" w:type="dxa"/>
            <w:vMerge w:val="restart"/>
            <w:tcBorders>
              <w:bottom w:val="nil"/>
            </w:tcBorders>
            <w:vAlign w:val="top"/>
          </w:tcPr>
          <w:p w14:paraId="0884C5F8">
            <w:pPr>
              <w:rPr>
                <w:rFonts w:ascii="Arial"/>
                <w:sz w:val="21"/>
              </w:rPr>
            </w:pPr>
          </w:p>
        </w:tc>
        <w:tc>
          <w:tcPr>
            <w:tcW w:w="740" w:type="dxa"/>
            <w:vMerge w:val="restart"/>
            <w:tcBorders>
              <w:bottom w:val="nil"/>
            </w:tcBorders>
            <w:vAlign w:val="top"/>
          </w:tcPr>
          <w:p w14:paraId="6998E2A1">
            <w:pPr>
              <w:rPr>
                <w:rFonts w:ascii="Arial"/>
                <w:sz w:val="21"/>
              </w:rPr>
            </w:pPr>
          </w:p>
        </w:tc>
        <w:tc>
          <w:tcPr>
            <w:tcW w:w="740" w:type="dxa"/>
            <w:tcBorders>
              <w:bottom w:val="single" w:color="0070C0" w:sz="2" w:space="0"/>
            </w:tcBorders>
            <w:vAlign w:val="top"/>
          </w:tcPr>
          <w:p w14:paraId="59B3DFC0">
            <w:pPr>
              <w:spacing w:line="149" w:lineRule="exact"/>
              <w:rPr>
                <w:rFonts w:ascii="Arial"/>
                <w:sz w:val="12"/>
              </w:rPr>
            </w:pPr>
          </w:p>
        </w:tc>
        <w:tc>
          <w:tcPr>
            <w:tcW w:w="740" w:type="dxa"/>
            <w:tcBorders>
              <w:bottom w:val="single" w:color="0070C0" w:sz="2" w:space="0"/>
            </w:tcBorders>
            <w:vAlign w:val="top"/>
          </w:tcPr>
          <w:p w14:paraId="6537C59E">
            <w:pPr>
              <w:spacing w:line="149" w:lineRule="exact"/>
              <w:rPr>
                <w:rFonts w:ascii="Arial"/>
                <w:sz w:val="12"/>
              </w:rPr>
            </w:pPr>
          </w:p>
        </w:tc>
        <w:tc>
          <w:tcPr>
            <w:tcW w:w="653" w:type="dxa"/>
            <w:tcBorders>
              <w:bottom w:val="single" w:color="0070C0" w:sz="2" w:space="0"/>
            </w:tcBorders>
            <w:vAlign w:val="top"/>
          </w:tcPr>
          <w:p w14:paraId="5FD0E57A">
            <w:pPr>
              <w:spacing w:line="149" w:lineRule="exact"/>
              <w:rPr>
                <w:rFonts w:ascii="Arial"/>
                <w:sz w:val="12"/>
              </w:rPr>
            </w:pPr>
          </w:p>
        </w:tc>
        <w:tc>
          <w:tcPr>
            <w:tcW w:w="844" w:type="dxa"/>
            <w:vMerge w:val="continue"/>
            <w:tcBorders>
              <w:top w:val="nil"/>
              <w:bottom w:val="nil"/>
              <w:right w:val="single" w:color="000000" w:sz="10" w:space="0"/>
            </w:tcBorders>
            <w:vAlign w:val="top"/>
          </w:tcPr>
          <w:p w14:paraId="70CC307D">
            <w:pPr>
              <w:rPr>
                <w:rFonts w:ascii="Arial"/>
                <w:sz w:val="21"/>
              </w:rPr>
            </w:pPr>
          </w:p>
        </w:tc>
      </w:tr>
      <w:tr w14:paraId="4CC2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 w:hRule="atLeast"/>
        </w:trPr>
        <w:tc>
          <w:tcPr>
            <w:tcW w:w="1332" w:type="dxa"/>
            <w:vMerge w:val="continue"/>
            <w:tcBorders>
              <w:top w:val="nil"/>
              <w:left w:val="single" w:color="000000" w:sz="10" w:space="0"/>
              <w:bottom w:val="nil"/>
            </w:tcBorders>
            <w:vAlign w:val="top"/>
          </w:tcPr>
          <w:p w14:paraId="4F739907">
            <w:pPr>
              <w:rPr>
                <w:rFonts w:ascii="Arial"/>
                <w:sz w:val="21"/>
              </w:rPr>
            </w:pPr>
          </w:p>
        </w:tc>
        <w:tc>
          <w:tcPr>
            <w:tcW w:w="1085" w:type="dxa"/>
            <w:vMerge w:val="continue"/>
            <w:tcBorders>
              <w:top w:val="nil"/>
              <w:bottom w:val="nil"/>
            </w:tcBorders>
            <w:vAlign w:val="top"/>
          </w:tcPr>
          <w:p w14:paraId="72641FDF">
            <w:pPr>
              <w:rPr>
                <w:rFonts w:ascii="Arial"/>
                <w:sz w:val="21"/>
              </w:rPr>
            </w:pPr>
          </w:p>
        </w:tc>
        <w:tc>
          <w:tcPr>
            <w:tcW w:w="1281" w:type="dxa"/>
            <w:vMerge w:val="continue"/>
            <w:tcBorders>
              <w:top w:val="nil"/>
            </w:tcBorders>
            <w:vAlign w:val="top"/>
          </w:tcPr>
          <w:p w14:paraId="681F8009">
            <w:pPr>
              <w:rPr>
                <w:rFonts w:ascii="Arial"/>
                <w:sz w:val="21"/>
              </w:rPr>
            </w:pPr>
          </w:p>
        </w:tc>
        <w:tc>
          <w:tcPr>
            <w:tcW w:w="740" w:type="dxa"/>
            <w:vMerge w:val="continue"/>
            <w:tcBorders>
              <w:top w:val="nil"/>
            </w:tcBorders>
            <w:vAlign w:val="top"/>
          </w:tcPr>
          <w:p w14:paraId="75CA8CD9">
            <w:pPr>
              <w:rPr>
                <w:rFonts w:ascii="Arial"/>
                <w:sz w:val="21"/>
              </w:rPr>
            </w:pPr>
          </w:p>
        </w:tc>
        <w:tc>
          <w:tcPr>
            <w:tcW w:w="740" w:type="dxa"/>
            <w:vMerge w:val="continue"/>
            <w:tcBorders>
              <w:top w:val="nil"/>
            </w:tcBorders>
            <w:vAlign w:val="top"/>
          </w:tcPr>
          <w:p w14:paraId="653CB9C3">
            <w:pPr>
              <w:rPr>
                <w:rFonts w:ascii="Arial"/>
                <w:sz w:val="21"/>
              </w:rPr>
            </w:pPr>
          </w:p>
        </w:tc>
        <w:tc>
          <w:tcPr>
            <w:tcW w:w="740" w:type="dxa"/>
            <w:vMerge w:val="continue"/>
            <w:tcBorders>
              <w:top w:val="nil"/>
            </w:tcBorders>
            <w:vAlign w:val="top"/>
          </w:tcPr>
          <w:p w14:paraId="737EAB5D">
            <w:pPr>
              <w:rPr>
                <w:rFonts w:ascii="Arial"/>
                <w:sz w:val="21"/>
              </w:rPr>
            </w:pPr>
          </w:p>
        </w:tc>
        <w:tc>
          <w:tcPr>
            <w:tcW w:w="740" w:type="dxa"/>
            <w:tcBorders>
              <w:top w:val="single" w:color="0070C0" w:sz="2" w:space="0"/>
            </w:tcBorders>
            <w:vAlign w:val="top"/>
          </w:tcPr>
          <w:p w14:paraId="4BF9B52D">
            <w:pPr>
              <w:spacing w:line="139" w:lineRule="exact"/>
              <w:rPr>
                <w:rFonts w:ascii="Arial"/>
                <w:sz w:val="12"/>
              </w:rPr>
            </w:pPr>
          </w:p>
        </w:tc>
        <w:tc>
          <w:tcPr>
            <w:tcW w:w="740" w:type="dxa"/>
            <w:tcBorders>
              <w:top w:val="single" w:color="0070C0" w:sz="2" w:space="0"/>
            </w:tcBorders>
            <w:vAlign w:val="top"/>
          </w:tcPr>
          <w:p w14:paraId="44070EDB">
            <w:pPr>
              <w:spacing w:line="139" w:lineRule="exact"/>
              <w:rPr>
                <w:rFonts w:ascii="Arial"/>
                <w:sz w:val="12"/>
              </w:rPr>
            </w:pPr>
          </w:p>
        </w:tc>
        <w:tc>
          <w:tcPr>
            <w:tcW w:w="653" w:type="dxa"/>
            <w:tcBorders>
              <w:top w:val="single" w:color="0070C0" w:sz="2" w:space="0"/>
            </w:tcBorders>
            <w:vAlign w:val="top"/>
          </w:tcPr>
          <w:p w14:paraId="6BF02FF6">
            <w:pPr>
              <w:spacing w:line="139" w:lineRule="exact"/>
              <w:rPr>
                <w:rFonts w:ascii="Arial"/>
                <w:sz w:val="12"/>
              </w:rPr>
            </w:pPr>
          </w:p>
        </w:tc>
        <w:tc>
          <w:tcPr>
            <w:tcW w:w="844" w:type="dxa"/>
            <w:vMerge w:val="continue"/>
            <w:tcBorders>
              <w:top w:val="nil"/>
              <w:bottom w:val="nil"/>
              <w:right w:val="single" w:color="000000" w:sz="10" w:space="0"/>
            </w:tcBorders>
            <w:vAlign w:val="top"/>
          </w:tcPr>
          <w:p w14:paraId="44983BA5">
            <w:pPr>
              <w:rPr>
                <w:rFonts w:ascii="Arial"/>
                <w:sz w:val="21"/>
              </w:rPr>
            </w:pPr>
          </w:p>
        </w:tc>
      </w:tr>
      <w:tr w14:paraId="5EFE2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32" w:type="dxa"/>
            <w:vMerge w:val="continue"/>
            <w:tcBorders>
              <w:top w:val="nil"/>
              <w:left w:val="single" w:color="000000" w:sz="10" w:space="0"/>
              <w:bottom w:val="nil"/>
            </w:tcBorders>
            <w:vAlign w:val="top"/>
          </w:tcPr>
          <w:p w14:paraId="33F8918E">
            <w:pPr>
              <w:rPr>
                <w:rFonts w:ascii="Arial"/>
                <w:sz w:val="21"/>
              </w:rPr>
            </w:pPr>
          </w:p>
        </w:tc>
        <w:tc>
          <w:tcPr>
            <w:tcW w:w="1085" w:type="dxa"/>
            <w:vMerge w:val="continue"/>
            <w:tcBorders>
              <w:top w:val="nil"/>
            </w:tcBorders>
            <w:vAlign w:val="top"/>
          </w:tcPr>
          <w:p w14:paraId="3E4B1E78">
            <w:pPr>
              <w:rPr>
                <w:rFonts w:ascii="Arial"/>
                <w:sz w:val="21"/>
              </w:rPr>
            </w:pPr>
          </w:p>
        </w:tc>
        <w:tc>
          <w:tcPr>
            <w:tcW w:w="1281" w:type="dxa"/>
            <w:vAlign w:val="top"/>
          </w:tcPr>
          <w:p w14:paraId="0FE009CC">
            <w:pPr>
              <w:spacing w:before="81" w:line="214" w:lineRule="auto"/>
              <w:ind w:left="381"/>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雨水井</w:t>
            </w:r>
          </w:p>
        </w:tc>
        <w:tc>
          <w:tcPr>
            <w:tcW w:w="740" w:type="dxa"/>
            <w:vAlign w:val="top"/>
          </w:tcPr>
          <w:p w14:paraId="7CA475A4">
            <w:pPr>
              <w:rPr>
                <w:rFonts w:ascii="Arial"/>
                <w:sz w:val="21"/>
              </w:rPr>
            </w:pPr>
          </w:p>
        </w:tc>
        <w:tc>
          <w:tcPr>
            <w:tcW w:w="740" w:type="dxa"/>
            <w:vAlign w:val="top"/>
          </w:tcPr>
          <w:p w14:paraId="2B309C9C">
            <w:pPr>
              <w:rPr>
                <w:rFonts w:ascii="Arial"/>
                <w:sz w:val="21"/>
              </w:rPr>
            </w:pPr>
          </w:p>
        </w:tc>
        <w:tc>
          <w:tcPr>
            <w:tcW w:w="740" w:type="dxa"/>
            <w:vAlign w:val="top"/>
          </w:tcPr>
          <w:p w14:paraId="53160E4F">
            <w:pPr>
              <w:rPr>
                <w:rFonts w:ascii="Arial"/>
                <w:sz w:val="21"/>
              </w:rPr>
            </w:pPr>
          </w:p>
        </w:tc>
        <w:tc>
          <w:tcPr>
            <w:tcW w:w="740" w:type="dxa"/>
            <w:vAlign w:val="top"/>
          </w:tcPr>
          <w:p w14:paraId="080D9861">
            <w:pPr>
              <w:rPr>
                <w:rFonts w:ascii="Arial"/>
                <w:sz w:val="21"/>
              </w:rPr>
            </w:pPr>
          </w:p>
        </w:tc>
        <w:tc>
          <w:tcPr>
            <w:tcW w:w="740" w:type="dxa"/>
            <w:vAlign w:val="top"/>
          </w:tcPr>
          <w:p w14:paraId="762B0686">
            <w:pPr>
              <w:rPr>
                <w:rFonts w:ascii="Arial"/>
                <w:sz w:val="21"/>
              </w:rPr>
            </w:pPr>
          </w:p>
        </w:tc>
        <w:tc>
          <w:tcPr>
            <w:tcW w:w="653" w:type="dxa"/>
            <w:vAlign w:val="top"/>
          </w:tcPr>
          <w:p w14:paraId="2AD406D8">
            <w:pPr>
              <w:rPr>
                <w:rFonts w:ascii="Arial"/>
                <w:sz w:val="21"/>
              </w:rPr>
            </w:pPr>
          </w:p>
        </w:tc>
        <w:tc>
          <w:tcPr>
            <w:tcW w:w="844" w:type="dxa"/>
            <w:vMerge w:val="continue"/>
            <w:tcBorders>
              <w:top w:val="nil"/>
              <w:bottom w:val="nil"/>
              <w:right w:val="single" w:color="000000" w:sz="10" w:space="0"/>
            </w:tcBorders>
            <w:vAlign w:val="top"/>
          </w:tcPr>
          <w:p w14:paraId="6992B70C">
            <w:pPr>
              <w:rPr>
                <w:rFonts w:ascii="Arial"/>
                <w:sz w:val="21"/>
              </w:rPr>
            </w:pPr>
          </w:p>
        </w:tc>
      </w:tr>
      <w:tr w14:paraId="0EE47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332" w:type="dxa"/>
            <w:vMerge w:val="continue"/>
            <w:tcBorders>
              <w:top w:val="nil"/>
              <w:left w:val="single" w:color="000000" w:sz="10" w:space="0"/>
              <w:bottom w:val="nil"/>
            </w:tcBorders>
            <w:vAlign w:val="top"/>
          </w:tcPr>
          <w:p w14:paraId="767C458E">
            <w:pPr>
              <w:rPr>
                <w:rFonts w:ascii="Arial"/>
                <w:sz w:val="21"/>
              </w:rPr>
            </w:pPr>
          </w:p>
        </w:tc>
        <w:tc>
          <w:tcPr>
            <w:tcW w:w="1085" w:type="dxa"/>
            <w:vMerge w:val="restart"/>
            <w:tcBorders>
              <w:bottom w:val="nil"/>
            </w:tcBorders>
            <w:vAlign w:val="top"/>
          </w:tcPr>
          <w:p w14:paraId="6FDDA777">
            <w:pPr>
              <w:spacing w:before="247" w:line="214" w:lineRule="auto"/>
              <w:ind w:left="17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植物措施</w:t>
            </w:r>
          </w:p>
        </w:tc>
        <w:tc>
          <w:tcPr>
            <w:tcW w:w="1281" w:type="dxa"/>
            <w:vAlign w:val="top"/>
          </w:tcPr>
          <w:p w14:paraId="715C3FB4">
            <w:pPr>
              <w:spacing w:before="86" w:line="216" w:lineRule="auto"/>
              <w:ind w:left="2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栽植灌木</w:t>
            </w:r>
          </w:p>
        </w:tc>
        <w:tc>
          <w:tcPr>
            <w:tcW w:w="740" w:type="dxa"/>
            <w:vAlign w:val="top"/>
          </w:tcPr>
          <w:p w14:paraId="2C6C4CCB">
            <w:pPr>
              <w:rPr>
                <w:rFonts w:ascii="Arial"/>
                <w:sz w:val="21"/>
              </w:rPr>
            </w:pPr>
          </w:p>
        </w:tc>
        <w:tc>
          <w:tcPr>
            <w:tcW w:w="740" w:type="dxa"/>
            <w:vAlign w:val="top"/>
          </w:tcPr>
          <w:p w14:paraId="117E3FE0">
            <w:pPr>
              <w:rPr>
                <w:rFonts w:ascii="Arial"/>
                <w:sz w:val="21"/>
              </w:rPr>
            </w:pPr>
          </w:p>
        </w:tc>
        <w:tc>
          <w:tcPr>
            <w:tcW w:w="740" w:type="dxa"/>
            <w:vAlign w:val="top"/>
          </w:tcPr>
          <w:p w14:paraId="0CE703A3">
            <w:pPr>
              <w:rPr>
                <w:rFonts w:ascii="Arial"/>
                <w:sz w:val="21"/>
              </w:rPr>
            </w:pPr>
          </w:p>
        </w:tc>
        <w:tc>
          <w:tcPr>
            <w:tcW w:w="740" w:type="dxa"/>
            <w:vAlign w:val="top"/>
          </w:tcPr>
          <w:p w14:paraId="61B32D71">
            <w:pPr>
              <w:rPr>
                <w:rFonts w:ascii="Arial"/>
                <w:sz w:val="21"/>
              </w:rPr>
            </w:pPr>
            <w:r>
              <w:pict>
                <v:rect id="_x0000_s1083" o:spid="_x0000_s1083" o:spt="1" style="position:absolute;left:0pt;margin-left:7.45pt;margin-top:8.35pt;height:4.25pt;width:31.2pt;mso-position-horizontal-relative:page;mso-position-vertical-relative:page;z-index:251757568;mso-width-relative:page;mso-height-relative:page;" fillcolor="#00B050" filled="t" stroked="f" coordsize="21600,21600">
                  <v:path/>
                  <v:fill on="t" focussize="0,0"/>
                  <v:stroke on="f"/>
                  <v:imagedata o:title=""/>
                  <o:lock v:ext="edit"/>
                </v:rect>
              </w:pict>
            </w:r>
          </w:p>
        </w:tc>
        <w:tc>
          <w:tcPr>
            <w:tcW w:w="740" w:type="dxa"/>
            <w:vAlign w:val="top"/>
          </w:tcPr>
          <w:p w14:paraId="41AC6125">
            <w:pPr>
              <w:rPr>
                <w:rFonts w:ascii="Arial"/>
                <w:sz w:val="21"/>
              </w:rPr>
            </w:pPr>
          </w:p>
        </w:tc>
        <w:tc>
          <w:tcPr>
            <w:tcW w:w="653" w:type="dxa"/>
            <w:vAlign w:val="top"/>
          </w:tcPr>
          <w:p w14:paraId="09E5C542">
            <w:pPr>
              <w:rPr>
                <w:rFonts w:ascii="Arial"/>
                <w:sz w:val="21"/>
              </w:rPr>
            </w:pPr>
          </w:p>
        </w:tc>
        <w:tc>
          <w:tcPr>
            <w:tcW w:w="844" w:type="dxa"/>
            <w:vMerge w:val="continue"/>
            <w:tcBorders>
              <w:top w:val="nil"/>
              <w:bottom w:val="nil"/>
              <w:right w:val="single" w:color="000000" w:sz="10" w:space="0"/>
            </w:tcBorders>
            <w:vAlign w:val="top"/>
          </w:tcPr>
          <w:p w14:paraId="201F3E10">
            <w:pPr>
              <w:rPr>
                <w:rFonts w:ascii="Arial"/>
                <w:sz w:val="21"/>
              </w:rPr>
            </w:pPr>
          </w:p>
        </w:tc>
      </w:tr>
      <w:tr w14:paraId="3AD77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332" w:type="dxa"/>
            <w:vMerge w:val="continue"/>
            <w:tcBorders>
              <w:top w:val="nil"/>
              <w:left w:val="single" w:color="000000" w:sz="10" w:space="0"/>
              <w:bottom w:val="single" w:color="000000" w:sz="10" w:space="0"/>
            </w:tcBorders>
            <w:vAlign w:val="top"/>
          </w:tcPr>
          <w:p w14:paraId="7D67566E">
            <w:pPr>
              <w:rPr>
                <w:rFonts w:ascii="Arial"/>
                <w:sz w:val="21"/>
              </w:rPr>
            </w:pPr>
          </w:p>
        </w:tc>
        <w:tc>
          <w:tcPr>
            <w:tcW w:w="1085" w:type="dxa"/>
            <w:vMerge w:val="continue"/>
            <w:tcBorders>
              <w:top w:val="nil"/>
              <w:bottom w:val="single" w:color="000000" w:sz="10" w:space="0"/>
            </w:tcBorders>
            <w:vAlign w:val="top"/>
          </w:tcPr>
          <w:p w14:paraId="21718B37">
            <w:pPr>
              <w:rPr>
                <w:rFonts w:ascii="Arial"/>
                <w:sz w:val="21"/>
              </w:rPr>
            </w:pPr>
          </w:p>
        </w:tc>
        <w:tc>
          <w:tcPr>
            <w:tcW w:w="1281" w:type="dxa"/>
            <w:tcBorders>
              <w:bottom w:val="single" w:color="000000" w:sz="10" w:space="0"/>
            </w:tcBorders>
            <w:vAlign w:val="top"/>
          </w:tcPr>
          <w:p w14:paraId="105388BD">
            <w:pPr>
              <w:spacing w:before="87" w:line="216" w:lineRule="auto"/>
              <w:ind w:left="28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撒播草籽</w:t>
            </w:r>
          </w:p>
        </w:tc>
        <w:tc>
          <w:tcPr>
            <w:tcW w:w="740" w:type="dxa"/>
            <w:tcBorders>
              <w:bottom w:val="single" w:color="000000" w:sz="10" w:space="0"/>
            </w:tcBorders>
            <w:vAlign w:val="top"/>
          </w:tcPr>
          <w:p w14:paraId="6013C87E">
            <w:pPr>
              <w:rPr>
                <w:rFonts w:ascii="Arial"/>
                <w:sz w:val="21"/>
              </w:rPr>
            </w:pPr>
          </w:p>
        </w:tc>
        <w:tc>
          <w:tcPr>
            <w:tcW w:w="740" w:type="dxa"/>
            <w:tcBorders>
              <w:bottom w:val="single" w:color="000000" w:sz="10" w:space="0"/>
            </w:tcBorders>
            <w:vAlign w:val="top"/>
          </w:tcPr>
          <w:p w14:paraId="617F5AE4">
            <w:pPr>
              <w:rPr>
                <w:rFonts w:ascii="Arial"/>
                <w:sz w:val="21"/>
              </w:rPr>
            </w:pPr>
          </w:p>
        </w:tc>
        <w:tc>
          <w:tcPr>
            <w:tcW w:w="740" w:type="dxa"/>
            <w:tcBorders>
              <w:bottom w:val="single" w:color="000000" w:sz="10" w:space="0"/>
            </w:tcBorders>
            <w:vAlign w:val="top"/>
          </w:tcPr>
          <w:p w14:paraId="2960766C">
            <w:pPr>
              <w:rPr>
                <w:rFonts w:ascii="Arial"/>
                <w:sz w:val="21"/>
              </w:rPr>
            </w:pPr>
          </w:p>
        </w:tc>
        <w:tc>
          <w:tcPr>
            <w:tcW w:w="740" w:type="dxa"/>
            <w:tcBorders>
              <w:bottom w:val="single" w:color="000000" w:sz="10" w:space="0"/>
            </w:tcBorders>
            <w:vAlign w:val="top"/>
          </w:tcPr>
          <w:p w14:paraId="4F0DFE61">
            <w:pPr>
              <w:rPr>
                <w:rFonts w:ascii="Arial"/>
                <w:sz w:val="21"/>
              </w:rPr>
            </w:pPr>
            <w:r>
              <w:pict>
                <v:rect id="_x0000_s1084" o:spid="_x0000_s1084" o:spt="1" style="position:absolute;left:0pt;margin-left:7.3pt;margin-top:5.45pt;height:4.25pt;width:31.2pt;mso-position-horizontal-relative:page;mso-position-vertical-relative:page;z-index:251755520;mso-width-relative:page;mso-height-relative:page;" fillcolor="#00B050" filled="t" stroked="f" coordsize="21600,21600">
                  <v:path/>
                  <v:fill on="t" focussize="0,0"/>
                  <v:stroke on="f"/>
                  <v:imagedata o:title=""/>
                  <o:lock v:ext="edit"/>
                </v:rect>
              </w:pict>
            </w:r>
          </w:p>
        </w:tc>
        <w:tc>
          <w:tcPr>
            <w:tcW w:w="740" w:type="dxa"/>
            <w:tcBorders>
              <w:bottom w:val="single" w:color="000000" w:sz="10" w:space="0"/>
            </w:tcBorders>
            <w:vAlign w:val="top"/>
          </w:tcPr>
          <w:p w14:paraId="28966FA6">
            <w:pPr>
              <w:rPr>
                <w:rFonts w:ascii="Arial"/>
                <w:sz w:val="21"/>
              </w:rPr>
            </w:pPr>
          </w:p>
        </w:tc>
        <w:tc>
          <w:tcPr>
            <w:tcW w:w="653" w:type="dxa"/>
            <w:tcBorders>
              <w:bottom w:val="single" w:color="000000" w:sz="10" w:space="0"/>
            </w:tcBorders>
            <w:vAlign w:val="top"/>
          </w:tcPr>
          <w:p w14:paraId="0973FB6F">
            <w:pPr>
              <w:rPr>
                <w:rFonts w:ascii="Arial"/>
                <w:sz w:val="21"/>
              </w:rPr>
            </w:pPr>
          </w:p>
        </w:tc>
        <w:tc>
          <w:tcPr>
            <w:tcW w:w="844" w:type="dxa"/>
            <w:vMerge w:val="continue"/>
            <w:tcBorders>
              <w:top w:val="nil"/>
              <w:bottom w:val="single" w:color="000000" w:sz="10" w:space="0"/>
              <w:right w:val="single" w:color="000000" w:sz="10" w:space="0"/>
            </w:tcBorders>
            <w:vAlign w:val="top"/>
          </w:tcPr>
          <w:p w14:paraId="775AB594">
            <w:pPr>
              <w:rPr>
                <w:rFonts w:ascii="Arial"/>
                <w:sz w:val="21"/>
              </w:rPr>
            </w:pPr>
          </w:p>
        </w:tc>
      </w:tr>
    </w:tbl>
    <w:p w14:paraId="5A3375B8">
      <w:pPr>
        <w:pStyle w:val="2"/>
        <w:spacing w:line="329" w:lineRule="auto"/>
      </w:pPr>
    </w:p>
    <w:p w14:paraId="507D403E">
      <w:pPr>
        <w:spacing w:before="59" w:line="214" w:lineRule="auto"/>
        <w:ind w:left="49"/>
        <w:rPr>
          <w:rFonts w:ascii="FangSong_GB2312" w:hAnsi="FangSong_GB2312" w:eastAsia="FangSong_GB2312" w:cs="FangSong_GB2312"/>
          <w:sz w:val="18"/>
          <w:szCs w:val="18"/>
        </w:rPr>
      </w:pPr>
      <w:r>
        <w:rPr>
          <w:rFonts w:ascii="FangSong_GB2312" w:hAnsi="FangSong_GB2312" w:eastAsia="FangSong_GB2312" w:cs="FangSong_GB2312"/>
          <w:color w:val="FF0000"/>
          <w:spacing w:val="-4"/>
          <w:sz w:val="18"/>
          <w:szCs w:val="18"/>
        </w:rPr>
        <w:t xml:space="preserve">图例： </w:t>
      </w:r>
      <w:r>
        <w:rPr>
          <w:sz w:val="18"/>
          <w:szCs w:val="18"/>
        </w:rPr>
        <w:drawing>
          <wp:inline distT="0" distB="0" distL="0" distR="0">
            <wp:extent cx="325755" cy="6286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4"/>
                    <a:stretch>
                      <a:fillRect/>
                    </a:stretch>
                  </pic:blipFill>
                  <pic:spPr>
                    <a:xfrm>
                      <a:off x="0" y="0"/>
                      <a:ext cx="325831" cy="63448"/>
                    </a:xfrm>
                    <a:prstGeom prst="rect">
                      <a:avLst/>
                    </a:prstGeom>
                  </pic:spPr>
                </pic:pic>
              </a:graphicData>
            </a:graphic>
          </wp:inline>
        </w:drawing>
      </w:r>
      <w:r>
        <w:rPr>
          <w:rFonts w:ascii="FangSong_GB2312" w:hAnsi="FangSong_GB2312" w:eastAsia="FangSong_GB2312" w:cs="FangSong_GB2312"/>
          <w:color w:val="FF0000"/>
          <w:spacing w:val="42"/>
          <w:w w:val="101"/>
          <w:sz w:val="18"/>
          <w:szCs w:val="18"/>
        </w:rPr>
        <w:t xml:space="preserve"> </w:t>
      </w:r>
      <w:r>
        <w:rPr>
          <w:rFonts w:ascii="FangSong_GB2312" w:hAnsi="FangSong_GB2312" w:eastAsia="FangSong_GB2312" w:cs="FangSong_GB2312"/>
          <w:color w:val="FF0000"/>
          <w:spacing w:val="-4"/>
          <w:sz w:val="18"/>
          <w:szCs w:val="18"/>
        </w:rPr>
        <w:t>工程措施</w:t>
      </w:r>
      <w:r>
        <w:rPr>
          <w:rFonts w:ascii="FangSong_GB2312" w:hAnsi="FangSong_GB2312" w:eastAsia="FangSong_GB2312" w:cs="FangSong_GB2312"/>
          <w:color w:val="FF0000"/>
          <w:spacing w:val="7"/>
          <w:sz w:val="18"/>
          <w:szCs w:val="18"/>
        </w:rPr>
        <w:t xml:space="preserve">    </w:t>
      </w:r>
      <w:r>
        <w:rPr>
          <w:sz w:val="18"/>
          <w:szCs w:val="18"/>
        </w:rPr>
        <w:drawing>
          <wp:inline distT="0" distB="0" distL="0" distR="0">
            <wp:extent cx="395605" cy="533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5"/>
                    <a:stretch>
                      <a:fillRect/>
                    </a:stretch>
                  </pic:blipFill>
                  <pic:spPr>
                    <a:xfrm>
                      <a:off x="0" y="0"/>
                      <a:ext cx="395935" cy="53340"/>
                    </a:xfrm>
                    <a:prstGeom prst="rect">
                      <a:avLst/>
                    </a:prstGeom>
                  </pic:spPr>
                </pic:pic>
              </a:graphicData>
            </a:graphic>
          </wp:inline>
        </w:drawing>
      </w:r>
      <w:r>
        <w:rPr>
          <w:rFonts w:ascii="FangSong_GB2312" w:hAnsi="FangSong_GB2312" w:eastAsia="FangSong_GB2312" w:cs="FangSong_GB2312"/>
          <w:color w:val="FF0000"/>
          <w:spacing w:val="70"/>
          <w:sz w:val="18"/>
          <w:szCs w:val="18"/>
        </w:rPr>
        <w:t xml:space="preserve"> </w:t>
      </w:r>
      <w:r>
        <w:rPr>
          <w:rFonts w:ascii="FangSong_GB2312" w:hAnsi="FangSong_GB2312" w:eastAsia="FangSong_GB2312" w:cs="FangSong_GB2312"/>
          <w:color w:val="FF0000"/>
          <w:spacing w:val="-4"/>
          <w:sz w:val="18"/>
          <w:szCs w:val="18"/>
        </w:rPr>
        <w:t>植物措施</w:t>
      </w:r>
    </w:p>
    <w:p w14:paraId="7A997FBD">
      <w:pPr>
        <w:pStyle w:val="2"/>
        <w:spacing w:line="245" w:lineRule="auto"/>
      </w:pPr>
    </w:p>
    <w:p w14:paraId="6A0A2244">
      <w:pPr>
        <w:pStyle w:val="2"/>
        <w:spacing w:line="245" w:lineRule="auto"/>
      </w:pPr>
    </w:p>
    <w:p w14:paraId="057324B2">
      <w:pPr>
        <w:pStyle w:val="2"/>
        <w:spacing w:line="245" w:lineRule="auto"/>
      </w:pPr>
    </w:p>
    <w:p w14:paraId="692BE93E">
      <w:pPr>
        <w:pStyle w:val="2"/>
        <w:spacing w:line="245" w:lineRule="auto"/>
      </w:pPr>
    </w:p>
    <w:p w14:paraId="466C5CD0">
      <w:pPr>
        <w:pStyle w:val="2"/>
        <w:spacing w:line="245" w:lineRule="auto"/>
      </w:pPr>
    </w:p>
    <w:p w14:paraId="02348B5D">
      <w:pPr>
        <w:pStyle w:val="2"/>
        <w:spacing w:line="245" w:lineRule="auto"/>
      </w:pPr>
    </w:p>
    <w:p w14:paraId="3167647E">
      <w:pPr>
        <w:pStyle w:val="2"/>
        <w:spacing w:line="245" w:lineRule="auto"/>
      </w:pPr>
    </w:p>
    <w:p w14:paraId="19CC84EF">
      <w:pPr>
        <w:pStyle w:val="2"/>
        <w:spacing w:line="245" w:lineRule="auto"/>
      </w:pPr>
    </w:p>
    <w:p w14:paraId="4CF52E0D">
      <w:pPr>
        <w:pStyle w:val="2"/>
        <w:spacing w:line="245" w:lineRule="auto"/>
      </w:pPr>
    </w:p>
    <w:p w14:paraId="5D53F74F">
      <w:pPr>
        <w:pStyle w:val="2"/>
        <w:spacing w:line="245" w:lineRule="auto"/>
      </w:pPr>
    </w:p>
    <w:p w14:paraId="73A65775">
      <w:pPr>
        <w:pStyle w:val="2"/>
        <w:spacing w:line="245" w:lineRule="auto"/>
      </w:pPr>
    </w:p>
    <w:p w14:paraId="31CD2363">
      <w:pPr>
        <w:pStyle w:val="2"/>
        <w:spacing w:line="245" w:lineRule="auto"/>
      </w:pPr>
    </w:p>
    <w:p w14:paraId="57C845B3">
      <w:pPr>
        <w:pStyle w:val="2"/>
        <w:spacing w:line="245" w:lineRule="auto"/>
      </w:pPr>
    </w:p>
    <w:p w14:paraId="22F23A30">
      <w:pPr>
        <w:pStyle w:val="2"/>
        <w:spacing w:line="245" w:lineRule="auto"/>
      </w:pPr>
    </w:p>
    <w:p w14:paraId="0943AAFC">
      <w:pPr>
        <w:pStyle w:val="2"/>
        <w:spacing w:line="245" w:lineRule="auto"/>
      </w:pPr>
    </w:p>
    <w:p w14:paraId="644D4FFD">
      <w:pPr>
        <w:pStyle w:val="2"/>
        <w:spacing w:line="245" w:lineRule="auto"/>
      </w:pPr>
    </w:p>
    <w:p w14:paraId="3BFA7A9D">
      <w:pPr>
        <w:pStyle w:val="2"/>
        <w:spacing w:line="245" w:lineRule="auto"/>
      </w:pPr>
    </w:p>
    <w:p w14:paraId="00B83C46">
      <w:pPr>
        <w:pStyle w:val="2"/>
        <w:spacing w:line="245" w:lineRule="auto"/>
      </w:pPr>
    </w:p>
    <w:p w14:paraId="393EE9E1">
      <w:pPr>
        <w:pStyle w:val="2"/>
        <w:spacing w:line="245" w:lineRule="auto"/>
      </w:pPr>
    </w:p>
    <w:p w14:paraId="17BC0688">
      <w:pPr>
        <w:pStyle w:val="2"/>
        <w:spacing w:line="245" w:lineRule="auto"/>
      </w:pPr>
    </w:p>
    <w:p w14:paraId="22EABD85">
      <w:pPr>
        <w:pStyle w:val="2"/>
        <w:spacing w:line="245" w:lineRule="auto"/>
      </w:pPr>
    </w:p>
    <w:p w14:paraId="5D1C21C2">
      <w:pPr>
        <w:pStyle w:val="2"/>
        <w:spacing w:line="245" w:lineRule="auto"/>
      </w:pPr>
    </w:p>
    <w:p w14:paraId="5878BCE5">
      <w:pPr>
        <w:pStyle w:val="2"/>
        <w:spacing w:line="245" w:lineRule="auto"/>
      </w:pPr>
    </w:p>
    <w:p w14:paraId="17147438">
      <w:pPr>
        <w:pStyle w:val="2"/>
        <w:spacing w:line="246" w:lineRule="auto"/>
      </w:pPr>
    </w:p>
    <w:p w14:paraId="16A1BC5B">
      <w:pPr>
        <w:pStyle w:val="2"/>
        <w:spacing w:line="246" w:lineRule="auto"/>
      </w:pPr>
    </w:p>
    <w:p w14:paraId="3BF19EBE">
      <w:pPr>
        <w:pStyle w:val="2"/>
        <w:spacing w:line="246" w:lineRule="auto"/>
      </w:pPr>
    </w:p>
    <w:p w14:paraId="39692B61">
      <w:pPr>
        <w:pStyle w:val="2"/>
        <w:spacing w:line="246" w:lineRule="auto"/>
      </w:pPr>
    </w:p>
    <w:p w14:paraId="771B293C">
      <w:pPr>
        <w:pStyle w:val="2"/>
        <w:spacing w:line="246" w:lineRule="auto"/>
      </w:pPr>
    </w:p>
    <w:p w14:paraId="5ED0E767">
      <w:pPr>
        <w:pStyle w:val="2"/>
        <w:spacing w:line="246" w:lineRule="auto"/>
      </w:pPr>
    </w:p>
    <w:p w14:paraId="01193942">
      <w:pPr>
        <w:spacing w:before="66" w:line="229" w:lineRule="auto"/>
        <w:ind w:left="5406"/>
        <w:rPr>
          <w:rFonts w:ascii="FangSong_GB2312" w:hAnsi="FangSong_GB2312" w:eastAsia="FangSong_GB2312" w:cs="FangSong_GB2312"/>
          <w:sz w:val="20"/>
          <w:szCs w:val="20"/>
        </w:rPr>
      </w:pPr>
      <w:r>
        <w:pict>
          <v:shape id="_x0000_s1085" o:spid="_x0000_s1085" o:spt="202" type="#_x0000_t202" style="position:absolute;left:0pt;margin-left:217.65pt;margin-top:3pt;height:10.15pt;width:10.95pt;z-index:251753472;mso-width-relative:page;mso-height-relative:page;" filled="f" stroked="f" coordsize="21600,21600">
            <v:path/>
            <v:fill on="f" focussize="0,0"/>
            <v:stroke on="f"/>
            <v:imagedata o:title=""/>
            <o:lock v:ext="edit" aspectratio="f"/>
            <v:textbox inset="0mm,0mm,0mm,0mm">
              <w:txbxContent>
                <w:p w14:paraId="106DBBD9">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txbxContent>
            </v:textbox>
          </v:shape>
        </w:pict>
      </w:r>
      <w:r>
        <w:rPr>
          <w:rFonts w:ascii="FangSong_GB2312" w:hAnsi="FangSong_GB2312" w:eastAsia="FangSong_GB2312" w:cs="FangSong_GB2312"/>
          <w:spacing w:val="8"/>
          <w:sz w:val="20"/>
          <w:szCs w:val="20"/>
        </w:rPr>
        <w:t>剑阁县绿森林业勘察设计有限公司</w:t>
      </w:r>
    </w:p>
    <w:p w14:paraId="3AF46921">
      <w:pPr>
        <w:spacing w:line="229" w:lineRule="auto"/>
        <w:rPr>
          <w:rFonts w:ascii="FangSong_GB2312" w:hAnsi="FangSong_GB2312" w:eastAsia="FangSong_GB2312" w:cs="FangSong_GB2312"/>
          <w:sz w:val="20"/>
          <w:szCs w:val="20"/>
        </w:rPr>
        <w:sectPr>
          <w:headerReference r:id="rId61" w:type="default"/>
          <w:pgSz w:w="11906" w:h="16839"/>
          <w:pgMar w:top="1159" w:right="1492" w:bottom="400" w:left="1492" w:header="831" w:footer="0" w:gutter="0"/>
          <w:cols w:space="720" w:num="1"/>
        </w:sectPr>
      </w:pPr>
    </w:p>
    <w:p w14:paraId="05BA5F9E">
      <w:pPr>
        <w:pStyle w:val="2"/>
        <w:spacing w:line="324" w:lineRule="auto"/>
      </w:pPr>
    </w:p>
    <w:p w14:paraId="41ECA15C">
      <w:pPr>
        <w:pStyle w:val="2"/>
        <w:spacing w:line="325" w:lineRule="auto"/>
      </w:pPr>
    </w:p>
    <w:p w14:paraId="6F166B7E">
      <w:pPr>
        <w:spacing w:before="100" w:line="220" w:lineRule="auto"/>
        <w:ind w:left="3441"/>
        <w:outlineLvl w:val="0"/>
        <w:rPr>
          <w:rFonts w:ascii="FangSong_GB2312" w:hAnsi="FangSong_GB2312" w:eastAsia="FangSong_GB2312" w:cs="FangSong_GB2312"/>
          <w:sz w:val="31"/>
          <w:szCs w:val="31"/>
        </w:rPr>
      </w:pPr>
      <w:bookmarkStart w:id="83" w:name="bookmark69"/>
      <w:bookmarkEnd w:id="83"/>
      <w:bookmarkStart w:id="84" w:name="bookmark70"/>
      <w:bookmarkEnd w:id="84"/>
      <w:r>
        <w:rPr>
          <w:rFonts w:ascii="Times New Roman" w:hAnsi="Times New Roman" w:eastAsia="Times New Roman" w:cs="Times New Roman"/>
          <w:b/>
          <w:bCs/>
          <w:spacing w:val="5"/>
          <w:sz w:val="31"/>
          <w:szCs w:val="31"/>
        </w:rPr>
        <w:t xml:space="preserve">6 </w:t>
      </w:r>
      <w:r>
        <w:rPr>
          <w:rFonts w:ascii="FangSong_GB2312" w:hAnsi="FangSong_GB2312" w:eastAsia="FangSong_GB2312" w:cs="FangSong_GB2312"/>
          <w:b/>
          <w:bCs/>
          <w:spacing w:val="5"/>
          <w:sz w:val="31"/>
          <w:szCs w:val="31"/>
        </w:rPr>
        <w:t>水土保持监测</w:t>
      </w:r>
    </w:p>
    <w:p w14:paraId="2D933F65">
      <w:pPr>
        <w:pStyle w:val="2"/>
        <w:spacing w:line="243" w:lineRule="auto"/>
      </w:pPr>
    </w:p>
    <w:p w14:paraId="3B4D3701">
      <w:pPr>
        <w:pStyle w:val="2"/>
        <w:spacing w:line="244" w:lineRule="auto"/>
      </w:pPr>
    </w:p>
    <w:p w14:paraId="5E453DA0">
      <w:pPr>
        <w:spacing w:before="78" w:line="372" w:lineRule="auto"/>
        <w:ind w:left="8" w:right="39" w:firstLine="478"/>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根据《水利部关于进一步深化</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放管服</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改革全面加强水土保持监督的意见》（水保</w:t>
      </w:r>
      <w:r>
        <w:rPr>
          <w:rFonts w:hint="eastAsia"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2019</w:t>
      </w:r>
      <w:r>
        <w:rPr>
          <w:rFonts w:hint="eastAsia"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160</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1"/>
          <w:sz w:val="24"/>
          <w:szCs w:val="24"/>
        </w:rPr>
        <w:t>号）、《水利部办公厅关于进</w:t>
      </w:r>
      <w:r>
        <w:rPr>
          <w:rFonts w:ascii="FangSong_GB2312" w:hAnsi="FangSong_GB2312" w:eastAsia="FangSong_GB2312" w:cs="FangSong_GB2312"/>
          <w:sz w:val="24"/>
          <w:szCs w:val="24"/>
        </w:rPr>
        <w:t>一步加强生产建设项目水土保持监测工作的通</w:t>
      </w:r>
      <w:r>
        <w:rPr>
          <w:rFonts w:ascii="FangSong_GB2312" w:hAnsi="FangSong_GB2312" w:eastAsia="FangSong_GB2312" w:cs="FangSong_GB2312"/>
          <w:spacing w:val="1"/>
          <w:sz w:val="24"/>
          <w:szCs w:val="24"/>
        </w:rPr>
        <w:t>知》（办水保</w:t>
      </w:r>
      <w:r>
        <w:rPr>
          <w:rFonts w:hint="eastAsia"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2020</w:t>
      </w:r>
      <w:r>
        <w:rPr>
          <w:rFonts w:hint="eastAsia" w:ascii="Times New Roman" w:hAnsi="Times New Roman" w:eastAsia="Times New Roman" w:cs="Times New Roman"/>
          <w:spacing w:val="1"/>
          <w:sz w:val="24"/>
          <w:szCs w:val="24"/>
        </w:rPr>
        <w:t>〕</w:t>
      </w:r>
      <w:r>
        <w:rPr>
          <w:rFonts w:ascii="Times New Roman" w:hAnsi="Times New Roman" w:eastAsia="Times New Roman" w:cs="Times New Roman"/>
          <w:spacing w:val="1"/>
          <w:sz w:val="24"/>
          <w:szCs w:val="24"/>
        </w:rPr>
        <w:t>161</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1"/>
          <w:sz w:val="24"/>
          <w:szCs w:val="24"/>
        </w:rPr>
        <w:t>号）等文件要求</w:t>
      </w:r>
      <w:r>
        <w:rPr>
          <w:rFonts w:ascii="FangSong_GB2312" w:hAnsi="FangSong_GB2312" w:eastAsia="FangSong_GB2312" w:cs="FangSong_GB2312"/>
          <w:sz w:val="24"/>
          <w:szCs w:val="24"/>
        </w:rPr>
        <w:t>，项目编制水土保持方案为报告表，可不开展水土保持专项监测，但建设单位应当依法履行水土</w:t>
      </w:r>
      <w:r>
        <w:rPr>
          <w:rFonts w:ascii="FangSong_GB2312" w:hAnsi="FangSong_GB2312" w:eastAsia="FangSong_GB2312" w:cs="FangSong_GB2312"/>
          <w:spacing w:val="-1"/>
          <w:sz w:val="24"/>
          <w:szCs w:val="24"/>
        </w:rPr>
        <w:t>流失防治责任和义务。</w:t>
      </w:r>
    </w:p>
    <w:p w14:paraId="6114100F">
      <w:pPr>
        <w:pStyle w:val="2"/>
        <w:spacing w:line="242" w:lineRule="auto"/>
      </w:pPr>
    </w:p>
    <w:p w14:paraId="58C2D3BA">
      <w:pPr>
        <w:pStyle w:val="2"/>
        <w:spacing w:line="242" w:lineRule="auto"/>
      </w:pPr>
    </w:p>
    <w:p w14:paraId="77665AF6">
      <w:pPr>
        <w:pStyle w:val="2"/>
        <w:spacing w:line="243" w:lineRule="auto"/>
      </w:pPr>
    </w:p>
    <w:p w14:paraId="1941DCEB">
      <w:pPr>
        <w:pStyle w:val="2"/>
        <w:spacing w:line="243" w:lineRule="auto"/>
      </w:pPr>
    </w:p>
    <w:p w14:paraId="7D58A515">
      <w:pPr>
        <w:pStyle w:val="2"/>
        <w:spacing w:line="243" w:lineRule="auto"/>
      </w:pPr>
    </w:p>
    <w:p w14:paraId="057BE69D">
      <w:pPr>
        <w:pStyle w:val="2"/>
        <w:spacing w:line="243" w:lineRule="auto"/>
      </w:pPr>
    </w:p>
    <w:p w14:paraId="71DAB206">
      <w:pPr>
        <w:pStyle w:val="2"/>
        <w:spacing w:line="243" w:lineRule="auto"/>
      </w:pPr>
    </w:p>
    <w:p w14:paraId="1CF720F0">
      <w:pPr>
        <w:pStyle w:val="2"/>
        <w:spacing w:line="243" w:lineRule="auto"/>
      </w:pPr>
    </w:p>
    <w:p w14:paraId="4F48060E">
      <w:pPr>
        <w:pStyle w:val="2"/>
        <w:spacing w:line="243" w:lineRule="auto"/>
      </w:pPr>
    </w:p>
    <w:p w14:paraId="06CAE2A9">
      <w:pPr>
        <w:pStyle w:val="2"/>
        <w:spacing w:line="243" w:lineRule="auto"/>
      </w:pPr>
    </w:p>
    <w:p w14:paraId="2CAC0FDF">
      <w:pPr>
        <w:pStyle w:val="2"/>
        <w:spacing w:line="243" w:lineRule="auto"/>
      </w:pPr>
    </w:p>
    <w:p w14:paraId="0ACACB56">
      <w:pPr>
        <w:pStyle w:val="2"/>
        <w:spacing w:line="243" w:lineRule="auto"/>
      </w:pPr>
    </w:p>
    <w:p w14:paraId="7826DD98">
      <w:pPr>
        <w:pStyle w:val="2"/>
        <w:spacing w:line="243" w:lineRule="auto"/>
      </w:pPr>
    </w:p>
    <w:p w14:paraId="24C0EAAC">
      <w:pPr>
        <w:pStyle w:val="2"/>
        <w:spacing w:line="243" w:lineRule="auto"/>
      </w:pPr>
    </w:p>
    <w:p w14:paraId="747CFD1B">
      <w:pPr>
        <w:pStyle w:val="2"/>
        <w:spacing w:line="243" w:lineRule="auto"/>
      </w:pPr>
    </w:p>
    <w:p w14:paraId="17EBDE64">
      <w:pPr>
        <w:pStyle w:val="2"/>
        <w:spacing w:line="243" w:lineRule="auto"/>
      </w:pPr>
    </w:p>
    <w:p w14:paraId="2C357A4D">
      <w:pPr>
        <w:pStyle w:val="2"/>
        <w:spacing w:line="243" w:lineRule="auto"/>
      </w:pPr>
    </w:p>
    <w:p w14:paraId="7F55283F">
      <w:pPr>
        <w:pStyle w:val="2"/>
        <w:spacing w:line="243" w:lineRule="auto"/>
      </w:pPr>
    </w:p>
    <w:p w14:paraId="11306136">
      <w:pPr>
        <w:pStyle w:val="2"/>
        <w:spacing w:line="243" w:lineRule="auto"/>
      </w:pPr>
    </w:p>
    <w:p w14:paraId="48C33A4A">
      <w:pPr>
        <w:pStyle w:val="2"/>
        <w:spacing w:line="243" w:lineRule="auto"/>
      </w:pPr>
    </w:p>
    <w:p w14:paraId="3430A922">
      <w:pPr>
        <w:pStyle w:val="2"/>
        <w:spacing w:line="243" w:lineRule="auto"/>
      </w:pPr>
    </w:p>
    <w:p w14:paraId="42506428">
      <w:pPr>
        <w:pStyle w:val="2"/>
        <w:spacing w:line="243" w:lineRule="auto"/>
      </w:pPr>
    </w:p>
    <w:p w14:paraId="64E59DB0">
      <w:pPr>
        <w:pStyle w:val="2"/>
        <w:spacing w:line="243" w:lineRule="auto"/>
      </w:pPr>
    </w:p>
    <w:p w14:paraId="09FB03D6">
      <w:pPr>
        <w:pStyle w:val="2"/>
        <w:spacing w:line="243" w:lineRule="auto"/>
      </w:pPr>
    </w:p>
    <w:p w14:paraId="640ABDC1">
      <w:pPr>
        <w:pStyle w:val="2"/>
        <w:spacing w:line="243" w:lineRule="auto"/>
      </w:pPr>
    </w:p>
    <w:p w14:paraId="7B3DD087">
      <w:pPr>
        <w:pStyle w:val="2"/>
        <w:spacing w:line="243" w:lineRule="auto"/>
      </w:pPr>
    </w:p>
    <w:p w14:paraId="718675B9">
      <w:pPr>
        <w:pStyle w:val="2"/>
        <w:spacing w:line="243" w:lineRule="auto"/>
      </w:pPr>
    </w:p>
    <w:p w14:paraId="0558E92F">
      <w:pPr>
        <w:pStyle w:val="2"/>
        <w:spacing w:line="243" w:lineRule="auto"/>
      </w:pPr>
    </w:p>
    <w:p w14:paraId="1F5A284A">
      <w:pPr>
        <w:pStyle w:val="2"/>
        <w:spacing w:line="243" w:lineRule="auto"/>
      </w:pPr>
    </w:p>
    <w:p w14:paraId="1A95CA55">
      <w:pPr>
        <w:pStyle w:val="2"/>
        <w:spacing w:line="243" w:lineRule="auto"/>
      </w:pPr>
    </w:p>
    <w:p w14:paraId="125AFA9F">
      <w:pPr>
        <w:pStyle w:val="2"/>
        <w:spacing w:line="243" w:lineRule="auto"/>
      </w:pPr>
    </w:p>
    <w:p w14:paraId="516F5EFC">
      <w:pPr>
        <w:pStyle w:val="2"/>
        <w:spacing w:line="243" w:lineRule="auto"/>
      </w:pPr>
    </w:p>
    <w:p w14:paraId="04A7F2A1">
      <w:pPr>
        <w:pStyle w:val="2"/>
        <w:spacing w:line="243" w:lineRule="auto"/>
      </w:pPr>
    </w:p>
    <w:p w14:paraId="23F7E36C">
      <w:pPr>
        <w:pStyle w:val="2"/>
        <w:spacing w:line="243" w:lineRule="auto"/>
      </w:pPr>
    </w:p>
    <w:p w14:paraId="071F282F">
      <w:pPr>
        <w:pStyle w:val="2"/>
        <w:spacing w:line="243" w:lineRule="auto"/>
      </w:pPr>
    </w:p>
    <w:p w14:paraId="354B73B7">
      <w:pPr>
        <w:pStyle w:val="2"/>
        <w:spacing w:line="243" w:lineRule="auto"/>
      </w:pPr>
    </w:p>
    <w:p w14:paraId="09D90F36">
      <w:pPr>
        <w:pStyle w:val="2"/>
        <w:spacing w:line="243" w:lineRule="auto"/>
      </w:pPr>
    </w:p>
    <w:p w14:paraId="6EB5415B">
      <w:pPr>
        <w:pStyle w:val="2"/>
        <w:spacing w:line="243" w:lineRule="auto"/>
      </w:pPr>
    </w:p>
    <w:p w14:paraId="3A26B5B6">
      <w:pPr>
        <w:pStyle w:val="2"/>
        <w:spacing w:line="243" w:lineRule="auto"/>
      </w:pPr>
    </w:p>
    <w:p w14:paraId="354AD555">
      <w:pPr>
        <w:pStyle w:val="2"/>
        <w:spacing w:line="243" w:lineRule="auto"/>
      </w:pPr>
    </w:p>
    <w:p w14:paraId="4DD5DC9A">
      <w:pPr>
        <w:pStyle w:val="2"/>
        <w:spacing w:line="243" w:lineRule="auto"/>
      </w:pPr>
    </w:p>
    <w:p w14:paraId="15303A7B">
      <w:pPr>
        <w:pStyle w:val="2"/>
        <w:spacing w:line="243" w:lineRule="auto"/>
      </w:pPr>
    </w:p>
    <w:p w14:paraId="05D0A582">
      <w:pPr>
        <w:pStyle w:val="2"/>
        <w:spacing w:line="243" w:lineRule="auto"/>
      </w:pPr>
    </w:p>
    <w:p w14:paraId="26C6B812">
      <w:pPr>
        <w:pStyle w:val="2"/>
        <w:spacing w:line="243" w:lineRule="auto"/>
      </w:pPr>
    </w:p>
    <w:p w14:paraId="021F86A2">
      <w:pPr>
        <w:spacing w:before="65" w:line="229" w:lineRule="auto"/>
        <w:ind w:left="5579"/>
        <w:rPr>
          <w:rFonts w:ascii="FangSong_GB2312" w:hAnsi="FangSong_GB2312" w:eastAsia="FangSong_GB2312" w:cs="FangSong_GB2312"/>
          <w:sz w:val="20"/>
          <w:szCs w:val="20"/>
        </w:rPr>
      </w:pPr>
      <w:r>
        <w:pict>
          <v:shape id="_x0000_s1086" o:spid="_x0000_s1086" o:spt="202" type="#_x0000_t202" style="position:absolute;left:0pt;margin-left:221.4pt;margin-top:3.1pt;height:10.15pt;width:10.95pt;z-index:251760640;mso-width-relative:page;mso-height-relative:page;" filled="f" stroked="f" coordsize="21600,21600">
            <v:path/>
            <v:fill on="f" focussize="0,0"/>
            <v:stroke on="f"/>
            <v:imagedata o:title=""/>
            <o:lock v:ext="edit" aspectratio="f"/>
            <v:textbox inset="0mm,0mm,0mm,0mm">
              <w:txbxContent>
                <w:p w14:paraId="2407C91F">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xbxContent>
            </v:textbox>
          </v:shape>
        </w:pict>
      </w:r>
      <w:r>
        <w:rPr>
          <w:rFonts w:ascii="FangSong_GB2312" w:hAnsi="FangSong_GB2312" w:eastAsia="FangSong_GB2312" w:cs="FangSong_GB2312"/>
          <w:spacing w:val="8"/>
          <w:sz w:val="20"/>
          <w:szCs w:val="20"/>
        </w:rPr>
        <w:t>剑阁县绿森林业勘察设计有限公司</w:t>
      </w:r>
    </w:p>
    <w:p w14:paraId="48EBC254">
      <w:pPr>
        <w:spacing w:line="229" w:lineRule="auto"/>
        <w:rPr>
          <w:rFonts w:ascii="FangSong_GB2312" w:hAnsi="FangSong_GB2312" w:eastAsia="FangSong_GB2312" w:cs="FangSong_GB2312"/>
          <w:sz w:val="20"/>
          <w:szCs w:val="20"/>
        </w:rPr>
        <w:sectPr>
          <w:headerReference r:id="rId62" w:type="default"/>
          <w:pgSz w:w="11907" w:h="16840"/>
          <w:pgMar w:top="1158" w:right="1417" w:bottom="400" w:left="1418" w:header="831" w:footer="0" w:gutter="0"/>
          <w:cols w:space="720" w:num="1"/>
        </w:sectPr>
      </w:pPr>
    </w:p>
    <w:p w14:paraId="0813EC03">
      <w:pPr>
        <w:spacing w:before="216" w:line="219" w:lineRule="auto"/>
        <w:ind w:left="2202"/>
        <w:outlineLvl w:val="0"/>
        <w:rPr>
          <w:rFonts w:ascii="FangSong_GB2312" w:hAnsi="FangSong_GB2312" w:eastAsia="FangSong_GB2312" w:cs="FangSong_GB2312"/>
          <w:sz w:val="31"/>
          <w:szCs w:val="31"/>
        </w:rPr>
      </w:pPr>
      <w:bookmarkStart w:id="85" w:name="bookmark71"/>
      <w:bookmarkEnd w:id="85"/>
      <w:bookmarkStart w:id="86" w:name="bookmark72"/>
      <w:bookmarkEnd w:id="86"/>
      <w:r>
        <w:rPr>
          <w:rFonts w:ascii="Times New Roman" w:hAnsi="Times New Roman" w:eastAsia="Times New Roman" w:cs="Times New Roman"/>
          <w:b/>
          <w:bCs/>
          <w:spacing w:val="6"/>
          <w:sz w:val="31"/>
          <w:szCs w:val="31"/>
        </w:rPr>
        <w:t xml:space="preserve">7  </w:t>
      </w:r>
      <w:r>
        <w:rPr>
          <w:rFonts w:ascii="FangSong_GB2312" w:hAnsi="FangSong_GB2312" w:eastAsia="FangSong_GB2312" w:cs="FangSong_GB2312"/>
          <w:b/>
          <w:bCs/>
          <w:spacing w:val="6"/>
          <w:sz w:val="31"/>
          <w:szCs w:val="31"/>
        </w:rPr>
        <w:t>水土保持投资概算及效益分析</w:t>
      </w:r>
    </w:p>
    <w:p w14:paraId="5147F990">
      <w:pPr>
        <w:spacing w:before="303" w:line="214" w:lineRule="auto"/>
        <w:ind w:left="10"/>
        <w:outlineLvl w:val="1"/>
        <w:rPr>
          <w:rFonts w:ascii="FangSong_GB2312" w:hAnsi="FangSong_GB2312" w:eastAsia="FangSong_GB2312" w:cs="FangSong_GB2312"/>
          <w:sz w:val="30"/>
          <w:szCs w:val="30"/>
        </w:rPr>
      </w:pPr>
      <w:bookmarkStart w:id="87" w:name="bookmark74"/>
      <w:bookmarkEnd w:id="87"/>
      <w:bookmarkStart w:id="88" w:name="bookmark73"/>
      <w:bookmarkEnd w:id="88"/>
      <w:r>
        <w:rPr>
          <w:rFonts w:ascii="Times New Roman" w:hAnsi="Times New Roman" w:eastAsia="Times New Roman" w:cs="Times New Roman"/>
          <w:b/>
          <w:bCs/>
          <w:spacing w:val="-3"/>
          <w:sz w:val="30"/>
          <w:szCs w:val="30"/>
        </w:rPr>
        <w:t>7.1.</w:t>
      </w:r>
      <w:r>
        <w:rPr>
          <w:rFonts w:ascii="FangSong_GB2312" w:hAnsi="FangSong_GB2312" w:eastAsia="FangSong_GB2312" w:cs="FangSong_GB2312"/>
          <w:b/>
          <w:bCs/>
          <w:spacing w:val="-3"/>
          <w:sz w:val="30"/>
          <w:szCs w:val="30"/>
        </w:rPr>
        <w:t>投资概算</w:t>
      </w:r>
    </w:p>
    <w:p w14:paraId="136D8A84">
      <w:pPr>
        <w:pStyle w:val="2"/>
        <w:spacing w:line="349" w:lineRule="auto"/>
      </w:pPr>
    </w:p>
    <w:p w14:paraId="250E3F1D">
      <w:pPr>
        <w:spacing w:before="91" w:line="214" w:lineRule="auto"/>
        <w:ind w:left="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7.1.1 </w:t>
      </w:r>
      <w:r>
        <w:rPr>
          <w:rFonts w:ascii="FangSong_GB2312" w:hAnsi="FangSong_GB2312" w:eastAsia="FangSong_GB2312" w:cs="FangSong_GB2312"/>
          <w:b/>
          <w:bCs/>
          <w:spacing w:val="-2"/>
          <w:sz w:val="28"/>
          <w:szCs w:val="28"/>
        </w:rPr>
        <w:t>编制原则及依据</w:t>
      </w:r>
    </w:p>
    <w:p w14:paraId="0E99EF9D">
      <w:pPr>
        <w:pStyle w:val="2"/>
        <w:spacing w:line="254" w:lineRule="auto"/>
      </w:pPr>
    </w:p>
    <w:p w14:paraId="26C4386F">
      <w:pPr>
        <w:spacing w:before="78"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0"/>
          <w:sz w:val="24"/>
          <w:szCs w:val="24"/>
        </w:rPr>
        <w:t>、编制原则</w:t>
      </w:r>
    </w:p>
    <w:p w14:paraId="793B2AF4">
      <w:pPr>
        <w:spacing w:before="190" w:line="286" w:lineRule="auto"/>
        <w:ind w:left="17" w:firstLine="468"/>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w:t>
      </w:r>
      <w:r>
        <w:rPr>
          <w:rFonts w:ascii="Times New Roman" w:hAnsi="Times New Roman" w:eastAsia="Times New Roman" w:cs="Times New Roman"/>
          <w:spacing w:val="-7"/>
          <w:sz w:val="24"/>
          <w:szCs w:val="24"/>
        </w:rPr>
        <w:t>1</w:t>
      </w:r>
      <w:r>
        <w:rPr>
          <w:rFonts w:ascii="FangSong_GB2312" w:hAnsi="FangSong_GB2312" w:eastAsia="FangSong_GB2312" w:cs="FangSong_GB2312"/>
          <w:spacing w:val="-7"/>
          <w:sz w:val="24"/>
          <w:szCs w:val="24"/>
        </w:rPr>
        <w:t>）投资概算编制的项目划分、费用构成、表格形式等依据水土保持工程概（估）</w:t>
      </w:r>
      <w:r>
        <w:rPr>
          <w:rFonts w:ascii="FangSong_GB2312" w:hAnsi="FangSong_GB2312" w:eastAsia="FangSong_GB2312" w:cs="FangSong_GB2312"/>
          <w:spacing w:val="-3"/>
          <w:sz w:val="24"/>
          <w:szCs w:val="24"/>
        </w:rPr>
        <w:t>算编制规定编写。</w:t>
      </w:r>
    </w:p>
    <w:p w14:paraId="4C51F87A">
      <w:pPr>
        <w:spacing w:before="184" w:line="324" w:lineRule="auto"/>
        <w:ind w:left="15" w:right="115" w:firstLine="469"/>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2</w:t>
      </w:r>
      <w:r>
        <w:rPr>
          <w:rFonts w:ascii="FangSong_GB2312" w:hAnsi="FangSong_GB2312" w:eastAsia="FangSong_GB2312" w:cs="FangSong_GB2312"/>
          <w:sz w:val="24"/>
          <w:szCs w:val="24"/>
        </w:rPr>
        <w:t>）价格水平年、人工单价、主要材料价格、次要材料、植物苗</w:t>
      </w:r>
      <w:r>
        <w:rPr>
          <w:rFonts w:ascii="FangSong_GB2312" w:hAnsi="FangSong_GB2312" w:eastAsia="FangSong_GB2312" w:cs="FangSong_GB2312"/>
          <w:spacing w:val="-1"/>
          <w:sz w:val="24"/>
          <w:szCs w:val="24"/>
        </w:rPr>
        <w:t>木、草、种子等材料概算单价、施工用水、用电等原价与主体工程保持一致，采用当地地方标准及现行市场价格。用水、用电等概算单价、施工机械台时费及相关的费率等按水土保持</w:t>
      </w:r>
      <w:r>
        <w:rPr>
          <w:rFonts w:ascii="FangSong_GB2312" w:hAnsi="FangSong_GB2312" w:eastAsia="FangSong_GB2312" w:cs="FangSong_GB2312"/>
          <w:spacing w:val="-2"/>
          <w:sz w:val="24"/>
          <w:szCs w:val="24"/>
        </w:rPr>
        <w:t>工程概（估）算编制规定计算。</w:t>
      </w:r>
    </w:p>
    <w:p w14:paraId="7A08623B">
      <w:pPr>
        <w:spacing w:before="187" w:line="287" w:lineRule="auto"/>
        <w:ind w:left="12" w:right="232" w:firstLine="472"/>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3</w:t>
      </w:r>
      <w:r>
        <w:rPr>
          <w:rFonts w:ascii="FangSong_GB2312" w:hAnsi="FangSong_GB2312" w:eastAsia="FangSong_GB2312" w:cs="FangSong_GB2312"/>
          <w:sz w:val="24"/>
          <w:szCs w:val="24"/>
        </w:rPr>
        <w:t>）概算定额、取费项目及费率与主体工程一致，主体工程定额</w:t>
      </w:r>
      <w:r>
        <w:rPr>
          <w:rFonts w:ascii="FangSong_GB2312" w:hAnsi="FangSong_GB2312" w:eastAsia="FangSong_GB2312" w:cs="FangSong_GB2312"/>
          <w:spacing w:val="-1"/>
          <w:sz w:val="24"/>
          <w:szCs w:val="24"/>
        </w:rPr>
        <w:t>中没有的工程项目，采用水土保持或相关行业的定额、取费项目及费率。</w:t>
      </w:r>
    </w:p>
    <w:p w14:paraId="14EBE609">
      <w:pPr>
        <w:spacing w:before="188" w:line="286" w:lineRule="auto"/>
        <w:ind w:left="9" w:right="115" w:firstLine="47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4</w:t>
      </w:r>
      <w:r>
        <w:rPr>
          <w:rFonts w:ascii="FangSong_GB2312" w:hAnsi="FangSong_GB2312" w:eastAsia="FangSong_GB2312" w:cs="FangSong_GB2312"/>
          <w:spacing w:val="-2"/>
          <w:sz w:val="24"/>
          <w:szCs w:val="24"/>
        </w:rPr>
        <w:t>）水土保持工程投资概算价格水平年与主体工程一致，按剑阁县</w:t>
      </w:r>
      <w:r>
        <w:rPr>
          <w:rFonts w:ascii="FangSong_GB2312" w:hAnsi="FangSong_GB2312" w:eastAsia="FangSong_GB2312" w:cs="FangSong_GB2312"/>
          <w:spacing w:val="-43"/>
          <w:sz w:val="24"/>
          <w:szCs w:val="24"/>
        </w:rPr>
        <w:t xml:space="preserve"> </w:t>
      </w:r>
      <w:r>
        <w:rPr>
          <w:rFonts w:ascii="Times New Roman" w:hAnsi="Times New Roman" w:eastAsia="Times New Roman" w:cs="Times New Roman"/>
          <w:spacing w:val="-2"/>
          <w:sz w:val="24"/>
          <w:szCs w:val="24"/>
        </w:rPr>
        <w:t xml:space="preserve">2022 </w:t>
      </w:r>
      <w:r>
        <w:rPr>
          <w:rFonts w:ascii="FangSong_GB2312" w:hAnsi="FangSong_GB2312" w:eastAsia="FangSong_GB2312" w:cs="FangSong_GB2312"/>
          <w:spacing w:val="-2"/>
          <w:sz w:val="24"/>
          <w:szCs w:val="24"/>
        </w:rPr>
        <w:t>年</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2"/>
          <w:sz w:val="24"/>
          <w:szCs w:val="24"/>
        </w:rPr>
        <w:t>月价格水平。</w:t>
      </w:r>
    </w:p>
    <w:p w14:paraId="392C9B5A">
      <w:pPr>
        <w:spacing w:before="189"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5</w:t>
      </w:r>
      <w:r>
        <w:rPr>
          <w:rFonts w:ascii="FangSong_GB2312" w:hAnsi="FangSong_GB2312" w:eastAsia="FangSong_GB2312" w:cs="FangSong_GB2312"/>
          <w:spacing w:val="-1"/>
          <w:sz w:val="24"/>
          <w:szCs w:val="24"/>
        </w:rPr>
        <w:t>）水土保持补偿费单列，计入总投资。</w:t>
      </w:r>
    </w:p>
    <w:p w14:paraId="3D810AA9">
      <w:pPr>
        <w:spacing w:before="191"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、编制依据</w:t>
      </w:r>
    </w:p>
    <w:p w14:paraId="6A58226F">
      <w:pPr>
        <w:spacing w:before="187" w:line="287" w:lineRule="auto"/>
        <w:ind w:left="10" w:firstLine="475"/>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1</w:t>
      </w:r>
      <w:r>
        <w:rPr>
          <w:rFonts w:ascii="FangSong_GB2312" w:hAnsi="FangSong_GB2312" w:eastAsia="FangSong_GB2312" w:cs="FangSong_GB2312"/>
          <w:sz w:val="24"/>
          <w:szCs w:val="24"/>
        </w:rPr>
        <w:t>）《水利工程设计概（估）算编制规定》及水利</w:t>
      </w:r>
      <w:r>
        <w:rPr>
          <w:rFonts w:ascii="FangSong_GB2312" w:hAnsi="FangSong_GB2312" w:eastAsia="FangSong_GB2312" w:cs="FangSong_GB2312"/>
          <w:spacing w:val="-1"/>
          <w:sz w:val="24"/>
          <w:szCs w:val="24"/>
        </w:rPr>
        <w:t>工程系列定额（水总〔</w:t>
      </w:r>
      <w:r>
        <w:rPr>
          <w:rFonts w:ascii="Times New Roman" w:hAnsi="Times New Roman" w:eastAsia="Times New Roman" w:cs="Times New Roman"/>
          <w:spacing w:val="-1"/>
          <w:sz w:val="24"/>
          <w:szCs w:val="24"/>
        </w:rPr>
        <w:t>2024</w:t>
      </w:r>
      <w:r>
        <w:rPr>
          <w:rFonts w:ascii="FangSong_GB2312" w:hAnsi="FangSong_GB2312" w:eastAsia="FangSong_GB2312" w:cs="FangSong_GB2312"/>
          <w:spacing w:val="-1"/>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8"/>
          <w:sz w:val="24"/>
          <w:szCs w:val="24"/>
        </w:rPr>
        <w:t>323</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8"/>
          <w:sz w:val="24"/>
          <w:szCs w:val="24"/>
        </w:rPr>
        <w:t>号</w:t>
      </w:r>
      <w:r>
        <w:rPr>
          <w:rFonts w:ascii="FangSong_GB2312" w:hAnsi="FangSong_GB2312" w:eastAsia="FangSong_GB2312" w:cs="FangSong_GB2312"/>
          <w:sz w:val="24"/>
          <w:szCs w:val="24"/>
        </w:rPr>
        <w:t>）；</w:t>
      </w:r>
    </w:p>
    <w:p w14:paraId="6CCBD9F7">
      <w:pPr>
        <w:spacing w:before="187" w:line="311" w:lineRule="auto"/>
        <w:ind w:left="5" w:right="232" w:firstLine="480"/>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2</w:t>
      </w:r>
      <w:r>
        <w:rPr>
          <w:rFonts w:ascii="FangSong_GB2312" w:hAnsi="FangSong_GB2312" w:eastAsia="FangSong_GB2312" w:cs="FangSong_GB2312"/>
          <w:sz w:val="24"/>
          <w:szCs w:val="24"/>
        </w:rPr>
        <w:t>）四川省财政厅、四川省发展和改革委员会、四川省水利厅</w:t>
      </w:r>
      <w:r>
        <w:rPr>
          <w:rFonts w:ascii="FangSong_GB2312" w:hAnsi="FangSong_GB2312" w:eastAsia="FangSong_GB2312" w:cs="FangSong_GB2312"/>
          <w:spacing w:val="-1"/>
          <w:sz w:val="24"/>
          <w:szCs w:val="24"/>
        </w:rPr>
        <w:t>、中国人民银行</w:t>
      </w:r>
      <w:r>
        <w:rPr>
          <w:rFonts w:ascii="FangSong_GB2312" w:hAnsi="FangSong_GB2312" w:eastAsia="FangSong_GB2312" w:cs="FangSong_GB2312"/>
          <w:spacing w:val="-2"/>
          <w:sz w:val="24"/>
          <w:szCs w:val="24"/>
        </w:rPr>
        <w:t>成都分行关于印发</w:t>
      </w:r>
      <w:r>
        <w:rPr>
          <w:rFonts w:ascii="Times New Roman" w:hAnsi="Times New Roman" w:eastAsia="Times New Roman" w:cs="Times New Roman"/>
          <w:spacing w:val="-2"/>
          <w:sz w:val="24"/>
          <w:szCs w:val="24"/>
        </w:rPr>
        <w:t>&lt;</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2"/>
          <w:sz w:val="24"/>
          <w:szCs w:val="24"/>
        </w:rPr>
        <w:t>四川省水土保持补偿征收使用管理实施办法）</w:t>
      </w:r>
      <w:r>
        <w:rPr>
          <w:rFonts w:ascii="Times New Roman" w:hAnsi="Times New Roman" w:eastAsia="Times New Roman" w:cs="Times New Roman"/>
          <w:spacing w:val="-2"/>
          <w:sz w:val="24"/>
          <w:szCs w:val="24"/>
        </w:rPr>
        <w:t>&gt;</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2"/>
          <w:sz w:val="24"/>
          <w:szCs w:val="24"/>
        </w:rPr>
        <w:t>的通知（川财综</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2014</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20"/>
          <w:sz w:val="24"/>
          <w:szCs w:val="24"/>
        </w:rPr>
        <w:t xml:space="preserve"> </w:t>
      </w:r>
      <w:r>
        <w:rPr>
          <w:rFonts w:ascii="FangSong_GB2312" w:hAnsi="FangSong_GB2312" w:eastAsia="FangSong_GB2312" w:cs="FangSong_GB2312"/>
          <w:spacing w:val="-4"/>
          <w:sz w:val="24"/>
          <w:szCs w:val="24"/>
        </w:rPr>
        <w:t>号</w:t>
      </w:r>
      <w:r>
        <w:rPr>
          <w:rFonts w:ascii="FangSong_GB2312" w:hAnsi="FangSong_GB2312" w:eastAsia="FangSong_GB2312" w:cs="FangSong_GB2312"/>
          <w:spacing w:val="3"/>
          <w:sz w:val="24"/>
          <w:szCs w:val="24"/>
        </w:rPr>
        <w:t>）；</w:t>
      </w:r>
    </w:p>
    <w:p w14:paraId="082CE510">
      <w:pPr>
        <w:spacing w:before="189" w:line="286" w:lineRule="auto"/>
        <w:ind w:left="14" w:right="232" w:firstLine="470"/>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3</w:t>
      </w:r>
      <w:r>
        <w:rPr>
          <w:rFonts w:ascii="FangSong_GB2312" w:hAnsi="FangSong_GB2312" w:eastAsia="FangSong_GB2312" w:cs="FangSong_GB2312"/>
          <w:sz w:val="24"/>
          <w:szCs w:val="24"/>
        </w:rPr>
        <w:t>）四川省发展和改革委员会、四川省财政厅《关于制定水土</w:t>
      </w:r>
      <w:r>
        <w:rPr>
          <w:rFonts w:ascii="FangSong_GB2312" w:hAnsi="FangSong_GB2312" w:eastAsia="FangSong_GB2312" w:cs="FangSong_GB2312"/>
          <w:spacing w:val="-1"/>
          <w:sz w:val="24"/>
          <w:szCs w:val="24"/>
        </w:rPr>
        <w:t>保持补偿收费标</w:t>
      </w:r>
      <w:r>
        <w:rPr>
          <w:rFonts w:ascii="FangSong_GB2312" w:hAnsi="FangSong_GB2312" w:eastAsia="FangSong_GB2312" w:cs="FangSong_GB2312"/>
          <w:spacing w:val="-2"/>
          <w:sz w:val="24"/>
          <w:szCs w:val="24"/>
        </w:rPr>
        <w:t>准的通知》（川发改价格〔</w:t>
      </w:r>
      <w:r>
        <w:rPr>
          <w:rFonts w:ascii="Times New Roman" w:hAnsi="Times New Roman" w:eastAsia="Times New Roman" w:cs="Times New Roman"/>
          <w:spacing w:val="-2"/>
          <w:sz w:val="24"/>
          <w:szCs w:val="24"/>
        </w:rPr>
        <w:t>2017</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347</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pacing w:val="3"/>
          <w:sz w:val="24"/>
          <w:szCs w:val="24"/>
        </w:rPr>
        <w:t>）；</w:t>
      </w:r>
    </w:p>
    <w:p w14:paraId="75B6F054">
      <w:pPr>
        <w:spacing w:before="191" w:line="286" w:lineRule="auto"/>
        <w:ind w:left="30" w:right="115" w:firstLine="45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4</w:t>
      </w:r>
      <w:r>
        <w:rPr>
          <w:rFonts w:ascii="FangSong_GB2312" w:hAnsi="FangSong_GB2312" w:eastAsia="FangSong_GB2312" w:cs="FangSong_GB2312"/>
          <w:spacing w:val="-1"/>
          <w:sz w:val="24"/>
          <w:szCs w:val="24"/>
        </w:rPr>
        <w:t>）《国务院关于第一批清理规范</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1"/>
          <w:sz w:val="24"/>
          <w:szCs w:val="24"/>
        </w:rPr>
        <w:t xml:space="preserve">89 </w:t>
      </w:r>
      <w:r>
        <w:rPr>
          <w:rFonts w:ascii="FangSong_GB2312" w:hAnsi="FangSong_GB2312" w:eastAsia="FangSong_GB2312" w:cs="FangSong_GB2312"/>
          <w:spacing w:val="-1"/>
          <w:sz w:val="24"/>
          <w:szCs w:val="24"/>
        </w:rPr>
        <w:t>项国务院部门行政审批中介机构服务事项</w:t>
      </w:r>
      <w:r>
        <w:rPr>
          <w:rFonts w:ascii="FangSong_GB2312" w:hAnsi="FangSong_GB2312" w:eastAsia="FangSong_GB2312" w:cs="FangSong_GB2312"/>
          <w:spacing w:val="-4"/>
          <w:sz w:val="24"/>
          <w:szCs w:val="24"/>
        </w:rPr>
        <w:t>的决定》（国发〔</w:t>
      </w:r>
      <w:r>
        <w:rPr>
          <w:rFonts w:ascii="Times New Roman" w:hAnsi="Times New Roman" w:eastAsia="Times New Roman" w:cs="Times New Roman"/>
          <w:spacing w:val="-4"/>
          <w:sz w:val="24"/>
          <w:szCs w:val="24"/>
        </w:rPr>
        <w:t>2015</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58</w:t>
      </w:r>
      <w:r>
        <w:rPr>
          <w:rFonts w:ascii="Times New Roman" w:hAnsi="Times New Roman" w:eastAsia="Times New Roman" w:cs="Times New Roman"/>
          <w:spacing w:val="21"/>
          <w:sz w:val="24"/>
          <w:szCs w:val="24"/>
        </w:rPr>
        <w:t xml:space="preserve"> </w:t>
      </w:r>
      <w:r>
        <w:rPr>
          <w:rFonts w:ascii="FangSong_GB2312" w:hAnsi="FangSong_GB2312" w:eastAsia="FangSong_GB2312" w:cs="FangSong_GB2312"/>
          <w:spacing w:val="-4"/>
          <w:sz w:val="24"/>
          <w:szCs w:val="24"/>
        </w:rPr>
        <w:t>号</w:t>
      </w:r>
      <w:r>
        <w:rPr>
          <w:rFonts w:ascii="FangSong_GB2312" w:hAnsi="FangSong_GB2312" w:eastAsia="FangSong_GB2312" w:cs="FangSong_GB2312"/>
          <w:spacing w:val="6"/>
          <w:sz w:val="24"/>
          <w:szCs w:val="24"/>
        </w:rPr>
        <w:t>）；</w:t>
      </w:r>
    </w:p>
    <w:p w14:paraId="05F0793E">
      <w:pPr>
        <w:spacing w:before="189" w:line="287" w:lineRule="auto"/>
        <w:ind w:left="9" w:right="232" w:firstLine="475"/>
        <w:rPr>
          <w:rFonts w:ascii="FangSong_GB2312" w:hAnsi="FangSong_GB2312" w:eastAsia="FangSong_GB2312" w:cs="FangSong_GB2312"/>
          <w:sz w:val="24"/>
          <w:szCs w:val="24"/>
        </w:rPr>
      </w:pPr>
      <w:r>
        <w:rPr>
          <w:rFonts w:ascii="FangSong_GB2312" w:hAnsi="FangSong_GB2312" w:eastAsia="FangSong_GB2312" w:cs="FangSong_GB2312"/>
          <w:sz w:val="24"/>
          <w:szCs w:val="24"/>
        </w:rPr>
        <w:t>（</w:t>
      </w:r>
      <w:r>
        <w:rPr>
          <w:rFonts w:ascii="Times New Roman" w:hAnsi="Times New Roman" w:eastAsia="Times New Roman" w:cs="Times New Roman"/>
          <w:sz w:val="24"/>
          <w:szCs w:val="24"/>
        </w:rPr>
        <w:t>5</w:t>
      </w:r>
      <w:r>
        <w:rPr>
          <w:rFonts w:ascii="FangSong_GB2312" w:hAnsi="FangSong_GB2312" w:eastAsia="FangSong_GB2312" w:cs="FangSong_GB2312"/>
          <w:sz w:val="24"/>
          <w:szCs w:val="24"/>
        </w:rPr>
        <w:t>）《国家发展改革委关于进一步放开建设项目专业服务价格</w:t>
      </w:r>
      <w:r>
        <w:rPr>
          <w:rFonts w:ascii="FangSong_GB2312" w:hAnsi="FangSong_GB2312" w:eastAsia="FangSong_GB2312" w:cs="FangSong_GB2312"/>
          <w:spacing w:val="-1"/>
          <w:sz w:val="24"/>
          <w:szCs w:val="24"/>
        </w:rPr>
        <w:t>的通知》（国家</w:t>
      </w:r>
      <w:r>
        <w:rPr>
          <w:rFonts w:ascii="FangSong_GB2312" w:hAnsi="FangSong_GB2312" w:eastAsia="FangSong_GB2312" w:cs="FangSong_GB2312"/>
          <w:spacing w:val="-2"/>
          <w:sz w:val="24"/>
          <w:szCs w:val="24"/>
        </w:rPr>
        <w:t>发展和改革委员会，发改价格〔</w:t>
      </w:r>
      <w:r>
        <w:rPr>
          <w:rFonts w:ascii="Times New Roman" w:hAnsi="Times New Roman" w:eastAsia="Times New Roman" w:cs="Times New Roman"/>
          <w:spacing w:val="-2"/>
          <w:sz w:val="24"/>
          <w:szCs w:val="24"/>
        </w:rPr>
        <w:t>2015</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299</w:t>
      </w:r>
      <w:r>
        <w:rPr>
          <w:rFonts w:ascii="Times New Roman" w:hAnsi="Times New Roman" w:eastAsia="Times New Roman" w:cs="Times New Roman"/>
          <w:spacing w:val="21"/>
          <w:w w:val="101"/>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pacing w:val="7"/>
          <w:sz w:val="24"/>
          <w:szCs w:val="24"/>
        </w:rPr>
        <w:t>）；</w:t>
      </w:r>
    </w:p>
    <w:p w14:paraId="51D04826">
      <w:pPr>
        <w:spacing w:before="188" w:line="286" w:lineRule="auto"/>
        <w:ind w:left="9" w:right="115" w:firstLine="47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6</w:t>
      </w:r>
      <w:r>
        <w:rPr>
          <w:rFonts w:ascii="FangSong_GB2312" w:hAnsi="FangSong_GB2312" w:eastAsia="FangSong_GB2312" w:cs="FangSong_GB2312"/>
          <w:spacing w:val="-2"/>
          <w:sz w:val="24"/>
          <w:szCs w:val="24"/>
        </w:rPr>
        <w:t>）四川省水利厅关于印发《增值税率调整后</w:t>
      </w:r>
      <w:r>
        <w:rPr>
          <w:rFonts w:ascii="Times New Roman" w:hAnsi="Times New Roman" w:eastAsia="Times New Roman" w:cs="Times New Roman"/>
          <w:spacing w:val="-2"/>
          <w:sz w:val="24"/>
          <w:szCs w:val="24"/>
        </w:rPr>
        <w:t>&lt;</w:t>
      </w:r>
      <w:r>
        <w:rPr>
          <w:rFonts w:ascii="Times New Roman" w:hAnsi="Times New Roman" w:eastAsia="Times New Roman" w:cs="Times New Roman"/>
          <w:spacing w:val="-12"/>
          <w:sz w:val="24"/>
          <w:szCs w:val="24"/>
        </w:rPr>
        <w:t xml:space="preserve"> </w:t>
      </w:r>
      <w:r>
        <w:rPr>
          <w:rFonts w:ascii="FangSong_GB2312" w:hAnsi="FangSong_GB2312" w:eastAsia="FangSong_GB2312" w:cs="FangSong_GB2312"/>
          <w:spacing w:val="-2"/>
          <w:sz w:val="24"/>
          <w:szCs w:val="24"/>
        </w:rPr>
        <w:t>四川省水利水电工程概（估）算</w:t>
      </w:r>
      <w:r>
        <w:rPr>
          <w:rFonts w:ascii="FangSong_GB2312" w:hAnsi="FangSong_GB2312" w:eastAsia="FangSong_GB2312" w:cs="FangSong_GB2312"/>
          <w:spacing w:val="-1"/>
          <w:sz w:val="24"/>
          <w:szCs w:val="24"/>
        </w:rPr>
        <w:t>编制规定及定额</w:t>
      </w:r>
      <w:r>
        <w:rPr>
          <w:rFonts w:ascii="Times New Roman" w:hAnsi="Times New Roman" w:eastAsia="Times New Roman" w:cs="Times New Roman"/>
          <w:spacing w:val="-1"/>
          <w:sz w:val="24"/>
          <w:szCs w:val="24"/>
        </w:rPr>
        <w:t>&gt;</w:t>
      </w:r>
      <w:r>
        <w:rPr>
          <w:rFonts w:ascii="FangSong_GB2312" w:hAnsi="FangSong_GB2312" w:eastAsia="FangSong_GB2312" w:cs="FangSong_GB2312"/>
          <w:spacing w:val="-1"/>
          <w:sz w:val="24"/>
          <w:szCs w:val="24"/>
        </w:rPr>
        <w:t>相应调整办法》的通知（川水函〔</w:t>
      </w:r>
      <w:r>
        <w:rPr>
          <w:rFonts w:ascii="Times New Roman" w:hAnsi="Times New Roman" w:eastAsia="Times New Roman" w:cs="Times New Roman"/>
          <w:spacing w:val="-1"/>
          <w:sz w:val="24"/>
          <w:szCs w:val="24"/>
        </w:rPr>
        <w:t>2019</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610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1"/>
          <w:sz w:val="24"/>
          <w:szCs w:val="24"/>
        </w:rPr>
        <w:t>号）。</w:t>
      </w:r>
    </w:p>
    <w:p w14:paraId="0B92A61B">
      <w:pPr>
        <w:spacing w:before="160" w:line="229" w:lineRule="auto"/>
        <w:ind w:left="5384"/>
        <w:rPr>
          <w:rFonts w:ascii="FangSong_GB2312" w:hAnsi="FangSong_GB2312" w:eastAsia="FangSong_GB2312" w:cs="FangSong_GB2312"/>
          <w:sz w:val="20"/>
          <w:szCs w:val="20"/>
        </w:rPr>
      </w:pPr>
      <w:r>
        <w:pict>
          <v:shape id="_x0000_s1087" o:spid="_x0000_s1087" o:spt="202" type="#_x0000_t202" style="position:absolute;left:0pt;margin-left:216.6pt;margin-top:7.7pt;height:10.15pt;width:10.95pt;z-index:251761664;mso-width-relative:page;mso-height-relative:page;" filled="f" stroked="f" coordsize="21600,21600">
            <v:path/>
            <v:fill on="f" focussize="0,0"/>
            <v:stroke on="f"/>
            <v:imagedata o:title=""/>
            <o:lock v:ext="edit" aspectratio="f"/>
            <v:textbox inset="0mm,0mm,0mm,0mm">
              <w:txbxContent>
                <w:p w14:paraId="0BC98D22">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txbxContent>
            </v:textbox>
          </v:shape>
        </w:pict>
      </w:r>
      <w:r>
        <w:rPr>
          <w:rFonts w:ascii="FangSong_GB2312" w:hAnsi="FangSong_GB2312" w:eastAsia="FangSong_GB2312" w:cs="FangSong_GB2312"/>
          <w:spacing w:val="8"/>
          <w:sz w:val="20"/>
          <w:szCs w:val="20"/>
        </w:rPr>
        <w:t>剑阁县绿森林业勘察设计有限公司</w:t>
      </w:r>
    </w:p>
    <w:p w14:paraId="65C350E1">
      <w:pPr>
        <w:spacing w:line="229" w:lineRule="auto"/>
        <w:rPr>
          <w:rFonts w:ascii="FangSong_GB2312" w:hAnsi="FangSong_GB2312" w:eastAsia="FangSong_GB2312" w:cs="FangSong_GB2312"/>
          <w:sz w:val="20"/>
          <w:szCs w:val="20"/>
        </w:rPr>
        <w:sectPr>
          <w:headerReference r:id="rId63" w:type="default"/>
          <w:pgSz w:w="11906" w:h="16839"/>
          <w:pgMar w:top="1159" w:right="1399" w:bottom="400" w:left="1513" w:header="831" w:footer="0" w:gutter="0"/>
          <w:cols w:space="720" w:num="1"/>
        </w:sectPr>
      </w:pPr>
    </w:p>
    <w:p w14:paraId="758403FB">
      <w:pPr>
        <w:spacing w:before="201" w:line="360" w:lineRule="auto"/>
        <w:ind w:left="12" w:right="76" w:firstLine="472"/>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7</w:t>
      </w:r>
      <w:r>
        <w:rPr>
          <w:rFonts w:ascii="FangSong_GB2312" w:hAnsi="FangSong_GB2312" w:eastAsia="FangSong_GB2312" w:cs="FangSong_GB2312"/>
          <w:spacing w:val="3"/>
          <w:sz w:val="24"/>
          <w:szCs w:val="24"/>
        </w:rPr>
        <w:t>）《财政部关于水土保持补偿费等四项非税收入划转税务部门征收的通知》</w:t>
      </w:r>
      <w:r>
        <w:rPr>
          <w:rFonts w:ascii="FangSong_GB2312" w:hAnsi="FangSong_GB2312" w:eastAsia="FangSong_GB2312" w:cs="FangSong_GB2312"/>
          <w:spacing w:val="-3"/>
          <w:sz w:val="24"/>
          <w:szCs w:val="24"/>
        </w:rPr>
        <w:t>财税〔</w:t>
      </w:r>
      <w:r>
        <w:rPr>
          <w:rFonts w:ascii="Times New Roman" w:hAnsi="Times New Roman" w:eastAsia="Times New Roman" w:cs="Times New Roman"/>
          <w:spacing w:val="-3"/>
          <w:sz w:val="24"/>
          <w:szCs w:val="24"/>
        </w:rPr>
        <w:t>2020</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58</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号。</w:t>
      </w:r>
    </w:p>
    <w:p w14:paraId="5E458B7A">
      <w:pPr>
        <w:spacing w:before="4" w:line="214" w:lineRule="auto"/>
        <w:ind w:left="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7.1.2 </w:t>
      </w:r>
      <w:r>
        <w:rPr>
          <w:rFonts w:ascii="FangSong_GB2312" w:hAnsi="FangSong_GB2312" w:eastAsia="FangSong_GB2312" w:cs="FangSong_GB2312"/>
          <w:b/>
          <w:bCs/>
          <w:spacing w:val="-2"/>
          <w:sz w:val="28"/>
          <w:szCs w:val="28"/>
        </w:rPr>
        <w:t>编制说明与概算成果</w:t>
      </w:r>
    </w:p>
    <w:p w14:paraId="73E44F54">
      <w:pPr>
        <w:spacing w:before="214" w:line="214" w:lineRule="auto"/>
        <w:ind w:left="8"/>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7.1.2.1 </w:t>
      </w:r>
      <w:r>
        <w:rPr>
          <w:rFonts w:ascii="FangSong_GB2312" w:hAnsi="FangSong_GB2312" w:eastAsia="FangSong_GB2312" w:cs="FangSong_GB2312"/>
          <w:b/>
          <w:bCs/>
          <w:spacing w:val="-2"/>
          <w:sz w:val="24"/>
          <w:szCs w:val="24"/>
        </w:rPr>
        <w:t>编制说明</w:t>
      </w:r>
    </w:p>
    <w:p w14:paraId="5458C0C8">
      <w:pPr>
        <w:spacing w:before="189"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宋体" w:hAnsi="宋体" w:eastAsia="宋体" w:cs="宋体"/>
          <w:spacing w:val="-10"/>
          <w:sz w:val="24"/>
          <w:szCs w:val="24"/>
        </w:rPr>
        <w:t>、</w:t>
      </w:r>
      <w:r>
        <w:rPr>
          <w:rFonts w:ascii="FangSong_GB2312" w:hAnsi="FangSong_GB2312" w:eastAsia="FangSong_GB2312" w:cs="FangSong_GB2312"/>
          <w:spacing w:val="-10"/>
          <w:sz w:val="24"/>
          <w:szCs w:val="24"/>
        </w:rPr>
        <w:t>概算组成</w:t>
      </w:r>
    </w:p>
    <w:p w14:paraId="7F79987E">
      <w:pPr>
        <w:spacing w:before="188" w:line="359" w:lineRule="auto"/>
        <w:ind w:left="19" w:firstLine="473"/>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投资概算由工程措施费、植物措施费、监测措施费、施工临时工程费、</w:t>
      </w:r>
      <w:r>
        <w:rPr>
          <w:rFonts w:ascii="FangSong_GB2312" w:hAnsi="FangSong_GB2312" w:eastAsia="FangSong_GB2312" w:cs="FangSong_GB2312"/>
          <w:spacing w:val="-6"/>
          <w:sz w:val="24"/>
          <w:szCs w:val="24"/>
        </w:rPr>
        <w:t>独立费用、</w:t>
      </w:r>
      <w:r>
        <w:rPr>
          <w:rFonts w:ascii="FangSong_GB2312" w:hAnsi="FangSong_GB2312" w:eastAsia="FangSong_GB2312" w:cs="FangSong_GB2312"/>
          <w:spacing w:val="-2"/>
          <w:sz w:val="24"/>
          <w:szCs w:val="24"/>
        </w:rPr>
        <w:t>预备费、水土保持补偿费构成。</w:t>
      </w:r>
    </w:p>
    <w:p w14:paraId="1560DB6D">
      <w:pPr>
        <w:spacing w:before="1" w:line="215"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、基础单价</w:t>
      </w:r>
    </w:p>
    <w:p w14:paraId="48F45208">
      <w:pPr>
        <w:spacing w:before="187" w:line="286" w:lineRule="auto"/>
        <w:ind w:left="15" w:right="70" w:firstLine="46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）人工概算单价：人工单价与主体工程一致，按一般地区执行，采用</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2"/>
          <w:sz w:val="24"/>
          <w:szCs w:val="24"/>
        </w:rPr>
        <w:t>6.38</w:t>
      </w:r>
      <w:r>
        <w:rPr>
          <w:rFonts w:ascii="Times New Roman" w:hAnsi="Times New Roman" w:eastAsia="Times New Roman" w:cs="Times New Roman"/>
          <w:spacing w:val="17"/>
          <w:w w:val="101"/>
          <w:sz w:val="24"/>
          <w:szCs w:val="24"/>
        </w:rPr>
        <w:t xml:space="preserve"> </w:t>
      </w:r>
      <w:r>
        <w:rPr>
          <w:rFonts w:ascii="FangSong_GB2312" w:hAnsi="FangSong_GB2312" w:eastAsia="FangSong_GB2312" w:cs="FangSong_GB2312"/>
          <w:spacing w:val="-2"/>
          <w:sz w:val="24"/>
          <w:szCs w:val="24"/>
        </w:rPr>
        <w:t>元</w:t>
      </w:r>
      <w:r>
        <w:rPr>
          <w:rFonts w:ascii="Times New Roman" w:hAnsi="Times New Roman" w:eastAsia="Times New Roman" w:cs="Times New Roman"/>
          <w:spacing w:val="-2"/>
          <w:sz w:val="24"/>
          <w:szCs w:val="24"/>
        </w:rPr>
        <w:t>/</w:t>
      </w:r>
      <w:r>
        <w:rPr>
          <w:rFonts w:ascii="FangSong_GB2312" w:hAnsi="FangSong_GB2312" w:eastAsia="FangSong_GB2312" w:cs="FangSong_GB2312"/>
          <w:spacing w:val="-4"/>
          <w:sz w:val="24"/>
          <w:szCs w:val="24"/>
        </w:rPr>
        <w:t>工时计算。</w:t>
      </w:r>
    </w:p>
    <w:p w14:paraId="0200F5E1">
      <w:pPr>
        <w:spacing w:before="190" w:line="330" w:lineRule="auto"/>
        <w:ind w:left="17" w:right="70" w:firstLine="46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w:t>
      </w:r>
      <w:r>
        <w:rPr>
          <w:rFonts w:ascii="FangSong_GB2312" w:hAnsi="FangSong_GB2312" w:eastAsia="FangSong_GB2312" w:cs="FangSong_GB2312"/>
          <w:spacing w:val="3"/>
          <w:sz w:val="24"/>
          <w:szCs w:val="24"/>
        </w:rPr>
        <w:t>）材料概算价格：主要材料价格采用主体工程价格，参考四川省材料价格信息上报及发布系统公布的</w:t>
      </w:r>
      <w:r>
        <w:rPr>
          <w:rFonts w:ascii="Times New Roman" w:hAnsi="Times New Roman" w:eastAsia="Times New Roman" w:cs="Times New Roman"/>
          <w:spacing w:val="3"/>
          <w:sz w:val="24"/>
          <w:szCs w:val="24"/>
        </w:rPr>
        <w:t xml:space="preserve">2022 </w:t>
      </w:r>
      <w:r>
        <w:rPr>
          <w:rFonts w:ascii="FangSong_GB2312" w:hAnsi="FangSong_GB2312" w:eastAsia="FangSong_GB2312" w:cs="FangSong_GB2312"/>
          <w:spacing w:val="3"/>
          <w:sz w:val="24"/>
          <w:szCs w:val="24"/>
        </w:rPr>
        <w:t>年</w:t>
      </w:r>
      <w:r>
        <w:rPr>
          <w:rFonts w:ascii="FangSong_GB2312" w:hAnsi="FangSong_GB2312" w:eastAsia="FangSong_GB2312" w:cs="FangSong_GB2312"/>
          <w:spacing w:val="-27"/>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4"/>
          <w:w w:val="101"/>
          <w:sz w:val="24"/>
          <w:szCs w:val="24"/>
        </w:rPr>
        <w:t xml:space="preserve"> </w:t>
      </w:r>
      <w:r>
        <w:rPr>
          <w:rFonts w:ascii="FangSong_GB2312" w:hAnsi="FangSong_GB2312" w:eastAsia="FangSong_GB2312" w:cs="FangSong_GB2312"/>
          <w:spacing w:val="3"/>
          <w:sz w:val="24"/>
          <w:szCs w:val="24"/>
        </w:rPr>
        <w:t>月工程造价信</w:t>
      </w:r>
      <w:r>
        <w:rPr>
          <w:rFonts w:ascii="FangSong_GB2312" w:hAnsi="FangSong_GB2312" w:eastAsia="FangSong_GB2312" w:cs="FangSong_GB2312"/>
          <w:spacing w:val="2"/>
          <w:sz w:val="24"/>
          <w:szCs w:val="24"/>
        </w:rPr>
        <w:t>息，本方案建筑材料概算单价采用</w:t>
      </w:r>
      <w:r>
        <w:rPr>
          <w:rFonts w:ascii="FangSong_GB2312" w:hAnsi="FangSong_GB2312" w:eastAsia="FangSong_GB2312" w:cs="FangSong_GB2312"/>
          <w:spacing w:val="-1"/>
          <w:sz w:val="24"/>
          <w:szCs w:val="24"/>
        </w:rPr>
        <w:t>主体工程单价，植物措施单价采用当地苗圃价格。根据《水利工程设计概（估）算编制规定》及水利工程系列定额（水总〔</w:t>
      </w:r>
      <w:r>
        <w:rPr>
          <w:rFonts w:ascii="Times New Roman" w:hAnsi="Times New Roman" w:eastAsia="Times New Roman" w:cs="Times New Roman"/>
          <w:spacing w:val="-1"/>
          <w:sz w:val="24"/>
          <w:szCs w:val="24"/>
        </w:rPr>
        <w:t>2024</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323</w:t>
      </w:r>
      <w:r>
        <w:rPr>
          <w:rFonts w:ascii="Times New Roman" w:hAnsi="Times New Roman" w:eastAsia="Times New Roman" w:cs="Times New Roman"/>
          <w:spacing w:val="23"/>
          <w:w w:val="101"/>
          <w:sz w:val="24"/>
          <w:szCs w:val="24"/>
        </w:rPr>
        <w:t xml:space="preserve"> </w:t>
      </w:r>
      <w:r>
        <w:rPr>
          <w:rFonts w:ascii="FangSong_GB2312" w:hAnsi="FangSong_GB2312" w:eastAsia="FangSong_GB2312" w:cs="FangSong_GB2312"/>
          <w:spacing w:val="-1"/>
          <w:sz w:val="24"/>
          <w:szCs w:val="24"/>
        </w:rPr>
        <w:t>号</w:t>
      </w:r>
      <w:r>
        <w:rPr>
          <w:rFonts w:ascii="FangSong_GB2312" w:hAnsi="FangSong_GB2312" w:eastAsia="FangSong_GB2312" w:cs="FangSong_GB2312"/>
          <w:spacing w:val="27"/>
          <w:sz w:val="24"/>
          <w:szCs w:val="24"/>
        </w:rPr>
        <w:t>），</w:t>
      </w:r>
      <w:r>
        <w:rPr>
          <w:rFonts w:ascii="FangSong_GB2312" w:hAnsi="FangSong_GB2312" w:eastAsia="FangSong_GB2312" w:cs="FangSong_GB2312"/>
          <w:spacing w:val="-1"/>
          <w:sz w:val="24"/>
          <w:szCs w:val="24"/>
        </w:rPr>
        <w:t>同时结合项目建设情况，主</w:t>
      </w:r>
      <w:r>
        <w:rPr>
          <w:rFonts w:ascii="FangSong_GB2312" w:hAnsi="FangSong_GB2312" w:eastAsia="FangSong_GB2312" w:cs="FangSong_GB2312"/>
          <w:spacing w:val="-3"/>
          <w:sz w:val="24"/>
          <w:szCs w:val="24"/>
        </w:rPr>
        <w:t>要材料采购及保管费费率取</w:t>
      </w:r>
      <w:r>
        <w:rPr>
          <w:rFonts w:ascii="FangSong_GB2312" w:hAnsi="FangSong_GB2312" w:eastAsia="FangSong_GB2312" w:cs="FangSong_GB2312"/>
          <w:spacing w:val="-53"/>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3"/>
          <w:sz w:val="24"/>
          <w:szCs w:val="24"/>
        </w:rPr>
        <w:t>，苗木、草、种子采购及保管费费率取</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FangSong_GB2312" w:hAnsi="FangSong_GB2312" w:eastAsia="FangSong_GB2312" w:cs="FangSong_GB2312"/>
          <w:spacing w:val="-3"/>
          <w:sz w:val="24"/>
          <w:szCs w:val="24"/>
        </w:rPr>
        <w:t>。</w:t>
      </w:r>
    </w:p>
    <w:p w14:paraId="047594D7">
      <w:pPr>
        <w:spacing w:before="187" w:line="287" w:lineRule="auto"/>
        <w:ind w:left="32" w:right="73" w:firstLine="453"/>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3</w:t>
      </w:r>
      <w:r>
        <w:rPr>
          <w:rFonts w:ascii="FangSong_GB2312" w:hAnsi="FangSong_GB2312" w:eastAsia="FangSong_GB2312" w:cs="FangSong_GB2312"/>
          <w:spacing w:val="3"/>
          <w:sz w:val="24"/>
          <w:szCs w:val="24"/>
        </w:rPr>
        <w:t>）施工机械台时费：与主体工程一致，不足部分参照《水利工程施工机械台</w:t>
      </w:r>
      <w:r>
        <w:rPr>
          <w:rFonts w:ascii="FangSong_GB2312" w:hAnsi="FangSong_GB2312" w:eastAsia="FangSong_GB2312" w:cs="FangSong_GB2312"/>
          <w:spacing w:val="-6"/>
          <w:sz w:val="24"/>
          <w:szCs w:val="24"/>
        </w:rPr>
        <w:t>时费定额》。</w:t>
      </w:r>
    </w:p>
    <w:p w14:paraId="50856676">
      <w:pPr>
        <w:spacing w:before="188"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2"/>
          <w:sz w:val="24"/>
          <w:szCs w:val="24"/>
        </w:rPr>
        <w:t>、工程措施、植物措施、临时措施单价编制</w:t>
      </w:r>
    </w:p>
    <w:p w14:paraId="6553EB58">
      <w:pPr>
        <w:spacing w:before="190" w:line="359" w:lineRule="auto"/>
        <w:ind w:left="15" w:firstLine="474"/>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本工程工程措施单价、植物措施、临时措施单价由直接费、间接费、利润、税</w:t>
      </w:r>
      <w:r>
        <w:rPr>
          <w:rFonts w:ascii="FangSong_GB2312" w:hAnsi="FangSong_GB2312" w:eastAsia="FangSong_GB2312" w:cs="FangSong_GB2312"/>
          <w:spacing w:val="-6"/>
          <w:sz w:val="24"/>
          <w:szCs w:val="24"/>
        </w:rPr>
        <w:t>金、</w:t>
      </w:r>
      <w:r>
        <w:rPr>
          <w:rFonts w:ascii="FangSong_GB2312" w:hAnsi="FangSong_GB2312" w:eastAsia="FangSong_GB2312" w:cs="FangSong_GB2312"/>
          <w:spacing w:val="-3"/>
          <w:sz w:val="24"/>
          <w:szCs w:val="24"/>
        </w:rPr>
        <w:t>扩大系数组成。</w:t>
      </w:r>
    </w:p>
    <w:p w14:paraId="1E2A5B1E">
      <w:pPr>
        <w:spacing w:before="1" w:line="213"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）直接费</w:t>
      </w:r>
    </w:p>
    <w:p w14:paraId="513F2C0F">
      <w:pPr>
        <w:spacing w:before="190" w:line="214" w:lineRule="auto"/>
        <w:ind w:left="499"/>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直接费由基本直接费、其他直接费组成。</w:t>
      </w:r>
    </w:p>
    <w:p w14:paraId="2809E056">
      <w:pPr>
        <w:spacing w:before="187"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1</w:t>
      </w:r>
      <w:r>
        <w:rPr>
          <w:rFonts w:ascii="FangSong_GB2312" w:hAnsi="FangSong_GB2312" w:eastAsia="FangSong_GB2312" w:cs="FangSong_GB2312"/>
          <w:spacing w:val="-5"/>
          <w:sz w:val="24"/>
          <w:szCs w:val="24"/>
        </w:rPr>
        <w:t>）基本直接费</w:t>
      </w:r>
    </w:p>
    <w:p w14:paraId="7AECCDB7">
      <w:pPr>
        <w:spacing w:before="190" w:line="214" w:lineRule="auto"/>
        <w:ind w:left="48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包括人工费、材料费和施工机械使用费。</w:t>
      </w:r>
    </w:p>
    <w:p w14:paraId="0F0D6446">
      <w:pPr>
        <w:spacing w:before="144" w:line="323" w:lineRule="exact"/>
        <w:ind w:left="491"/>
        <w:rPr>
          <w:rFonts w:ascii="FangSong_GB2312" w:hAnsi="FangSong_GB2312" w:eastAsia="FangSong_GB2312" w:cs="FangSong_GB2312"/>
          <w:sz w:val="24"/>
          <w:szCs w:val="24"/>
        </w:rPr>
      </w:pPr>
      <w:r>
        <w:rPr>
          <w:rFonts w:ascii="FangSong_GB2312" w:hAnsi="FangSong_GB2312" w:eastAsia="FangSong_GB2312" w:cs="FangSong_GB2312"/>
          <w:spacing w:val="-1"/>
          <w:position w:val="1"/>
          <w:sz w:val="24"/>
          <w:szCs w:val="24"/>
        </w:rPr>
        <w:t>人工费</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定额劳动量（工时）</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人工预算单价（元</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工时）。</w:t>
      </w:r>
    </w:p>
    <w:p w14:paraId="31E94325">
      <w:pPr>
        <w:spacing w:before="143" w:line="322" w:lineRule="exact"/>
        <w:ind w:left="492"/>
        <w:rPr>
          <w:rFonts w:ascii="FangSong_GB2312" w:hAnsi="FangSong_GB2312" w:eastAsia="FangSong_GB2312" w:cs="FangSong_GB2312"/>
          <w:sz w:val="24"/>
          <w:szCs w:val="24"/>
        </w:rPr>
      </w:pPr>
      <w:r>
        <w:rPr>
          <w:rFonts w:ascii="FangSong_GB2312" w:hAnsi="FangSong_GB2312" w:eastAsia="FangSong_GB2312" w:cs="FangSong_GB2312"/>
          <w:spacing w:val="-1"/>
          <w:position w:val="1"/>
          <w:sz w:val="24"/>
          <w:szCs w:val="24"/>
        </w:rPr>
        <w:t>材料费</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定额材料用量</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材料概算单价。</w:t>
      </w:r>
    </w:p>
    <w:p w14:paraId="4126E7CE">
      <w:pPr>
        <w:spacing w:before="146" w:line="322" w:lineRule="exact"/>
        <w:ind w:left="487"/>
        <w:rPr>
          <w:rFonts w:ascii="FangSong_GB2312" w:hAnsi="FangSong_GB2312" w:eastAsia="FangSong_GB2312" w:cs="FangSong_GB2312"/>
          <w:sz w:val="24"/>
          <w:szCs w:val="24"/>
        </w:rPr>
      </w:pPr>
      <w:r>
        <w:rPr>
          <w:rFonts w:ascii="FangSong_GB2312" w:hAnsi="FangSong_GB2312" w:eastAsia="FangSong_GB2312" w:cs="FangSong_GB2312"/>
          <w:position w:val="1"/>
          <w:sz w:val="24"/>
          <w:szCs w:val="24"/>
        </w:rPr>
        <w:t>机械使用费</w:t>
      </w:r>
      <w:r>
        <w:rPr>
          <w:rFonts w:ascii="Times New Roman" w:hAnsi="Times New Roman" w:eastAsia="Times New Roman" w:cs="Times New Roman"/>
          <w:position w:val="1"/>
          <w:sz w:val="24"/>
          <w:szCs w:val="24"/>
        </w:rPr>
        <w:t>=</w:t>
      </w:r>
      <w:r>
        <w:rPr>
          <w:rFonts w:ascii="FangSong_GB2312" w:hAnsi="FangSong_GB2312" w:eastAsia="FangSong_GB2312" w:cs="FangSong_GB2312"/>
          <w:position w:val="1"/>
          <w:sz w:val="24"/>
          <w:szCs w:val="24"/>
        </w:rPr>
        <w:t>定额机械使用量（台时）</w:t>
      </w:r>
      <w:r>
        <w:rPr>
          <w:rFonts w:ascii="Times New Roman" w:hAnsi="Times New Roman" w:eastAsia="Times New Roman" w:cs="Times New Roman"/>
          <w:position w:val="1"/>
          <w:sz w:val="24"/>
          <w:szCs w:val="24"/>
        </w:rPr>
        <w:t>×</w:t>
      </w:r>
      <w:r>
        <w:rPr>
          <w:rFonts w:ascii="FangSong_GB2312" w:hAnsi="FangSong_GB2312" w:eastAsia="FangSong_GB2312" w:cs="FangSong_GB2312"/>
          <w:position w:val="1"/>
          <w:sz w:val="24"/>
          <w:szCs w:val="24"/>
        </w:rPr>
        <w:t>施工机械</w:t>
      </w:r>
      <w:r>
        <w:rPr>
          <w:rFonts w:ascii="FangSong_GB2312" w:hAnsi="FangSong_GB2312" w:eastAsia="FangSong_GB2312" w:cs="FangSong_GB2312"/>
          <w:spacing w:val="-1"/>
          <w:position w:val="1"/>
          <w:sz w:val="24"/>
          <w:szCs w:val="24"/>
        </w:rPr>
        <w:t>台时费（元</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台时）。</w:t>
      </w:r>
    </w:p>
    <w:p w14:paraId="50B42861">
      <w:pPr>
        <w:spacing w:before="189"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）其他直接费</w:t>
      </w:r>
    </w:p>
    <w:p w14:paraId="4EC223F9">
      <w:pPr>
        <w:spacing w:before="144" w:line="323" w:lineRule="exact"/>
        <w:ind w:left="489"/>
        <w:rPr>
          <w:rFonts w:ascii="FangSong_GB2312" w:hAnsi="FangSong_GB2312" w:eastAsia="FangSong_GB2312" w:cs="FangSong_GB2312"/>
          <w:sz w:val="24"/>
          <w:szCs w:val="24"/>
        </w:rPr>
      </w:pPr>
      <w:r>
        <w:rPr>
          <w:rFonts w:ascii="FangSong_GB2312" w:hAnsi="FangSong_GB2312" w:eastAsia="FangSong_GB2312" w:cs="FangSong_GB2312"/>
          <w:spacing w:val="-1"/>
          <w:position w:val="1"/>
          <w:sz w:val="24"/>
          <w:szCs w:val="24"/>
        </w:rPr>
        <w:t>其他直接费</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基本直接费</w:t>
      </w:r>
      <w:r>
        <w:rPr>
          <w:rFonts w:ascii="Times New Roman" w:hAnsi="Times New Roman" w:eastAsia="Times New Roman" w:cs="Times New Roman"/>
          <w:spacing w:val="-1"/>
          <w:position w:val="1"/>
          <w:sz w:val="24"/>
          <w:szCs w:val="24"/>
        </w:rPr>
        <w:t>×</w:t>
      </w:r>
      <w:r>
        <w:rPr>
          <w:rFonts w:ascii="FangSong_GB2312" w:hAnsi="FangSong_GB2312" w:eastAsia="FangSong_GB2312" w:cs="FangSong_GB2312"/>
          <w:spacing w:val="-1"/>
          <w:position w:val="1"/>
          <w:sz w:val="24"/>
          <w:szCs w:val="24"/>
        </w:rPr>
        <w:t>其他直接费率。</w:t>
      </w:r>
    </w:p>
    <w:p w14:paraId="5ED25A8F">
      <w:pPr>
        <w:spacing w:before="189"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）间接费</w:t>
      </w:r>
    </w:p>
    <w:p w14:paraId="649C52FB">
      <w:pPr>
        <w:pStyle w:val="2"/>
        <w:spacing w:line="280" w:lineRule="auto"/>
      </w:pPr>
    </w:p>
    <w:p w14:paraId="1DE6E216">
      <w:pPr>
        <w:spacing w:before="66" w:line="229" w:lineRule="auto"/>
        <w:ind w:left="5384"/>
        <w:rPr>
          <w:rFonts w:ascii="FangSong_GB2312" w:hAnsi="FangSong_GB2312" w:eastAsia="FangSong_GB2312" w:cs="FangSong_GB2312"/>
          <w:sz w:val="20"/>
          <w:szCs w:val="20"/>
        </w:rPr>
      </w:pPr>
      <w:r>
        <w:pict>
          <v:shape id="_x0000_s1088" o:spid="_x0000_s1088" o:spt="202" type="#_x0000_t202" style="position:absolute;left:0pt;margin-left:216.6pt;margin-top:3.05pt;height:10.15pt;width:10.95pt;z-index:251762688;mso-width-relative:page;mso-height-relative:page;" filled="f" stroked="f" coordsize="21600,21600">
            <v:path/>
            <v:fill on="f" focussize="0,0"/>
            <v:stroke on="f"/>
            <v:imagedata o:title=""/>
            <o:lock v:ext="edit" aspectratio="f"/>
            <v:textbox inset="0mm,0mm,0mm,0mm">
              <w:txbxContent>
                <w:p w14:paraId="351F1E9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txbxContent>
            </v:textbox>
          </v:shape>
        </w:pict>
      </w:r>
      <w:r>
        <w:rPr>
          <w:rFonts w:ascii="FangSong_GB2312" w:hAnsi="FangSong_GB2312" w:eastAsia="FangSong_GB2312" w:cs="FangSong_GB2312"/>
          <w:spacing w:val="8"/>
          <w:sz w:val="20"/>
          <w:szCs w:val="20"/>
        </w:rPr>
        <w:t>剑阁县绿森林业勘察设计有限公司</w:t>
      </w:r>
    </w:p>
    <w:p w14:paraId="4C322639">
      <w:pPr>
        <w:spacing w:line="229" w:lineRule="auto"/>
        <w:rPr>
          <w:rFonts w:ascii="FangSong_GB2312" w:hAnsi="FangSong_GB2312" w:eastAsia="FangSong_GB2312" w:cs="FangSong_GB2312"/>
          <w:sz w:val="20"/>
          <w:szCs w:val="20"/>
        </w:rPr>
        <w:sectPr>
          <w:headerReference r:id="rId64" w:type="default"/>
          <w:pgSz w:w="11906" w:h="16839"/>
          <w:pgMar w:top="1159" w:right="1443" w:bottom="400" w:left="1513" w:header="831" w:footer="0" w:gutter="0"/>
          <w:cols w:space="720" w:num="1"/>
        </w:sectPr>
      </w:pPr>
    </w:p>
    <w:p w14:paraId="30084DD4">
      <w:pPr>
        <w:spacing w:before="202"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由直接工程费</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间接费费率计算。</w:t>
      </w:r>
    </w:p>
    <w:p w14:paraId="50908347">
      <w:pPr>
        <w:spacing w:before="188" w:line="217"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w:t>
      </w:r>
      <w:r>
        <w:rPr>
          <w:rFonts w:ascii="FangSong_GB2312" w:hAnsi="FangSong_GB2312" w:eastAsia="FangSong_GB2312" w:cs="FangSong_GB2312"/>
          <w:spacing w:val="-1"/>
          <w:sz w:val="24"/>
          <w:szCs w:val="24"/>
        </w:rPr>
        <w:t>）企业利润</w:t>
      </w:r>
    </w:p>
    <w:p w14:paraId="499E281C">
      <w:pPr>
        <w:spacing w:before="185" w:line="214" w:lineRule="auto"/>
        <w:ind w:left="579"/>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按（直接工程费</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1"/>
          <w:sz w:val="24"/>
          <w:szCs w:val="24"/>
        </w:rPr>
        <w:t xml:space="preserve"> </w:t>
      </w:r>
      <w:r>
        <w:rPr>
          <w:rFonts w:ascii="FangSong_GB2312" w:hAnsi="FangSong_GB2312" w:eastAsia="FangSong_GB2312" w:cs="FangSong_GB2312"/>
          <w:spacing w:val="-3"/>
          <w:sz w:val="24"/>
          <w:szCs w:val="24"/>
        </w:rPr>
        <w:t>间接费）</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企业利润率计算。</w:t>
      </w:r>
    </w:p>
    <w:p w14:paraId="631A2490">
      <w:pPr>
        <w:spacing w:before="190" w:line="219"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4</w:t>
      </w:r>
      <w:r>
        <w:rPr>
          <w:rFonts w:ascii="FangSong_GB2312" w:hAnsi="FangSong_GB2312" w:eastAsia="FangSong_GB2312" w:cs="FangSong_GB2312"/>
          <w:spacing w:val="-1"/>
          <w:sz w:val="24"/>
          <w:szCs w:val="24"/>
        </w:rPr>
        <w:t>）税金</w:t>
      </w:r>
    </w:p>
    <w:p w14:paraId="1AFFF416">
      <w:pPr>
        <w:spacing w:before="180" w:line="359" w:lineRule="auto"/>
        <w:ind w:left="108" w:right="87" w:firstLine="47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按（直接工程费</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9"/>
          <w:sz w:val="24"/>
          <w:szCs w:val="24"/>
        </w:rPr>
        <w:t xml:space="preserve"> </w:t>
      </w:r>
      <w:r>
        <w:rPr>
          <w:rFonts w:ascii="FangSong_GB2312" w:hAnsi="FangSong_GB2312" w:eastAsia="FangSong_GB2312" w:cs="FangSong_GB2312"/>
          <w:spacing w:val="3"/>
          <w:sz w:val="24"/>
          <w:szCs w:val="24"/>
        </w:rPr>
        <w:t>间接费</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企业利润）</w:t>
      </w:r>
      <w:r>
        <w:rPr>
          <w:rFonts w:ascii="FangSong_GB2312" w:hAnsi="FangSong_GB2312" w:eastAsia="FangSong_GB2312" w:cs="FangSong_GB2312"/>
          <w:spacing w:val="-93"/>
          <w:sz w:val="24"/>
          <w:szCs w:val="24"/>
        </w:rPr>
        <w:t xml:space="preserve"> </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综合税率计算，根据川水函〔</w:t>
      </w:r>
      <w:r>
        <w:rPr>
          <w:rFonts w:ascii="Times New Roman" w:hAnsi="Times New Roman" w:eastAsia="Times New Roman" w:cs="Times New Roman"/>
          <w:spacing w:val="3"/>
          <w:sz w:val="24"/>
          <w:szCs w:val="24"/>
        </w:rPr>
        <w:t>201</w:t>
      </w:r>
      <w:r>
        <w:rPr>
          <w:rFonts w:ascii="Times New Roman" w:hAnsi="Times New Roman" w:eastAsia="Times New Roman" w:cs="Times New Roman"/>
          <w:spacing w:val="2"/>
          <w:sz w:val="24"/>
          <w:szCs w:val="24"/>
        </w:rPr>
        <w:t>9</w:t>
      </w:r>
      <w:r>
        <w:rPr>
          <w:rFonts w:ascii="FangSong_GB2312" w:hAnsi="FangSong_GB2312" w:eastAsia="FangSong_GB2312" w:cs="FangSong_GB2312"/>
          <w:spacing w:val="2"/>
          <w:sz w:val="24"/>
          <w:szCs w:val="24"/>
        </w:rPr>
        <w:t>〕</w:t>
      </w:r>
      <w:r>
        <w:rPr>
          <w:rFonts w:ascii="Times New Roman" w:hAnsi="Times New Roman" w:eastAsia="Times New Roman" w:cs="Times New Roman"/>
          <w:spacing w:val="2"/>
          <w:sz w:val="24"/>
          <w:szCs w:val="24"/>
        </w:rPr>
        <w:t>610</w:t>
      </w:r>
      <w:r>
        <w:rPr>
          <w:rFonts w:ascii="FangSong_GB2312" w:hAnsi="FangSong_GB2312" w:eastAsia="FangSong_GB2312" w:cs="FangSong_GB2312"/>
          <w:spacing w:val="-4"/>
          <w:sz w:val="24"/>
          <w:szCs w:val="24"/>
        </w:rPr>
        <w:t>号计取税金。</w:t>
      </w:r>
    </w:p>
    <w:p w14:paraId="29880EBA">
      <w:pPr>
        <w:spacing w:before="1" w:line="215"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5</w:t>
      </w:r>
      <w:r>
        <w:rPr>
          <w:rFonts w:ascii="FangSong_GB2312" w:hAnsi="FangSong_GB2312" w:eastAsia="FangSong_GB2312" w:cs="FangSong_GB2312"/>
          <w:spacing w:val="-1"/>
          <w:sz w:val="24"/>
          <w:szCs w:val="24"/>
        </w:rPr>
        <w:t>）扩大</w:t>
      </w:r>
    </w:p>
    <w:p w14:paraId="723F62E6">
      <w:pPr>
        <w:spacing w:before="187" w:line="359" w:lineRule="auto"/>
        <w:ind w:left="101" w:right="87" w:firstLine="71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按（直接工程费</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6"/>
          <w:sz w:val="24"/>
          <w:szCs w:val="24"/>
        </w:rPr>
        <w:t xml:space="preserve"> </w:t>
      </w:r>
      <w:r>
        <w:rPr>
          <w:rFonts w:ascii="FangSong_GB2312" w:hAnsi="FangSong_GB2312" w:eastAsia="FangSong_GB2312" w:cs="FangSong_GB2312"/>
          <w:spacing w:val="-3"/>
          <w:sz w:val="24"/>
          <w:szCs w:val="24"/>
        </w:rPr>
        <w:t>间接费</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企业利润</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税金）</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扩大系数计算，本方案为水土</w:t>
      </w:r>
      <w:r>
        <w:rPr>
          <w:rFonts w:ascii="FangSong_GB2312" w:hAnsi="FangSong_GB2312" w:eastAsia="FangSong_GB2312" w:cs="FangSong_GB2312"/>
          <w:spacing w:val="-4"/>
          <w:sz w:val="24"/>
          <w:szCs w:val="24"/>
        </w:rPr>
        <w:t>保持</w:t>
      </w:r>
      <w:r>
        <w:rPr>
          <w:rFonts w:ascii="FangSong_GB2312" w:hAnsi="FangSong_GB2312" w:eastAsia="FangSong_GB2312" w:cs="FangSong_GB2312"/>
          <w:spacing w:val="-2"/>
          <w:sz w:val="24"/>
          <w:szCs w:val="24"/>
        </w:rPr>
        <w:t>投资概算，无概算扩大。</w:t>
      </w:r>
    </w:p>
    <w:p w14:paraId="4CCB3439">
      <w:pPr>
        <w:spacing w:before="1" w:line="213"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6</w:t>
      </w:r>
      <w:r>
        <w:rPr>
          <w:rFonts w:ascii="FangSong_GB2312" w:hAnsi="FangSong_GB2312" w:eastAsia="FangSong_GB2312" w:cs="FangSong_GB2312"/>
          <w:spacing w:val="-1"/>
          <w:sz w:val="24"/>
          <w:szCs w:val="24"/>
        </w:rPr>
        <w:t>）措施单价</w:t>
      </w:r>
    </w:p>
    <w:p w14:paraId="295DCBE5">
      <w:pPr>
        <w:spacing w:before="144" w:line="323" w:lineRule="exact"/>
        <w:ind w:left="823"/>
        <w:rPr>
          <w:rFonts w:ascii="FangSong_GB2312" w:hAnsi="FangSong_GB2312" w:eastAsia="FangSong_GB2312" w:cs="FangSong_GB2312"/>
          <w:sz w:val="24"/>
          <w:szCs w:val="24"/>
        </w:rPr>
      </w:pPr>
      <w:r>
        <w:rPr>
          <w:rFonts w:ascii="FangSong_GB2312" w:hAnsi="FangSong_GB2312" w:eastAsia="FangSong_GB2312" w:cs="FangSong_GB2312"/>
          <w:spacing w:val="-2"/>
          <w:position w:val="1"/>
          <w:sz w:val="24"/>
          <w:szCs w:val="24"/>
        </w:rPr>
        <w:t>工程单价</w:t>
      </w:r>
      <w:r>
        <w:rPr>
          <w:rFonts w:ascii="Times New Roman" w:hAnsi="Times New Roman" w:eastAsia="Times New Roman" w:cs="Times New Roman"/>
          <w:spacing w:val="-2"/>
          <w:position w:val="1"/>
          <w:sz w:val="24"/>
          <w:szCs w:val="24"/>
        </w:rPr>
        <w:t>=</w:t>
      </w:r>
      <w:r>
        <w:rPr>
          <w:rFonts w:ascii="FangSong_GB2312" w:hAnsi="FangSong_GB2312" w:eastAsia="FangSong_GB2312" w:cs="FangSong_GB2312"/>
          <w:spacing w:val="-2"/>
          <w:position w:val="1"/>
          <w:sz w:val="24"/>
          <w:szCs w:val="24"/>
        </w:rPr>
        <w:t>直接工程费</w:t>
      </w:r>
      <w:r>
        <w:rPr>
          <w:rFonts w:ascii="Times New Roman" w:hAnsi="Times New Roman" w:eastAsia="Times New Roman" w:cs="Times New Roman"/>
          <w:spacing w:val="-2"/>
          <w:position w:val="1"/>
          <w:sz w:val="24"/>
          <w:szCs w:val="24"/>
        </w:rPr>
        <w:t>+</w:t>
      </w:r>
      <w:r>
        <w:rPr>
          <w:rFonts w:ascii="Times New Roman" w:hAnsi="Times New Roman" w:eastAsia="Times New Roman" w:cs="Times New Roman"/>
          <w:spacing w:val="-23"/>
          <w:position w:val="1"/>
          <w:sz w:val="24"/>
          <w:szCs w:val="24"/>
        </w:rPr>
        <w:t xml:space="preserve"> </w:t>
      </w:r>
      <w:r>
        <w:rPr>
          <w:rFonts w:ascii="FangSong_GB2312" w:hAnsi="FangSong_GB2312" w:eastAsia="FangSong_GB2312" w:cs="FangSong_GB2312"/>
          <w:spacing w:val="-2"/>
          <w:position w:val="1"/>
          <w:sz w:val="24"/>
          <w:szCs w:val="24"/>
        </w:rPr>
        <w:t>间接费</w:t>
      </w:r>
      <w:r>
        <w:rPr>
          <w:rFonts w:ascii="Times New Roman" w:hAnsi="Times New Roman" w:eastAsia="Times New Roman" w:cs="Times New Roman"/>
          <w:spacing w:val="-2"/>
          <w:position w:val="1"/>
          <w:sz w:val="24"/>
          <w:szCs w:val="24"/>
        </w:rPr>
        <w:t>+</w:t>
      </w:r>
      <w:r>
        <w:rPr>
          <w:rFonts w:ascii="FangSong_GB2312" w:hAnsi="FangSong_GB2312" w:eastAsia="FangSong_GB2312" w:cs="FangSong_GB2312"/>
          <w:spacing w:val="-2"/>
          <w:position w:val="1"/>
          <w:sz w:val="24"/>
          <w:szCs w:val="24"/>
        </w:rPr>
        <w:t>企业利润</w:t>
      </w:r>
      <w:r>
        <w:rPr>
          <w:rFonts w:ascii="Times New Roman" w:hAnsi="Times New Roman" w:eastAsia="Times New Roman" w:cs="Times New Roman"/>
          <w:spacing w:val="-2"/>
          <w:position w:val="1"/>
          <w:sz w:val="24"/>
          <w:szCs w:val="24"/>
        </w:rPr>
        <w:t>+</w:t>
      </w:r>
      <w:r>
        <w:rPr>
          <w:rFonts w:ascii="FangSong_GB2312" w:hAnsi="FangSong_GB2312" w:eastAsia="FangSong_GB2312" w:cs="FangSong_GB2312"/>
          <w:spacing w:val="-2"/>
          <w:position w:val="1"/>
          <w:sz w:val="24"/>
          <w:szCs w:val="24"/>
        </w:rPr>
        <w:t>税金</w:t>
      </w:r>
      <w:r>
        <w:rPr>
          <w:rFonts w:ascii="Times New Roman" w:hAnsi="Times New Roman" w:eastAsia="Times New Roman" w:cs="Times New Roman"/>
          <w:spacing w:val="-2"/>
          <w:position w:val="1"/>
          <w:sz w:val="24"/>
          <w:szCs w:val="24"/>
        </w:rPr>
        <w:t>+</w:t>
      </w:r>
      <w:r>
        <w:rPr>
          <w:rFonts w:ascii="FangSong_GB2312" w:hAnsi="FangSong_GB2312" w:eastAsia="FangSong_GB2312" w:cs="FangSong_GB2312"/>
          <w:spacing w:val="-2"/>
          <w:position w:val="1"/>
          <w:sz w:val="24"/>
          <w:szCs w:val="24"/>
        </w:rPr>
        <w:t>概算扩大。</w:t>
      </w:r>
    </w:p>
    <w:p w14:paraId="74690C3B">
      <w:pPr>
        <w:spacing w:before="189" w:line="214" w:lineRule="auto"/>
        <w:ind w:left="818"/>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其各项费率见表</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7.1-1</w:t>
      </w:r>
      <w:r>
        <w:rPr>
          <w:rFonts w:ascii="FangSong_GB2312" w:hAnsi="FangSong_GB2312" w:eastAsia="FangSong_GB2312" w:cs="FangSong_GB2312"/>
          <w:spacing w:val="-2"/>
          <w:sz w:val="24"/>
          <w:szCs w:val="24"/>
        </w:rPr>
        <w:t>：</w:t>
      </w:r>
    </w:p>
    <w:p w14:paraId="5F71B923">
      <w:pPr>
        <w:spacing w:before="185" w:line="221" w:lineRule="auto"/>
        <w:ind w:left="2708"/>
        <w:rPr>
          <w:rFonts w:ascii="FangSong_GB2312" w:hAnsi="FangSong_GB2312" w:eastAsia="FangSong_GB2312" w:cs="FangSong_GB2312"/>
          <w:sz w:val="20"/>
          <w:szCs w:val="20"/>
        </w:rPr>
      </w:pPr>
      <w:r>
        <w:rPr>
          <w:rFonts w:ascii="FangSong_GB2312" w:hAnsi="FangSong_GB2312" w:eastAsia="FangSong_GB2312" w:cs="FangSong_GB2312"/>
          <w:b/>
          <w:bCs/>
          <w:spacing w:val="6"/>
          <w:sz w:val="20"/>
          <w:szCs w:val="20"/>
        </w:rPr>
        <w:t>表</w:t>
      </w:r>
      <w:r>
        <w:rPr>
          <w:rFonts w:ascii="FangSong_GB2312" w:hAnsi="FangSong_GB2312" w:eastAsia="FangSong_GB2312" w:cs="FangSong_GB2312"/>
          <w:spacing w:val="-40"/>
          <w:sz w:val="20"/>
          <w:szCs w:val="20"/>
        </w:rPr>
        <w:t xml:space="preserve"> </w:t>
      </w:r>
      <w:r>
        <w:rPr>
          <w:rFonts w:ascii="Times New Roman" w:hAnsi="Times New Roman" w:eastAsia="Times New Roman" w:cs="Times New Roman"/>
          <w:b/>
          <w:bCs/>
          <w:spacing w:val="6"/>
          <w:sz w:val="20"/>
          <w:szCs w:val="20"/>
        </w:rPr>
        <w:t xml:space="preserve">7.1-1    </w:t>
      </w:r>
      <w:r>
        <w:rPr>
          <w:rFonts w:ascii="FangSong_GB2312" w:hAnsi="FangSong_GB2312" w:eastAsia="FangSong_GB2312" w:cs="FangSong_GB2312"/>
          <w:b/>
          <w:bCs/>
          <w:spacing w:val="6"/>
          <w:sz w:val="20"/>
          <w:szCs w:val="20"/>
        </w:rPr>
        <w:t>水保定额措施单价费</w:t>
      </w:r>
      <w:r>
        <w:rPr>
          <w:rFonts w:ascii="FangSong_GB2312" w:hAnsi="FangSong_GB2312" w:eastAsia="FangSong_GB2312" w:cs="FangSong_GB2312"/>
          <w:b/>
          <w:bCs/>
          <w:spacing w:val="5"/>
          <w:sz w:val="20"/>
          <w:szCs w:val="20"/>
        </w:rPr>
        <w:t>率取费表</w:t>
      </w:r>
    </w:p>
    <w:tbl>
      <w:tblPr>
        <w:tblStyle w:val="6"/>
        <w:tblW w:w="90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8"/>
        <w:gridCol w:w="1137"/>
        <w:gridCol w:w="838"/>
        <w:gridCol w:w="933"/>
        <w:gridCol w:w="1292"/>
        <w:gridCol w:w="1233"/>
        <w:gridCol w:w="1316"/>
        <w:gridCol w:w="981"/>
        <w:gridCol w:w="800"/>
      </w:tblGrid>
      <w:tr w14:paraId="43FD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8" w:type="dxa"/>
            <w:tcBorders>
              <w:top w:val="single" w:color="000000" w:sz="10" w:space="0"/>
              <w:left w:val="single" w:color="000000" w:sz="10" w:space="0"/>
            </w:tcBorders>
            <w:vAlign w:val="top"/>
          </w:tcPr>
          <w:p w14:paraId="2FCBA606">
            <w:pPr>
              <w:spacing w:before="83" w:line="216"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1137" w:type="dxa"/>
            <w:tcBorders>
              <w:top w:val="single" w:color="000000" w:sz="10" w:space="0"/>
            </w:tcBorders>
            <w:vAlign w:val="top"/>
          </w:tcPr>
          <w:p w14:paraId="141E3C1F">
            <w:pPr>
              <w:spacing w:before="83" w:line="214" w:lineRule="auto"/>
              <w:ind w:left="21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费率名称</w:t>
            </w:r>
          </w:p>
        </w:tc>
        <w:tc>
          <w:tcPr>
            <w:tcW w:w="838" w:type="dxa"/>
            <w:tcBorders>
              <w:top w:val="single" w:color="000000" w:sz="10" w:space="0"/>
            </w:tcBorders>
            <w:vAlign w:val="top"/>
          </w:tcPr>
          <w:p w14:paraId="219BDEC7">
            <w:pPr>
              <w:spacing w:before="84" w:line="219" w:lineRule="auto"/>
              <w:ind w:left="5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土方工程</w:t>
            </w:r>
          </w:p>
        </w:tc>
        <w:tc>
          <w:tcPr>
            <w:tcW w:w="933" w:type="dxa"/>
            <w:tcBorders>
              <w:top w:val="single" w:color="000000" w:sz="10" w:space="0"/>
            </w:tcBorders>
            <w:vAlign w:val="top"/>
          </w:tcPr>
          <w:p w14:paraId="52D48D27">
            <w:pPr>
              <w:spacing w:before="84" w:line="219" w:lineRule="auto"/>
              <w:ind w:left="11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石方工程</w:t>
            </w:r>
          </w:p>
        </w:tc>
        <w:tc>
          <w:tcPr>
            <w:tcW w:w="1292" w:type="dxa"/>
            <w:tcBorders>
              <w:top w:val="single" w:color="000000" w:sz="10" w:space="0"/>
            </w:tcBorders>
            <w:vAlign w:val="top"/>
          </w:tcPr>
          <w:p w14:paraId="7A0DC54D">
            <w:pPr>
              <w:spacing w:before="84" w:line="219" w:lineRule="auto"/>
              <w:ind w:left="20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混凝土工程</w:t>
            </w:r>
          </w:p>
        </w:tc>
        <w:tc>
          <w:tcPr>
            <w:tcW w:w="1233" w:type="dxa"/>
            <w:tcBorders>
              <w:top w:val="single" w:color="000000" w:sz="10" w:space="0"/>
            </w:tcBorders>
            <w:vAlign w:val="top"/>
          </w:tcPr>
          <w:p w14:paraId="7745E5AE">
            <w:pPr>
              <w:spacing w:before="83" w:line="214" w:lineRule="auto"/>
              <w:ind w:left="8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钢筋制安工程</w:t>
            </w:r>
          </w:p>
        </w:tc>
        <w:tc>
          <w:tcPr>
            <w:tcW w:w="1316" w:type="dxa"/>
            <w:tcBorders>
              <w:top w:val="single" w:color="000000" w:sz="10" w:space="0"/>
            </w:tcBorders>
            <w:vAlign w:val="top"/>
          </w:tcPr>
          <w:p w14:paraId="4180F2EE">
            <w:pPr>
              <w:spacing w:before="84" w:line="214" w:lineRule="auto"/>
              <w:ind w:left="12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基础处理工程</w:t>
            </w:r>
          </w:p>
        </w:tc>
        <w:tc>
          <w:tcPr>
            <w:tcW w:w="981" w:type="dxa"/>
            <w:tcBorders>
              <w:top w:val="single" w:color="000000" w:sz="10" w:space="0"/>
            </w:tcBorders>
            <w:vAlign w:val="top"/>
          </w:tcPr>
          <w:p w14:paraId="43C9E8C0">
            <w:pPr>
              <w:spacing w:before="83" w:line="216" w:lineRule="auto"/>
              <w:ind w:left="14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其他工程</w:t>
            </w:r>
          </w:p>
        </w:tc>
        <w:tc>
          <w:tcPr>
            <w:tcW w:w="800" w:type="dxa"/>
            <w:tcBorders>
              <w:top w:val="single" w:color="000000" w:sz="10" w:space="0"/>
              <w:right w:val="single" w:color="000000" w:sz="10" w:space="0"/>
            </w:tcBorders>
            <w:vAlign w:val="top"/>
          </w:tcPr>
          <w:p w14:paraId="2586E542">
            <w:pPr>
              <w:spacing w:before="83" w:line="214" w:lineRule="auto"/>
              <w:ind w:left="3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植物措施</w:t>
            </w:r>
          </w:p>
        </w:tc>
      </w:tr>
      <w:tr w14:paraId="1B0B3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498" w:type="dxa"/>
            <w:tcBorders>
              <w:left w:val="single" w:color="000000" w:sz="10" w:space="0"/>
            </w:tcBorders>
            <w:vAlign w:val="top"/>
          </w:tcPr>
          <w:p w14:paraId="01D181A7">
            <w:pPr>
              <w:spacing w:before="98" w:line="188" w:lineRule="auto"/>
              <w:ind w:left="21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37" w:type="dxa"/>
            <w:vAlign w:val="top"/>
          </w:tcPr>
          <w:p w14:paraId="383293E2">
            <w:pPr>
              <w:spacing w:before="67" w:line="214" w:lineRule="auto"/>
              <w:ind w:left="2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其他直接费率</w:t>
            </w:r>
          </w:p>
        </w:tc>
        <w:tc>
          <w:tcPr>
            <w:tcW w:w="838" w:type="dxa"/>
            <w:vAlign w:val="top"/>
          </w:tcPr>
          <w:p w14:paraId="736753BE">
            <w:pPr>
              <w:spacing w:before="98" w:line="188"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33" w:type="dxa"/>
            <w:vAlign w:val="top"/>
          </w:tcPr>
          <w:p w14:paraId="50CFD27D">
            <w:pPr>
              <w:spacing w:before="98" w:line="188" w:lineRule="auto"/>
              <w:ind w:left="41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92" w:type="dxa"/>
            <w:vAlign w:val="top"/>
          </w:tcPr>
          <w:p w14:paraId="14BF2F81">
            <w:pPr>
              <w:spacing w:before="98" w:line="188" w:lineRule="auto"/>
              <w:ind w:left="60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33" w:type="dxa"/>
            <w:vAlign w:val="top"/>
          </w:tcPr>
          <w:p w14:paraId="296278C3">
            <w:pPr>
              <w:spacing w:before="98" w:line="188" w:lineRule="auto"/>
              <w:ind w:left="57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316" w:type="dxa"/>
            <w:vAlign w:val="top"/>
          </w:tcPr>
          <w:p w14:paraId="1E1F25DF">
            <w:pPr>
              <w:spacing w:before="98" w:line="188" w:lineRule="auto"/>
              <w:ind w:left="61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981" w:type="dxa"/>
            <w:vAlign w:val="top"/>
          </w:tcPr>
          <w:p w14:paraId="7A4F642D">
            <w:pPr>
              <w:spacing w:before="98"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800" w:type="dxa"/>
            <w:tcBorders>
              <w:right w:val="single" w:color="000000" w:sz="10" w:space="0"/>
            </w:tcBorders>
            <w:vAlign w:val="top"/>
          </w:tcPr>
          <w:p w14:paraId="177E1768">
            <w:pPr>
              <w:spacing w:before="98" w:line="188" w:lineRule="auto"/>
              <w:ind w:left="372"/>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14:paraId="0719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8" w:type="dxa"/>
            <w:tcBorders>
              <w:left w:val="single" w:color="000000" w:sz="10" w:space="0"/>
            </w:tcBorders>
            <w:vAlign w:val="top"/>
          </w:tcPr>
          <w:p w14:paraId="2D8BF58F">
            <w:pPr>
              <w:spacing w:before="117" w:line="188" w:lineRule="auto"/>
              <w:ind w:left="194"/>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37" w:type="dxa"/>
            <w:vAlign w:val="top"/>
          </w:tcPr>
          <w:p w14:paraId="1C64FB05">
            <w:pPr>
              <w:spacing w:before="88" w:line="214" w:lineRule="auto"/>
              <w:ind w:left="223"/>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间接费率</w:t>
            </w:r>
          </w:p>
        </w:tc>
        <w:tc>
          <w:tcPr>
            <w:tcW w:w="838" w:type="dxa"/>
            <w:vAlign w:val="top"/>
          </w:tcPr>
          <w:p w14:paraId="04AC4154">
            <w:pPr>
              <w:spacing w:before="120" w:line="185" w:lineRule="auto"/>
              <w:ind w:left="37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933" w:type="dxa"/>
            <w:vAlign w:val="top"/>
          </w:tcPr>
          <w:p w14:paraId="161CCC1E">
            <w:pPr>
              <w:spacing w:before="117" w:line="188" w:lineRule="auto"/>
              <w:ind w:left="42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292" w:type="dxa"/>
            <w:vAlign w:val="top"/>
          </w:tcPr>
          <w:p w14:paraId="68398DFA">
            <w:pPr>
              <w:spacing w:before="120" w:line="185" w:lineRule="auto"/>
              <w:ind w:left="60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33" w:type="dxa"/>
            <w:vAlign w:val="top"/>
          </w:tcPr>
          <w:p w14:paraId="7BDF3A6C">
            <w:pPr>
              <w:spacing w:before="120" w:line="185"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316" w:type="dxa"/>
            <w:vAlign w:val="top"/>
          </w:tcPr>
          <w:p w14:paraId="53EEFCBD">
            <w:pPr>
              <w:spacing w:before="117" w:line="188" w:lineRule="auto"/>
              <w:ind w:left="59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981" w:type="dxa"/>
            <w:vAlign w:val="top"/>
          </w:tcPr>
          <w:p w14:paraId="48E1674F">
            <w:pPr>
              <w:spacing w:before="120" w:line="185" w:lineRule="auto"/>
              <w:ind w:left="45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00" w:type="dxa"/>
            <w:tcBorders>
              <w:right w:val="single" w:color="000000" w:sz="10" w:space="0"/>
            </w:tcBorders>
            <w:vAlign w:val="top"/>
          </w:tcPr>
          <w:p w14:paraId="364BEC99">
            <w:pPr>
              <w:spacing w:before="117" w:line="188" w:lineRule="auto"/>
              <w:ind w:left="35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r>
      <w:tr w14:paraId="52DFE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8" w:type="dxa"/>
            <w:tcBorders>
              <w:left w:val="single" w:color="000000" w:sz="10" w:space="0"/>
            </w:tcBorders>
            <w:vAlign w:val="top"/>
          </w:tcPr>
          <w:p w14:paraId="3DC48D4B">
            <w:pPr>
              <w:spacing w:before="121" w:line="188" w:lineRule="auto"/>
              <w:ind w:left="198"/>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37" w:type="dxa"/>
            <w:vAlign w:val="top"/>
          </w:tcPr>
          <w:p w14:paraId="3D78C2F6">
            <w:pPr>
              <w:spacing w:before="93" w:line="217" w:lineRule="auto"/>
              <w:ind w:left="20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企业利润</w:t>
            </w:r>
          </w:p>
        </w:tc>
        <w:tc>
          <w:tcPr>
            <w:tcW w:w="838" w:type="dxa"/>
            <w:vAlign w:val="top"/>
          </w:tcPr>
          <w:p w14:paraId="6F1C5689">
            <w:pPr>
              <w:spacing w:before="124" w:line="185" w:lineRule="auto"/>
              <w:ind w:left="37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933" w:type="dxa"/>
            <w:vAlign w:val="top"/>
          </w:tcPr>
          <w:p w14:paraId="7DB3A33F">
            <w:pPr>
              <w:spacing w:before="124" w:line="185" w:lineRule="auto"/>
              <w:ind w:left="42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92" w:type="dxa"/>
            <w:vAlign w:val="top"/>
          </w:tcPr>
          <w:p w14:paraId="57CF15F8">
            <w:pPr>
              <w:spacing w:before="124" w:line="185" w:lineRule="auto"/>
              <w:ind w:left="60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233" w:type="dxa"/>
            <w:vAlign w:val="top"/>
          </w:tcPr>
          <w:p w14:paraId="221AA694">
            <w:pPr>
              <w:spacing w:before="124" w:line="185"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316" w:type="dxa"/>
            <w:vAlign w:val="top"/>
          </w:tcPr>
          <w:p w14:paraId="153DD9E3">
            <w:pPr>
              <w:spacing w:before="124" w:line="185" w:lineRule="auto"/>
              <w:ind w:left="62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981" w:type="dxa"/>
            <w:vAlign w:val="top"/>
          </w:tcPr>
          <w:p w14:paraId="2BB36C29">
            <w:pPr>
              <w:spacing w:before="124" w:line="185" w:lineRule="auto"/>
              <w:ind w:left="45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800" w:type="dxa"/>
            <w:tcBorders>
              <w:right w:val="single" w:color="000000" w:sz="10" w:space="0"/>
            </w:tcBorders>
            <w:vAlign w:val="top"/>
          </w:tcPr>
          <w:p w14:paraId="49EB9E08">
            <w:pPr>
              <w:spacing w:before="124" w:line="185" w:lineRule="auto"/>
              <w:ind w:left="35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r>
      <w:tr w14:paraId="425B1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98" w:type="dxa"/>
            <w:tcBorders>
              <w:left w:val="single" w:color="000000" w:sz="10" w:space="0"/>
            </w:tcBorders>
            <w:vAlign w:val="top"/>
          </w:tcPr>
          <w:p w14:paraId="1123AC6A">
            <w:pPr>
              <w:spacing w:before="126" w:line="188" w:lineRule="auto"/>
              <w:ind w:left="19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37" w:type="dxa"/>
            <w:vAlign w:val="top"/>
          </w:tcPr>
          <w:p w14:paraId="7EB4B534">
            <w:pPr>
              <w:spacing w:before="97" w:line="214" w:lineRule="auto"/>
              <w:ind w:left="2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w:t>
            </w:r>
            <w:r>
              <w:rPr>
                <w:rFonts w:ascii="FangSong_GB2312" w:hAnsi="FangSong_GB2312" w:eastAsia="FangSong_GB2312" w:cs="FangSong_GB2312"/>
                <w:spacing w:val="6"/>
                <w:sz w:val="18"/>
                <w:szCs w:val="18"/>
              </w:rPr>
              <w:t xml:space="preserve">  </w:t>
            </w:r>
            <w:r>
              <w:rPr>
                <w:rFonts w:ascii="FangSong_GB2312" w:hAnsi="FangSong_GB2312" w:eastAsia="FangSong_GB2312" w:cs="FangSong_GB2312"/>
                <w:spacing w:val="-3"/>
                <w:sz w:val="18"/>
                <w:szCs w:val="18"/>
              </w:rPr>
              <w:t>率</w:t>
            </w:r>
          </w:p>
        </w:tc>
        <w:tc>
          <w:tcPr>
            <w:tcW w:w="838" w:type="dxa"/>
            <w:vAlign w:val="top"/>
          </w:tcPr>
          <w:p w14:paraId="2A6A98F3">
            <w:pPr>
              <w:spacing w:before="126" w:line="188" w:lineRule="auto"/>
              <w:ind w:left="37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933" w:type="dxa"/>
            <w:vAlign w:val="top"/>
          </w:tcPr>
          <w:p w14:paraId="7D0B5C4D">
            <w:pPr>
              <w:spacing w:before="126" w:line="188" w:lineRule="auto"/>
              <w:ind w:left="42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292" w:type="dxa"/>
            <w:vAlign w:val="top"/>
          </w:tcPr>
          <w:p w14:paraId="23462CB9">
            <w:pPr>
              <w:spacing w:before="126" w:line="188" w:lineRule="auto"/>
              <w:ind w:left="60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233" w:type="dxa"/>
            <w:vAlign w:val="top"/>
          </w:tcPr>
          <w:p w14:paraId="7B1F2858">
            <w:pPr>
              <w:spacing w:before="126" w:line="188"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316" w:type="dxa"/>
            <w:vAlign w:val="top"/>
          </w:tcPr>
          <w:p w14:paraId="7DECA6A6">
            <w:pPr>
              <w:spacing w:before="126" w:line="188" w:lineRule="auto"/>
              <w:ind w:left="62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981" w:type="dxa"/>
            <w:vAlign w:val="top"/>
          </w:tcPr>
          <w:p w14:paraId="5DA85C3C">
            <w:pPr>
              <w:spacing w:before="126" w:line="188" w:lineRule="auto"/>
              <w:ind w:left="45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800" w:type="dxa"/>
            <w:tcBorders>
              <w:right w:val="single" w:color="000000" w:sz="10" w:space="0"/>
            </w:tcBorders>
            <w:vAlign w:val="top"/>
          </w:tcPr>
          <w:p w14:paraId="5D8A4880">
            <w:pPr>
              <w:spacing w:before="126" w:line="188" w:lineRule="auto"/>
              <w:ind w:left="358"/>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r>
      <w:tr w14:paraId="65963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98" w:type="dxa"/>
            <w:tcBorders>
              <w:left w:val="single" w:color="000000" w:sz="10" w:space="0"/>
              <w:bottom w:val="single" w:color="000000" w:sz="10" w:space="0"/>
            </w:tcBorders>
            <w:vAlign w:val="top"/>
          </w:tcPr>
          <w:p w14:paraId="194AE934">
            <w:pPr>
              <w:spacing w:before="133" w:line="185" w:lineRule="auto"/>
              <w:ind w:left="199"/>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137" w:type="dxa"/>
            <w:tcBorders>
              <w:bottom w:val="single" w:color="000000" w:sz="10" w:space="0"/>
            </w:tcBorders>
            <w:vAlign w:val="top"/>
          </w:tcPr>
          <w:p w14:paraId="41464F8D">
            <w:pPr>
              <w:spacing w:before="99" w:line="214" w:lineRule="auto"/>
              <w:ind w:left="20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扩大系数</w:t>
            </w:r>
          </w:p>
        </w:tc>
        <w:tc>
          <w:tcPr>
            <w:tcW w:w="838" w:type="dxa"/>
            <w:tcBorders>
              <w:bottom w:val="single" w:color="000000" w:sz="10" w:space="0"/>
            </w:tcBorders>
            <w:vAlign w:val="top"/>
          </w:tcPr>
          <w:p w14:paraId="0195A868">
            <w:pPr>
              <w:spacing w:before="130" w:line="188" w:lineRule="auto"/>
              <w:ind w:left="37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933" w:type="dxa"/>
            <w:tcBorders>
              <w:bottom w:val="single" w:color="000000" w:sz="10" w:space="0"/>
            </w:tcBorders>
            <w:vAlign w:val="top"/>
          </w:tcPr>
          <w:p w14:paraId="63AD7543">
            <w:pPr>
              <w:spacing w:before="130" w:line="188" w:lineRule="auto"/>
              <w:ind w:left="42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292" w:type="dxa"/>
            <w:tcBorders>
              <w:bottom w:val="single" w:color="000000" w:sz="10" w:space="0"/>
            </w:tcBorders>
            <w:vAlign w:val="top"/>
          </w:tcPr>
          <w:p w14:paraId="2478AC49">
            <w:pPr>
              <w:spacing w:before="130" w:line="188" w:lineRule="auto"/>
              <w:ind w:left="603"/>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233" w:type="dxa"/>
            <w:tcBorders>
              <w:bottom w:val="single" w:color="000000" w:sz="10" w:space="0"/>
            </w:tcBorders>
            <w:vAlign w:val="top"/>
          </w:tcPr>
          <w:p w14:paraId="5D8CA940">
            <w:pPr>
              <w:spacing w:before="130" w:line="188" w:lineRule="auto"/>
              <w:ind w:left="578"/>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316" w:type="dxa"/>
            <w:tcBorders>
              <w:bottom w:val="single" w:color="000000" w:sz="10" w:space="0"/>
            </w:tcBorders>
            <w:vAlign w:val="top"/>
          </w:tcPr>
          <w:p w14:paraId="0595A3B1">
            <w:pPr>
              <w:spacing w:before="130" w:line="188" w:lineRule="auto"/>
              <w:ind w:left="622"/>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981" w:type="dxa"/>
            <w:tcBorders>
              <w:bottom w:val="single" w:color="000000" w:sz="10" w:space="0"/>
            </w:tcBorders>
            <w:vAlign w:val="top"/>
          </w:tcPr>
          <w:p w14:paraId="7A496C8E">
            <w:pPr>
              <w:spacing w:before="130" w:line="188" w:lineRule="auto"/>
              <w:ind w:left="458"/>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800" w:type="dxa"/>
            <w:tcBorders>
              <w:bottom w:val="single" w:color="000000" w:sz="10" w:space="0"/>
              <w:right w:val="single" w:color="000000" w:sz="10" w:space="0"/>
            </w:tcBorders>
            <w:vAlign w:val="top"/>
          </w:tcPr>
          <w:p w14:paraId="2FEAB121">
            <w:pPr>
              <w:spacing w:before="130" w:line="188" w:lineRule="auto"/>
              <w:ind w:left="35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14:paraId="78634E4F">
      <w:pPr>
        <w:spacing w:before="33" w:line="376" w:lineRule="auto"/>
        <w:ind w:left="105" w:right="88" w:firstLine="413"/>
        <w:rPr>
          <w:rFonts w:ascii="FangSong_GB2312" w:hAnsi="FangSong_GB2312" w:eastAsia="FangSong_GB2312" w:cs="FangSong_GB2312"/>
          <w:sz w:val="20"/>
          <w:szCs w:val="20"/>
        </w:rPr>
      </w:pPr>
      <w:r>
        <w:rPr>
          <w:rFonts w:ascii="FangSong_GB2312" w:hAnsi="FangSong_GB2312" w:eastAsia="FangSong_GB2312" w:cs="FangSong_GB2312"/>
          <w:b/>
          <w:bCs/>
          <w:spacing w:val="11"/>
          <w:sz w:val="20"/>
          <w:szCs w:val="20"/>
        </w:rPr>
        <w:t>备注：参照《水利工程设计概（估）算编制规定》及水利工程系列定额（水总〔</w:t>
      </w:r>
      <w:r>
        <w:rPr>
          <w:rFonts w:ascii="Times New Roman" w:hAnsi="Times New Roman" w:eastAsia="Times New Roman" w:cs="Times New Roman"/>
          <w:b/>
          <w:bCs/>
          <w:spacing w:val="11"/>
          <w:sz w:val="20"/>
          <w:szCs w:val="20"/>
        </w:rPr>
        <w:t>2024</w:t>
      </w:r>
      <w:r>
        <w:rPr>
          <w:rFonts w:ascii="FangSong_GB2312" w:hAnsi="FangSong_GB2312" w:eastAsia="FangSong_GB2312" w:cs="FangSong_GB2312"/>
          <w:b/>
          <w:bCs/>
          <w:spacing w:val="10"/>
          <w:sz w:val="20"/>
          <w:szCs w:val="20"/>
        </w:rPr>
        <w:t>〕</w:t>
      </w:r>
      <w:r>
        <w:rPr>
          <w:rFonts w:ascii="Times New Roman" w:hAnsi="Times New Roman" w:eastAsia="Times New Roman" w:cs="Times New Roman"/>
          <w:b/>
          <w:bCs/>
          <w:spacing w:val="10"/>
          <w:sz w:val="20"/>
          <w:szCs w:val="20"/>
        </w:rPr>
        <w:t>323</w:t>
      </w:r>
      <w:r>
        <w:rPr>
          <w:rFonts w:ascii="FangSong_GB2312" w:hAnsi="FangSong_GB2312" w:eastAsia="FangSong_GB2312" w:cs="FangSong_GB2312"/>
          <w:b/>
          <w:bCs/>
          <w:spacing w:val="6"/>
          <w:sz w:val="20"/>
          <w:szCs w:val="20"/>
        </w:rPr>
        <w:t>号</w:t>
      </w:r>
      <w:r>
        <w:rPr>
          <w:rFonts w:ascii="FangSong_GB2312" w:hAnsi="FangSong_GB2312" w:eastAsia="FangSong_GB2312" w:cs="FangSong_GB2312"/>
          <w:b/>
          <w:bCs/>
          <w:spacing w:val="20"/>
          <w:sz w:val="20"/>
          <w:szCs w:val="20"/>
        </w:rPr>
        <w:t>），</w:t>
      </w:r>
      <w:r>
        <w:rPr>
          <w:rFonts w:ascii="FangSong_GB2312" w:hAnsi="FangSong_GB2312" w:eastAsia="FangSong_GB2312" w:cs="FangSong_GB2312"/>
          <w:b/>
          <w:bCs/>
          <w:spacing w:val="6"/>
          <w:sz w:val="20"/>
          <w:szCs w:val="20"/>
        </w:rPr>
        <w:t>其他直接费费率主要参照主体工程执行</w:t>
      </w:r>
      <w:r>
        <w:rPr>
          <w:rFonts w:ascii="FangSong_GB2312" w:hAnsi="FangSong_GB2312" w:eastAsia="FangSong_GB2312" w:cs="FangSong_GB2312"/>
          <w:spacing w:val="6"/>
          <w:sz w:val="20"/>
          <w:szCs w:val="20"/>
        </w:rPr>
        <w:t>。</w:t>
      </w:r>
    </w:p>
    <w:p w14:paraId="65F0BD83">
      <w:pPr>
        <w:spacing w:before="6" w:line="214" w:lineRule="auto"/>
        <w:ind w:left="572"/>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5"/>
          <w:sz w:val="24"/>
          <w:szCs w:val="24"/>
        </w:rPr>
        <w:t>、投资概算编制</w:t>
      </w:r>
    </w:p>
    <w:p w14:paraId="4F1CCD15">
      <w:pPr>
        <w:spacing w:before="188" w:line="214"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1</w:t>
      </w:r>
      <w:r>
        <w:rPr>
          <w:rFonts w:ascii="FangSong_GB2312" w:hAnsi="FangSong_GB2312" w:eastAsia="FangSong_GB2312" w:cs="FangSong_GB2312"/>
          <w:spacing w:val="-1"/>
          <w:sz w:val="24"/>
          <w:szCs w:val="24"/>
        </w:rPr>
        <w:t>）工程措施费</w:t>
      </w:r>
    </w:p>
    <w:p w14:paraId="7A333CC2">
      <w:pPr>
        <w:spacing w:before="190" w:line="214" w:lineRule="auto"/>
        <w:ind w:left="57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按工程量乘以工程单价进行编制。</w:t>
      </w:r>
    </w:p>
    <w:p w14:paraId="6AA7CC28">
      <w:pPr>
        <w:spacing w:before="189" w:line="214"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）植物措施费</w:t>
      </w:r>
    </w:p>
    <w:p w14:paraId="24C2B00C">
      <w:pPr>
        <w:spacing w:before="184" w:line="359" w:lineRule="auto"/>
        <w:ind w:left="94" w:right="87" w:firstLine="51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由苗木、草、种子等材料费及种植费组成。植物措施材</w:t>
      </w:r>
      <w:r>
        <w:rPr>
          <w:rFonts w:ascii="FangSong_GB2312" w:hAnsi="FangSong_GB2312" w:eastAsia="FangSong_GB2312" w:cs="FangSong_GB2312"/>
          <w:spacing w:val="-2"/>
          <w:sz w:val="24"/>
          <w:szCs w:val="24"/>
        </w:rPr>
        <w:t>料费由苗木、草、种子的</w:t>
      </w:r>
      <w:r>
        <w:rPr>
          <w:rFonts w:ascii="FangSong_GB2312" w:hAnsi="FangSong_GB2312" w:eastAsia="FangSong_GB2312" w:cs="FangSong_GB2312"/>
          <w:sz w:val="24"/>
          <w:szCs w:val="24"/>
        </w:rPr>
        <w:t>概算价格乘以数量进行计算。栽（种）植费按树、草种设计量乘</w:t>
      </w:r>
      <w:r>
        <w:rPr>
          <w:rFonts w:ascii="FangSong_GB2312" w:hAnsi="FangSong_GB2312" w:eastAsia="FangSong_GB2312" w:cs="FangSong_GB2312"/>
          <w:spacing w:val="-1"/>
          <w:sz w:val="24"/>
          <w:szCs w:val="24"/>
        </w:rPr>
        <w:t>以相应种植工程单价</w:t>
      </w:r>
      <w:r>
        <w:rPr>
          <w:rFonts w:ascii="FangSong_GB2312" w:hAnsi="FangSong_GB2312" w:eastAsia="FangSong_GB2312" w:cs="FangSong_GB2312"/>
          <w:spacing w:val="-2"/>
          <w:sz w:val="24"/>
          <w:szCs w:val="24"/>
        </w:rPr>
        <w:t>进行计算。</w:t>
      </w:r>
    </w:p>
    <w:p w14:paraId="070A6EBA">
      <w:pPr>
        <w:spacing w:before="5" w:line="214"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w:t>
      </w:r>
      <w:r>
        <w:rPr>
          <w:rFonts w:ascii="FangSong_GB2312" w:hAnsi="FangSong_GB2312" w:eastAsia="FangSong_GB2312" w:cs="FangSong_GB2312"/>
          <w:spacing w:val="-1"/>
          <w:sz w:val="24"/>
          <w:szCs w:val="24"/>
        </w:rPr>
        <w:t>）监测措施费</w:t>
      </w:r>
    </w:p>
    <w:p w14:paraId="59C0C690">
      <w:pPr>
        <w:spacing w:before="188" w:line="214" w:lineRule="auto"/>
        <w:jc w:val="right"/>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项目编制水土保持方案为报告表，可不开展水土保持专项监</w:t>
      </w:r>
      <w:r>
        <w:rPr>
          <w:rFonts w:ascii="FangSong_GB2312" w:hAnsi="FangSong_GB2312" w:eastAsia="FangSong_GB2312" w:cs="FangSong_GB2312"/>
          <w:spacing w:val="-6"/>
          <w:sz w:val="24"/>
          <w:szCs w:val="24"/>
        </w:rPr>
        <w:t>测，暂不列此项费用。</w:t>
      </w:r>
    </w:p>
    <w:p w14:paraId="113BD7FB">
      <w:pPr>
        <w:spacing w:before="190" w:line="214" w:lineRule="auto"/>
        <w:ind w:left="57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4</w:t>
      </w:r>
      <w:r>
        <w:rPr>
          <w:rFonts w:ascii="FangSong_GB2312" w:hAnsi="FangSong_GB2312" w:eastAsia="FangSong_GB2312" w:cs="FangSong_GB2312"/>
          <w:spacing w:val="-1"/>
          <w:sz w:val="24"/>
          <w:szCs w:val="24"/>
        </w:rPr>
        <w:t>）施工临时工程费</w:t>
      </w:r>
    </w:p>
    <w:p w14:paraId="2E4C86DA">
      <w:pPr>
        <w:spacing w:before="187" w:line="214" w:lineRule="auto"/>
        <w:ind w:left="611"/>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由临时防护工程费和其他临时工程费组成，临时防护工</w:t>
      </w:r>
      <w:r>
        <w:rPr>
          <w:rFonts w:ascii="FangSong_GB2312" w:hAnsi="FangSong_GB2312" w:eastAsia="FangSong_GB2312" w:cs="FangSong_GB2312"/>
          <w:spacing w:val="-2"/>
          <w:sz w:val="24"/>
          <w:szCs w:val="24"/>
        </w:rPr>
        <w:t>程费按方案设计的工程量</w:t>
      </w:r>
    </w:p>
    <w:p w14:paraId="7DBCB923">
      <w:pPr>
        <w:pStyle w:val="2"/>
        <w:spacing w:line="421" w:lineRule="auto"/>
      </w:pPr>
    </w:p>
    <w:p w14:paraId="74336C9A">
      <w:pPr>
        <w:spacing w:before="66" w:line="229" w:lineRule="auto"/>
        <w:ind w:left="5473"/>
        <w:rPr>
          <w:rFonts w:ascii="FangSong_GB2312" w:hAnsi="FangSong_GB2312" w:eastAsia="FangSong_GB2312" w:cs="FangSong_GB2312"/>
          <w:sz w:val="20"/>
          <w:szCs w:val="20"/>
        </w:rPr>
      </w:pPr>
      <w:r>
        <w:pict>
          <v:shape id="_x0000_s1089" o:spid="_x0000_s1089" o:spt="202" type="#_x0000_t202" style="position:absolute;left:0pt;margin-left:221pt;margin-top:3pt;height:10.15pt;width:10.95pt;z-index:251763712;mso-width-relative:page;mso-height-relative:page;" filled="f" stroked="f" coordsize="21600,21600">
            <v:path/>
            <v:fill on="f" focussize="0,0"/>
            <v:stroke on="f"/>
            <v:imagedata o:title=""/>
            <o:lock v:ext="edit" aspectratio="f"/>
            <v:textbox inset="0mm,0mm,0mm,0mm">
              <w:txbxContent>
                <w:p w14:paraId="6E75E668">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txbxContent>
            </v:textbox>
          </v:shape>
        </w:pict>
      </w:r>
      <w:r>
        <w:rPr>
          <w:rFonts w:ascii="FangSong_GB2312" w:hAnsi="FangSong_GB2312" w:eastAsia="FangSong_GB2312" w:cs="FangSong_GB2312"/>
          <w:spacing w:val="8"/>
          <w:sz w:val="20"/>
          <w:szCs w:val="20"/>
        </w:rPr>
        <w:t>剑阁县绿森林业勘察设计有限公司</w:t>
      </w:r>
    </w:p>
    <w:p w14:paraId="5323F0F3">
      <w:pPr>
        <w:spacing w:line="229" w:lineRule="auto"/>
        <w:rPr>
          <w:rFonts w:ascii="FangSong_GB2312" w:hAnsi="FangSong_GB2312" w:eastAsia="FangSong_GB2312" w:cs="FangSong_GB2312"/>
          <w:sz w:val="20"/>
          <w:szCs w:val="20"/>
        </w:rPr>
        <w:sectPr>
          <w:headerReference r:id="rId65" w:type="default"/>
          <w:pgSz w:w="11906" w:h="16839"/>
          <w:pgMar w:top="1159" w:right="1426" w:bottom="400" w:left="1425" w:header="831" w:footer="0" w:gutter="0"/>
          <w:cols w:space="720" w:num="1"/>
        </w:sectPr>
      </w:pPr>
    </w:p>
    <w:p w14:paraId="3D4FDB14">
      <w:pPr>
        <w:spacing w:before="203" w:line="358" w:lineRule="auto"/>
        <w:ind w:left="27" w:hanging="14"/>
        <w:rPr>
          <w:rFonts w:ascii="FangSong_GB2312" w:hAnsi="FangSong_GB2312" w:eastAsia="FangSong_GB2312" w:cs="FangSong_GB2312"/>
          <w:sz w:val="24"/>
          <w:szCs w:val="24"/>
        </w:rPr>
      </w:pPr>
      <w:r>
        <w:rPr>
          <w:rFonts w:ascii="FangSong_GB2312" w:hAnsi="FangSong_GB2312" w:eastAsia="FangSong_GB2312" w:cs="FangSong_GB2312"/>
          <w:sz w:val="24"/>
          <w:szCs w:val="24"/>
        </w:rPr>
        <w:t>乘以工程单价计算，其他临时工程费按第一部</w:t>
      </w:r>
      <w:r>
        <w:rPr>
          <w:rFonts w:ascii="FangSong_GB2312" w:hAnsi="FangSong_GB2312" w:eastAsia="FangSong_GB2312" w:cs="FangSong_GB2312"/>
          <w:spacing w:val="-1"/>
          <w:sz w:val="24"/>
          <w:szCs w:val="24"/>
        </w:rPr>
        <w:t>分工程措施和第二部分植物措施投资的</w:t>
      </w:r>
      <w:r>
        <w:rPr>
          <w:rFonts w:ascii="Times New Roman" w:hAnsi="Times New Roman" w:eastAsia="Times New Roman" w:cs="Times New Roman"/>
          <w:spacing w:val="-2"/>
          <w:sz w:val="24"/>
          <w:szCs w:val="24"/>
        </w:rPr>
        <w:t>1.0%~2.0%</w:t>
      </w:r>
      <w:r>
        <w:rPr>
          <w:rFonts w:ascii="FangSong_GB2312" w:hAnsi="FangSong_GB2312" w:eastAsia="FangSong_GB2312" w:cs="FangSong_GB2312"/>
          <w:spacing w:val="-2"/>
          <w:sz w:val="24"/>
          <w:szCs w:val="24"/>
        </w:rPr>
        <w:t xml:space="preserve">编制，本工程取 </w:t>
      </w:r>
      <w:r>
        <w:rPr>
          <w:rFonts w:ascii="Times New Roman" w:hAnsi="Times New Roman" w:eastAsia="Times New Roman" w:cs="Times New Roman"/>
          <w:spacing w:val="-2"/>
          <w:sz w:val="24"/>
          <w:szCs w:val="24"/>
        </w:rPr>
        <w:t>2.0%</w:t>
      </w:r>
      <w:r>
        <w:rPr>
          <w:rFonts w:ascii="FangSong_GB2312" w:hAnsi="FangSong_GB2312" w:eastAsia="FangSong_GB2312" w:cs="FangSong_GB2312"/>
          <w:spacing w:val="-2"/>
          <w:sz w:val="24"/>
          <w:szCs w:val="24"/>
        </w:rPr>
        <w:t>。</w:t>
      </w:r>
    </w:p>
    <w:p w14:paraId="3CCF4570">
      <w:pPr>
        <w:spacing w:before="1" w:line="214" w:lineRule="auto"/>
        <w:ind w:left="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5</w:t>
      </w:r>
      <w:r>
        <w:rPr>
          <w:rFonts w:ascii="FangSong_GB2312" w:hAnsi="FangSong_GB2312" w:eastAsia="FangSong_GB2312" w:cs="FangSong_GB2312"/>
          <w:spacing w:val="-1"/>
          <w:sz w:val="24"/>
          <w:szCs w:val="24"/>
        </w:rPr>
        <w:t>）独立费用</w:t>
      </w:r>
    </w:p>
    <w:p w14:paraId="72714C41">
      <w:pPr>
        <w:spacing w:before="268" w:line="360" w:lineRule="auto"/>
        <w:ind w:left="49" w:right="67" w:firstLine="524"/>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独立费用包括建设管理费、科研勘测设计费、水土保持监理费等，各项费用按</w:t>
      </w:r>
      <w:r>
        <w:rPr>
          <w:rFonts w:ascii="FangSong_GB2312" w:hAnsi="FangSong_GB2312" w:eastAsia="FangSong_GB2312" w:cs="FangSong_GB2312"/>
          <w:spacing w:val="-2"/>
          <w:sz w:val="24"/>
          <w:szCs w:val="24"/>
        </w:rPr>
        <w:t>照国家和水土保持相关规定计列。</w:t>
      </w:r>
    </w:p>
    <w:p w14:paraId="0E1F4B29">
      <w:pPr>
        <w:spacing w:before="116" w:line="214"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1</w:t>
      </w:r>
      <w:r>
        <w:rPr>
          <w:rFonts w:ascii="FangSong_GB2312" w:hAnsi="FangSong_GB2312" w:eastAsia="FangSong_GB2312" w:cs="FangSong_GB2312"/>
          <w:spacing w:val="-5"/>
          <w:sz w:val="24"/>
          <w:szCs w:val="24"/>
        </w:rPr>
        <w:t>）建设管理费</w:t>
      </w:r>
    </w:p>
    <w:p w14:paraId="5CB7F255">
      <w:pPr>
        <w:spacing w:before="188" w:line="359" w:lineRule="auto"/>
        <w:ind w:left="4" w:firstLine="483"/>
        <w:rPr>
          <w:rFonts w:ascii="FangSong_GB2312" w:hAnsi="FangSong_GB2312" w:eastAsia="FangSong_GB2312" w:cs="FangSong_GB2312"/>
          <w:sz w:val="24"/>
          <w:szCs w:val="24"/>
        </w:rPr>
      </w:pPr>
      <w:r>
        <w:rPr>
          <w:rFonts w:ascii="FangSong_GB2312" w:hAnsi="FangSong_GB2312" w:eastAsia="FangSong_GB2312" w:cs="FangSong_GB2312"/>
          <w:sz w:val="24"/>
          <w:szCs w:val="24"/>
        </w:rPr>
        <w:t>建设管理费指建设单位在工程项目的立项、筹建、建设</w:t>
      </w:r>
      <w:r>
        <w:rPr>
          <w:rFonts w:ascii="FangSong_GB2312" w:hAnsi="FangSong_GB2312" w:eastAsia="FangSong_GB2312" w:cs="FangSong_GB2312"/>
          <w:spacing w:val="-1"/>
          <w:sz w:val="24"/>
          <w:szCs w:val="24"/>
        </w:rPr>
        <w:t>、竣工验收、总结等工作</w:t>
      </w:r>
      <w:r>
        <w:rPr>
          <w:rFonts w:ascii="FangSong_GB2312" w:hAnsi="FangSong_GB2312" w:eastAsia="FangSong_GB2312" w:cs="FangSong_GB2312"/>
          <w:sz w:val="24"/>
          <w:szCs w:val="24"/>
        </w:rPr>
        <w:t>中所发生的管理费用。主要包括建设管理人员费、办公费、差旅交</w:t>
      </w:r>
      <w:r>
        <w:rPr>
          <w:rFonts w:ascii="FangSong_GB2312" w:hAnsi="FangSong_GB2312" w:eastAsia="FangSong_GB2312" w:cs="FangSong_GB2312"/>
          <w:spacing w:val="-1"/>
          <w:sz w:val="24"/>
          <w:szCs w:val="24"/>
        </w:rPr>
        <w:t>通费、会议费、宣</w:t>
      </w:r>
      <w:r>
        <w:rPr>
          <w:rFonts w:ascii="FangSong_GB2312" w:hAnsi="FangSong_GB2312" w:eastAsia="FangSong_GB2312" w:cs="FangSong_GB2312"/>
          <w:sz w:val="24"/>
          <w:szCs w:val="24"/>
        </w:rPr>
        <w:t>传费，以及审查论证、技术推广、人员培训、检查评估、竣工验收</w:t>
      </w:r>
      <w:r>
        <w:rPr>
          <w:rFonts w:ascii="FangSong_GB2312" w:hAnsi="FangSong_GB2312" w:eastAsia="FangSong_GB2312" w:cs="FangSong_GB2312"/>
          <w:spacing w:val="-1"/>
          <w:sz w:val="24"/>
          <w:szCs w:val="24"/>
        </w:rPr>
        <w:t>等费用。按工程措</w:t>
      </w:r>
      <w:r>
        <w:rPr>
          <w:rFonts w:ascii="FangSong_GB2312" w:hAnsi="FangSong_GB2312" w:eastAsia="FangSong_GB2312" w:cs="FangSong_GB2312"/>
          <w:spacing w:val="2"/>
          <w:sz w:val="24"/>
          <w:szCs w:val="24"/>
        </w:rPr>
        <w:t>施、植物措施、监测措施和临时措施费用之和</w:t>
      </w:r>
      <w:r>
        <w:rPr>
          <w:rFonts w:ascii="FangSong_GB2312" w:hAnsi="FangSong_GB2312" w:eastAsia="FangSong_GB2312" w:cs="FangSong_GB2312"/>
          <w:spacing w:val="1"/>
          <w:sz w:val="24"/>
          <w:szCs w:val="24"/>
        </w:rPr>
        <w:t>的</w:t>
      </w: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计列，共计</w:t>
      </w:r>
      <w:r>
        <w:rPr>
          <w:rFonts w:ascii="FangSong_GB2312" w:hAnsi="FangSong_GB2312" w:eastAsia="FangSong_GB2312" w:cs="FangSong_GB2312"/>
          <w:spacing w:val="-49"/>
          <w:sz w:val="24"/>
          <w:szCs w:val="24"/>
        </w:rPr>
        <w:t xml:space="preserve"> </w:t>
      </w:r>
      <w:r>
        <w:rPr>
          <w:rFonts w:ascii="Times New Roman" w:hAnsi="Times New Roman" w:eastAsia="Times New Roman" w:cs="Times New Roman"/>
          <w:spacing w:val="1"/>
          <w:sz w:val="24"/>
          <w:szCs w:val="24"/>
        </w:rPr>
        <w:t>0.07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1"/>
          <w:sz w:val="24"/>
          <w:szCs w:val="24"/>
        </w:rPr>
        <w:t>万元。本项目建</w:t>
      </w:r>
      <w:r>
        <w:rPr>
          <w:rFonts w:ascii="FangSong_GB2312" w:hAnsi="FangSong_GB2312" w:eastAsia="FangSong_GB2312" w:cs="FangSong_GB2312"/>
          <w:sz w:val="24"/>
          <w:szCs w:val="24"/>
        </w:rPr>
        <w:t>设管理费分为项目经常费和技术咨询费，其中项目经常费主要为水</w:t>
      </w:r>
      <w:r>
        <w:rPr>
          <w:rFonts w:ascii="FangSong_GB2312" w:hAnsi="FangSong_GB2312" w:eastAsia="FangSong_GB2312" w:cs="FangSong_GB2312"/>
          <w:spacing w:val="-1"/>
          <w:sz w:val="24"/>
          <w:szCs w:val="24"/>
        </w:rPr>
        <w:t>土保持设施验收费</w:t>
      </w:r>
      <w:r>
        <w:rPr>
          <w:rFonts w:ascii="Times New Roman" w:hAnsi="Times New Roman" w:eastAsia="Times New Roman" w:cs="Times New Roman"/>
          <w:spacing w:val="-4"/>
          <w:sz w:val="24"/>
          <w:szCs w:val="24"/>
        </w:rPr>
        <w:t>0.05</w:t>
      </w:r>
      <w:r>
        <w:rPr>
          <w:rFonts w:ascii="Times New Roman" w:hAnsi="Times New Roman" w:eastAsia="Times New Roman" w:cs="Times New Roman"/>
          <w:spacing w:val="39"/>
          <w:w w:val="101"/>
          <w:sz w:val="24"/>
          <w:szCs w:val="24"/>
        </w:rPr>
        <w:t xml:space="preserve"> </w:t>
      </w:r>
      <w:r>
        <w:rPr>
          <w:rFonts w:ascii="FangSong_GB2312" w:hAnsi="FangSong_GB2312" w:eastAsia="FangSong_GB2312" w:cs="FangSong_GB2312"/>
          <w:spacing w:val="-4"/>
          <w:sz w:val="24"/>
          <w:szCs w:val="24"/>
        </w:rPr>
        <w:t>万元，技术咨询费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4"/>
          <w:sz w:val="24"/>
          <w:szCs w:val="24"/>
        </w:rPr>
        <w:t>0.02</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4"/>
          <w:sz w:val="24"/>
          <w:szCs w:val="24"/>
        </w:rPr>
        <w:t>万元。</w:t>
      </w:r>
    </w:p>
    <w:p w14:paraId="75960C4A">
      <w:pPr>
        <w:spacing w:before="1" w:line="214"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2</w:t>
      </w:r>
      <w:r>
        <w:rPr>
          <w:rFonts w:ascii="FangSong_GB2312" w:hAnsi="FangSong_GB2312" w:eastAsia="FangSong_GB2312" w:cs="FangSong_GB2312"/>
          <w:spacing w:val="-1"/>
          <w:sz w:val="24"/>
          <w:szCs w:val="24"/>
        </w:rPr>
        <w:t>）科研勘测设计费</w:t>
      </w:r>
    </w:p>
    <w:p w14:paraId="1253BF31">
      <w:pPr>
        <w:spacing w:before="190" w:line="214" w:lineRule="auto"/>
        <w:ind w:left="48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包括工程科学研究试验费、工程勘测设计费。</w:t>
      </w:r>
    </w:p>
    <w:p w14:paraId="05A0DC54">
      <w:pPr>
        <w:spacing w:before="186" w:line="359" w:lineRule="auto"/>
        <w:ind w:left="9" w:firstLine="485"/>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工程科学研究试验费指为保障水土保持工程质量，解决工程建设技术问题，而进</w:t>
      </w:r>
      <w:r>
        <w:rPr>
          <w:rFonts w:ascii="FangSong_GB2312" w:hAnsi="FangSong_GB2312" w:eastAsia="FangSong_GB2312" w:cs="FangSong_GB2312"/>
          <w:sz w:val="24"/>
          <w:szCs w:val="24"/>
        </w:rPr>
        <w:t>行必要的科学研究试验所需的费用。遇大型、特殊工程</w:t>
      </w:r>
      <w:r>
        <w:rPr>
          <w:rFonts w:ascii="FangSong_GB2312" w:hAnsi="FangSong_GB2312" w:eastAsia="FangSong_GB2312" w:cs="FangSong_GB2312"/>
          <w:spacing w:val="-1"/>
          <w:sz w:val="24"/>
          <w:szCs w:val="24"/>
        </w:rPr>
        <w:t>，经论证确需开展有关科学研</w:t>
      </w:r>
      <w:r>
        <w:rPr>
          <w:rFonts w:ascii="FangSong_GB2312" w:hAnsi="FangSong_GB2312" w:eastAsia="FangSong_GB2312" w:cs="FangSong_GB2312"/>
          <w:spacing w:val="-3"/>
          <w:sz w:val="24"/>
          <w:szCs w:val="24"/>
        </w:rPr>
        <w:t>究试验的可列此项费用，一般按一至四部分投资合计的</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3"/>
          <w:sz w:val="24"/>
          <w:szCs w:val="24"/>
        </w:rPr>
        <w:t>0.2%</w:t>
      </w:r>
      <w:r>
        <w:rPr>
          <w:rFonts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0.5%</w:t>
      </w:r>
      <w:r>
        <w:rPr>
          <w:rFonts w:ascii="FangSong_GB2312" w:hAnsi="FangSong_GB2312" w:eastAsia="FangSong_GB2312" w:cs="FangSong_GB2312"/>
          <w:spacing w:val="-3"/>
          <w:sz w:val="24"/>
          <w:szCs w:val="24"/>
        </w:rPr>
        <w:t>计列，也可根据工</w:t>
      </w:r>
      <w:r>
        <w:rPr>
          <w:rFonts w:ascii="FangSong_GB2312" w:hAnsi="FangSong_GB2312" w:eastAsia="FangSong_GB2312" w:cs="FangSong_GB2312"/>
          <w:spacing w:val="-1"/>
          <w:sz w:val="24"/>
          <w:szCs w:val="24"/>
        </w:rPr>
        <w:t>程实际需求经方案论证后计列。本项目不列此项费用。</w:t>
      </w:r>
    </w:p>
    <w:p w14:paraId="237FDAE0">
      <w:pPr>
        <w:spacing w:before="8" w:line="358" w:lineRule="auto"/>
        <w:ind w:left="9" w:firstLine="486"/>
        <w:jc w:val="both"/>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工程勘测设计费指工程从项目建议书</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或可行性研究</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阶</w:t>
      </w:r>
      <w:r>
        <w:rPr>
          <w:rFonts w:ascii="FangSong_GB2312" w:hAnsi="FangSong_GB2312" w:eastAsia="FangSong_GB2312" w:cs="FangSong_GB2312"/>
          <w:spacing w:val="1"/>
          <w:sz w:val="24"/>
          <w:szCs w:val="24"/>
        </w:rPr>
        <w:t>段开始至以后各设计阶段</w:t>
      </w:r>
      <w:r>
        <w:rPr>
          <w:rFonts w:ascii="FangSong_GB2312" w:hAnsi="FangSong_GB2312" w:eastAsia="FangSong_GB2312" w:cs="FangSong_GB2312"/>
          <w:sz w:val="24"/>
          <w:szCs w:val="24"/>
        </w:rPr>
        <w:t>发生的勘测费、设计费，以及水土保持方案编制费用。</w:t>
      </w:r>
      <w:r>
        <w:rPr>
          <w:rFonts w:ascii="FangSong_GB2312" w:hAnsi="FangSong_GB2312" w:eastAsia="FangSong_GB2312" w:cs="FangSong_GB2312"/>
          <w:spacing w:val="-1"/>
          <w:sz w:val="24"/>
          <w:szCs w:val="24"/>
        </w:rPr>
        <w:t>初步设计、招标设计及施工图</w:t>
      </w:r>
      <w:r>
        <w:rPr>
          <w:rFonts w:ascii="FangSong_GB2312" w:hAnsi="FangSong_GB2312" w:eastAsia="FangSong_GB2312" w:cs="FangSong_GB2312"/>
          <w:spacing w:val="2"/>
          <w:sz w:val="24"/>
          <w:szCs w:val="24"/>
        </w:rPr>
        <w:t>设计阶段的工程勘测费、设计费参照《国家计委、建设部关于发布</w:t>
      </w:r>
      <w:r>
        <w:rPr>
          <w:rFonts w:ascii="Times New Roman" w:hAnsi="Times New Roman" w:eastAsia="Times New Roman" w:cs="Times New Roman"/>
          <w:spacing w:val="2"/>
          <w:sz w:val="24"/>
          <w:szCs w:val="24"/>
        </w:rPr>
        <w:t>&lt;</w:t>
      </w:r>
      <w:r>
        <w:rPr>
          <w:rFonts w:ascii="FangSong_GB2312" w:hAnsi="FangSong_GB2312" w:eastAsia="FangSong_GB2312" w:cs="FangSong_GB2312"/>
          <w:spacing w:val="2"/>
          <w:sz w:val="24"/>
          <w:szCs w:val="24"/>
        </w:rPr>
        <w:t>工程勘察设计收</w:t>
      </w:r>
      <w:r>
        <w:rPr>
          <w:rFonts w:ascii="FangSong_GB2312" w:hAnsi="FangSong_GB2312" w:eastAsia="FangSong_GB2312" w:cs="FangSong_GB2312"/>
          <w:spacing w:val="-4"/>
          <w:sz w:val="24"/>
          <w:szCs w:val="24"/>
        </w:rPr>
        <w:t>费管理规定</w:t>
      </w:r>
      <w:r>
        <w:rPr>
          <w:rFonts w:ascii="Times New Roman" w:hAnsi="Times New Roman" w:eastAsia="Times New Roman" w:cs="Times New Roman"/>
          <w:spacing w:val="-4"/>
          <w:sz w:val="24"/>
          <w:szCs w:val="24"/>
        </w:rPr>
        <w:t>&gt;</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4"/>
          <w:sz w:val="24"/>
          <w:szCs w:val="24"/>
        </w:rPr>
        <w:t>的通知》</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计价格〔</w:t>
      </w:r>
      <w:r>
        <w:rPr>
          <w:rFonts w:ascii="Times New Roman" w:hAnsi="Times New Roman" w:eastAsia="Times New Roman" w:cs="Times New Roman"/>
          <w:spacing w:val="-4"/>
          <w:sz w:val="24"/>
          <w:szCs w:val="24"/>
        </w:rPr>
        <w:t>2002</w:t>
      </w:r>
      <w:r>
        <w:rPr>
          <w:rFonts w:ascii="FangSong_GB2312" w:hAnsi="FangSong_GB2312" w:eastAsia="FangSong_GB2312" w:cs="FangSong_GB2312"/>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4"/>
          <w:sz w:val="24"/>
          <w:szCs w:val="24"/>
        </w:rPr>
        <w:t>号</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计算。水土保持方案</w:t>
      </w:r>
      <w:r>
        <w:rPr>
          <w:rFonts w:ascii="FangSong_GB2312" w:hAnsi="FangSong_GB2312" w:eastAsia="FangSong_GB2312" w:cs="FangSong_GB2312"/>
          <w:spacing w:val="-5"/>
          <w:sz w:val="24"/>
          <w:szCs w:val="24"/>
        </w:rPr>
        <w:t>编制费可按市场调节</w:t>
      </w:r>
      <w:r>
        <w:rPr>
          <w:rFonts w:ascii="FangSong_GB2312" w:hAnsi="FangSong_GB2312" w:eastAsia="FangSong_GB2312" w:cs="FangSong_GB2312"/>
          <w:spacing w:val="-3"/>
          <w:sz w:val="24"/>
          <w:szCs w:val="24"/>
        </w:rPr>
        <w:t>价计列或根据实际计算。本方案按工程实际计取</w:t>
      </w:r>
      <w:r>
        <w:rPr>
          <w:rFonts w:ascii="FangSong_GB2312" w:hAnsi="FangSong_GB2312" w:eastAsia="FangSong_GB2312" w:cs="FangSong_GB2312"/>
          <w:spacing w:val="-38"/>
          <w:sz w:val="24"/>
          <w:szCs w:val="24"/>
        </w:rPr>
        <w:t xml:space="preserve"> </w:t>
      </w:r>
      <w:r>
        <w:rPr>
          <w:rFonts w:ascii="Times New Roman" w:hAnsi="Times New Roman" w:eastAsia="Times New Roman" w:cs="Times New Roman"/>
          <w:spacing w:val="-3"/>
          <w:sz w:val="24"/>
          <w:szCs w:val="24"/>
        </w:rPr>
        <w:t>2.50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万元（其中水土保持方案编制费</w:t>
      </w:r>
      <w:r>
        <w:rPr>
          <w:rFonts w:ascii="Times New Roman" w:hAnsi="Times New Roman" w:eastAsia="Times New Roman" w:cs="Times New Roman"/>
          <w:spacing w:val="-4"/>
          <w:sz w:val="24"/>
          <w:szCs w:val="24"/>
        </w:rPr>
        <w:t>0.80</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4"/>
          <w:sz w:val="24"/>
          <w:szCs w:val="24"/>
        </w:rPr>
        <w:t>万元）。</w:t>
      </w:r>
    </w:p>
    <w:p w14:paraId="6383076F">
      <w:pPr>
        <w:spacing w:before="5" w:line="214"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3</w:t>
      </w:r>
      <w:r>
        <w:rPr>
          <w:rFonts w:ascii="FangSong_GB2312" w:hAnsi="FangSong_GB2312" w:eastAsia="FangSong_GB2312" w:cs="FangSong_GB2312"/>
          <w:spacing w:val="-1"/>
          <w:sz w:val="24"/>
          <w:szCs w:val="24"/>
        </w:rPr>
        <w:t>）、水土保持监理费</w:t>
      </w:r>
    </w:p>
    <w:p w14:paraId="09C26BB3">
      <w:pPr>
        <w:spacing w:before="187" w:line="358" w:lineRule="auto"/>
        <w:ind w:left="15" w:firstLine="475"/>
        <w:rPr>
          <w:rFonts w:ascii="FangSong_GB2312" w:hAnsi="FangSong_GB2312" w:eastAsia="FangSong_GB2312" w:cs="FangSong_GB2312"/>
          <w:sz w:val="24"/>
          <w:szCs w:val="24"/>
        </w:rPr>
      </w:pPr>
      <w:r>
        <w:rPr>
          <w:rFonts w:ascii="FangSong_GB2312" w:hAnsi="FangSong_GB2312" w:eastAsia="FangSong_GB2312" w:cs="FangSong_GB2312"/>
          <w:sz w:val="24"/>
          <w:szCs w:val="24"/>
        </w:rPr>
        <w:t>按（水保〔</w:t>
      </w:r>
      <w:r>
        <w:rPr>
          <w:rFonts w:ascii="Times New Roman" w:hAnsi="Times New Roman" w:eastAsia="Times New Roman" w:cs="Times New Roman"/>
          <w:sz w:val="24"/>
          <w:szCs w:val="24"/>
        </w:rPr>
        <w:t>2019</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 xml:space="preserve">160  </w:t>
      </w:r>
      <w:r>
        <w:rPr>
          <w:rFonts w:ascii="FangSong_GB2312" w:hAnsi="FangSong_GB2312" w:eastAsia="FangSong_GB2312" w:cs="FangSong_GB2312"/>
          <w:sz w:val="24"/>
          <w:szCs w:val="24"/>
        </w:rPr>
        <w:t>号）要求，本项目无需配</w:t>
      </w:r>
      <w:r>
        <w:rPr>
          <w:rFonts w:ascii="FangSong_GB2312" w:hAnsi="FangSong_GB2312" w:eastAsia="FangSong_GB2312" w:cs="FangSong_GB2312"/>
          <w:spacing w:val="-1"/>
          <w:sz w:val="24"/>
          <w:szCs w:val="24"/>
        </w:rPr>
        <w:t>备具有水土保持专业监理资格的工程师，本项目未单独开展专项的水土保持监理工作，不列此项费用。</w:t>
      </w:r>
    </w:p>
    <w:p w14:paraId="407E07A4">
      <w:pPr>
        <w:spacing w:before="3" w:line="214" w:lineRule="auto"/>
        <w:ind w:left="491"/>
        <w:rPr>
          <w:rFonts w:ascii="FangSong_GB2312" w:hAnsi="FangSong_GB2312" w:eastAsia="FangSong_GB2312" w:cs="FangSong_GB2312"/>
          <w:sz w:val="24"/>
          <w:szCs w:val="24"/>
        </w:rPr>
      </w:pPr>
      <w:r>
        <w:rPr>
          <w:rFonts w:ascii="Times New Roman" w:hAnsi="Times New Roman" w:eastAsia="Times New Roman" w:cs="Times New Roman"/>
          <w:spacing w:val="-9"/>
          <w:sz w:val="24"/>
          <w:szCs w:val="24"/>
        </w:rPr>
        <w:t>5</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9"/>
          <w:sz w:val="24"/>
          <w:szCs w:val="24"/>
        </w:rPr>
        <w:t>、预备费</w:t>
      </w:r>
    </w:p>
    <w:p w14:paraId="53919781">
      <w:pPr>
        <w:spacing w:before="188" w:line="211"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FangSong_GB2312" w:hAnsi="FangSong_GB2312" w:eastAsia="FangSong_GB2312" w:cs="FangSong_GB2312"/>
          <w:spacing w:val="-7"/>
          <w:sz w:val="24"/>
          <w:szCs w:val="24"/>
        </w:rPr>
        <w:t>基本预备费</w:t>
      </w:r>
    </w:p>
    <w:p w14:paraId="40EB6ED9">
      <w:pPr>
        <w:spacing w:before="193" w:line="405" w:lineRule="auto"/>
        <w:ind w:left="5384" w:right="62" w:hanging="4894"/>
        <w:rPr>
          <w:rFonts w:ascii="FangSong_GB2312" w:hAnsi="FangSong_GB2312" w:eastAsia="FangSong_GB2312" w:cs="FangSong_GB2312"/>
          <w:sz w:val="20"/>
          <w:szCs w:val="20"/>
        </w:rPr>
      </w:pPr>
      <w:r>
        <w:pict>
          <v:shape id="_x0000_s1090" o:spid="_x0000_s1090" o:spt="202" type="#_x0000_t202" style="position:absolute;left:0pt;margin-left:216.6pt;margin-top:34.65pt;height:10.15pt;width:10.95pt;z-index:251764736;mso-width-relative:page;mso-height-relative:page;" filled="f" stroked="f" coordsize="21600,21600">
            <v:path/>
            <v:fill on="f" focussize="0,0"/>
            <v:stroke on="f"/>
            <v:imagedata o:title=""/>
            <o:lock v:ext="edit" aspectratio="f"/>
            <v:textbox inset="0mm,0mm,0mm,0mm">
              <w:txbxContent>
                <w:p w14:paraId="0B2AA890">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txbxContent>
            </v:textbox>
          </v:shape>
        </w:pict>
      </w:r>
      <w:r>
        <w:rPr>
          <w:rFonts w:ascii="FangSong_GB2312" w:hAnsi="FangSong_GB2312" w:eastAsia="FangSong_GB2312" w:cs="FangSong_GB2312"/>
          <w:spacing w:val="-11"/>
          <w:sz w:val="24"/>
          <w:szCs w:val="24"/>
        </w:rPr>
        <w:t>按工程措施费、植物措施费、监测措施费、施工临时工程费、独立费用之和的</w:t>
      </w:r>
      <w:r>
        <w:rPr>
          <w:rFonts w:ascii="FangSong_GB2312" w:hAnsi="FangSong_GB2312" w:eastAsia="FangSong_GB2312" w:cs="FangSong_GB2312"/>
          <w:spacing w:val="-39"/>
          <w:sz w:val="24"/>
          <w:szCs w:val="24"/>
        </w:rPr>
        <w:t xml:space="preserve"> </w:t>
      </w:r>
      <w:r>
        <w:rPr>
          <w:rFonts w:ascii="Times New Roman" w:hAnsi="Times New Roman" w:eastAsia="Times New Roman" w:cs="Times New Roman"/>
          <w:spacing w:val="-11"/>
          <w:sz w:val="24"/>
          <w:szCs w:val="24"/>
        </w:rPr>
        <w:t xml:space="preserve">3% </w:t>
      </w:r>
      <w:r>
        <w:rPr>
          <w:rFonts w:ascii="FangSong_GB2312" w:hAnsi="FangSong_GB2312" w:eastAsia="FangSong_GB2312" w:cs="FangSong_GB2312"/>
          <w:spacing w:val="-11"/>
          <w:sz w:val="24"/>
          <w:szCs w:val="24"/>
        </w:rPr>
        <w:t>~</w:t>
      </w:r>
      <w:r>
        <w:rPr>
          <w:rFonts w:ascii="FangSong_GB2312" w:hAnsi="FangSong_GB2312" w:eastAsia="FangSong_GB2312" w:cs="FangSong_GB2312"/>
          <w:spacing w:val="8"/>
          <w:sz w:val="20"/>
          <w:szCs w:val="20"/>
        </w:rPr>
        <w:t>剑阁县绿森林业勘察设计有限公司</w:t>
      </w:r>
    </w:p>
    <w:p w14:paraId="42FB9410">
      <w:pPr>
        <w:spacing w:line="405" w:lineRule="auto"/>
        <w:rPr>
          <w:rFonts w:ascii="FangSong_GB2312" w:hAnsi="FangSong_GB2312" w:eastAsia="FangSong_GB2312" w:cs="FangSong_GB2312"/>
          <w:sz w:val="20"/>
          <w:szCs w:val="20"/>
        </w:rPr>
        <w:sectPr>
          <w:headerReference r:id="rId66" w:type="default"/>
          <w:pgSz w:w="11906" w:h="16839"/>
          <w:pgMar w:top="1159" w:right="1514" w:bottom="400" w:left="1513" w:header="831" w:footer="0" w:gutter="0"/>
          <w:cols w:space="720" w:num="1"/>
        </w:sectPr>
      </w:pPr>
    </w:p>
    <w:p w14:paraId="35521F4A">
      <w:pPr>
        <w:spacing w:before="202" w:line="214" w:lineRule="auto"/>
        <w:ind w:left="134"/>
        <w:rPr>
          <w:rFonts w:ascii="FangSong_GB2312" w:hAnsi="FangSong_GB2312" w:eastAsia="FangSong_GB2312" w:cs="FangSong_GB2312"/>
          <w:sz w:val="24"/>
          <w:szCs w:val="24"/>
        </w:rPr>
      </w:pPr>
      <w:r>
        <w:rPr>
          <w:rFonts w:ascii="Times New Roman" w:hAnsi="Times New Roman" w:eastAsia="Times New Roman" w:cs="Times New Roman"/>
          <w:spacing w:val="-1"/>
          <w:sz w:val="24"/>
          <w:szCs w:val="24"/>
        </w:rPr>
        <w:t>5%</w:t>
      </w:r>
      <w:r>
        <w:rPr>
          <w:rFonts w:ascii="FangSong_GB2312" w:hAnsi="FangSong_GB2312" w:eastAsia="FangSong_GB2312" w:cs="FangSong_GB2312"/>
          <w:spacing w:val="-1"/>
          <w:sz w:val="24"/>
          <w:szCs w:val="24"/>
        </w:rPr>
        <w:t>计算，本项目已完工，不计此项费用。</w:t>
      </w:r>
    </w:p>
    <w:p w14:paraId="110F9282">
      <w:pPr>
        <w:spacing w:before="188" w:line="211" w:lineRule="auto"/>
        <w:ind w:left="607"/>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5"/>
          <w:sz w:val="24"/>
          <w:szCs w:val="24"/>
        </w:rPr>
        <w:t>、价差预备费</w:t>
      </w:r>
    </w:p>
    <w:p w14:paraId="2BFD00D5">
      <w:pPr>
        <w:spacing w:before="193" w:line="359" w:lineRule="auto"/>
        <w:ind w:left="132" w:right="74" w:firstLine="476"/>
        <w:rPr>
          <w:rFonts w:ascii="FangSong_GB2312" w:hAnsi="FangSong_GB2312" w:eastAsia="FangSong_GB2312" w:cs="FangSong_GB2312"/>
          <w:sz w:val="24"/>
          <w:szCs w:val="24"/>
        </w:rPr>
      </w:pPr>
      <w:r>
        <w:rPr>
          <w:rFonts w:ascii="FangSong_GB2312" w:hAnsi="FangSong_GB2312" w:eastAsia="FangSong_GB2312" w:cs="FangSong_GB2312"/>
          <w:sz w:val="24"/>
          <w:szCs w:val="24"/>
        </w:rPr>
        <w:t>根据《水利工程设计概（估）算编制规定》及水利工</w:t>
      </w:r>
      <w:r>
        <w:rPr>
          <w:rFonts w:ascii="FangSong_GB2312" w:hAnsi="FangSong_GB2312" w:eastAsia="FangSong_GB2312" w:cs="FangSong_GB2312"/>
          <w:spacing w:val="-1"/>
          <w:sz w:val="24"/>
          <w:szCs w:val="24"/>
        </w:rPr>
        <w:t>程系列定额（水总〔</w:t>
      </w:r>
      <w:r>
        <w:rPr>
          <w:rFonts w:ascii="Times New Roman" w:hAnsi="Times New Roman" w:eastAsia="Times New Roman" w:cs="Times New Roman"/>
          <w:spacing w:val="-1"/>
          <w:sz w:val="24"/>
          <w:szCs w:val="24"/>
        </w:rPr>
        <w:t>2024</w:t>
      </w:r>
      <w:r>
        <w:rPr>
          <w:rFonts w:ascii="FangSong_GB2312" w:hAnsi="FangSong_GB2312" w:eastAsia="FangSong_GB2312" w:cs="FangSong_GB2312"/>
          <w:spacing w:val="-1"/>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pacing w:val="-2"/>
          <w:sz w:val="24"/>
          <w:szCs w:val="24"/>
        </w:rPr>
        <w:t>323</w:t>
      </w:r>
      <w:r>
        <w:rPr>
          <w:rFonts w:ascii="Times New Roman" w:hAnsi="Times New Roman" w:eastAsia="Times New Roman" w:cs="Times New Roman"/>
          <w:spacing w:val="19"/>
          <w:w w:val="101"/>
          <w:sz w:val="24"/>
          <w:szCs w:val="24"/>
        </w:rPr>
        <w:t xml:space="preserve"> </w:t>
      </w:r>
      <w:r>
        <w:rPr>
          <w:rFonts w:ascii="FangSong_GB2312" w:hAnsi="FangSong_GB2312" w:eastAsia="FangSong_GB2312" w:cs="FangSong_GB2312"/>
          <w:spacing w:val="-2"/>
          <w:sz w:val="24"/>
          <w:szCs w:val="24"/>
        </w:rPr>
        <w:t>号</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2"/>
          <w:sz w:val="24"/>
          <w:szCs w:val="24"/>
        </w:rPr>
        <w:t>生产建设项目水土保持工程不单独计列价差预备费。</w:t>
      </w:r>
    </w:p>
    <w:p w14:paraId="74217C0E">
      <w:pPr>
        <w:spacing w:line="213" w:lineRule="auto"/>
        <w:ind w:left="613"/>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6</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5"/>
          <w:sz w:val="24"/>
          <w:szCs w:val="24"/>
        </w:rPr>
        <w:t>、水土保持补偿费</w:t>
      </w:r>
    </w:p>
    <w:p w14:paraId="1E744C34">
      <w:pPr>
        <w:spacing w:before="190" w:line="359" w:lineRule="auto"/>
        <w:ind w:left="130" w:right="70" w:firstLine="479"/>
        <w:rPr>
          <w:rFonts w:ascii="FangSong_GB2312" w:hAnsi="FangSong_GB2312" w:eastAsia="FangSong_GB2312" w:cs="FangSong_GB2312"/>
          <w:sz w:val="24"/>
          <w:szCs w:val="24"/>
        </w:rPr>
      </w:pPr>
      <w:r>
        <w:rPr>
          <w:rFonts w:ascii="FangSong_GB2312" w:hAnsi="FangSong_GB2312" w:eastAsia="FangSong_GB2312" w:cs="FangSong_GB2312"/>
          <w:sz w:val="24"/>
          <w:szCs w:val="24"/>
        </w:rPr>
        <w:t>根据《四川省发展和改革委员会、四川省财政厅＜关于制</w:t>
      </w:r>
      <w:r>
        <w:rPr>
          <w:rFonts w:ascii="FangSong_GB2312" w:hAnsi="FangSong_GB2312" w:eastAsia="FangSong_GB2312" w:cs="FangSong_GB2312"/>
          <w:spacing w:val="-1"/>
          <w:sz w:val="24"/>
          <w:szCs w:val="24"/>
        </w:rPr>
        <w:t>定水土保持补偿费收费</w:t>
      </w:r>
      <w:r>
        <w:rPr>
          <w:rFonts w:ascii="FangSong_GB2312" w:hAnsi="FangSong_GB2312" w:eastAsia="FangSong_GB2312" w:cs="FangSong_GB2312"/>
          <w:spacing w:val="1"/>
          <w:sz w:val="24"/>
          <w:szCs w:val="24"/>
        </w:rPr>
        <w:t>标准＞的通知》（川发改价格〔</w:t>
      </w:r>
      <w:r>
        <w:rPr>
          <w:rFonts w:ascii="Times New Roman" w:hAnsi="Times New Roman" w:eastAsia="Times New Roman" w:cs="Times New Roman"/>
          <w:spacing w:val="1"/>
          <w:sz w:val="24"/>
          <w:szCs w:val="24"/>
        </w:rPr>
        <w:t>2017</w:t>
      </w:r>
      <w:r>
        <w:rPr>
          <w:rFonts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347</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1"/>
          <w:sz w:val="24"/>
          <w:szCs w:val="24"/>
        </w:rPr>
        <w:t>号）的相</w:t>
      </w:r>
      <w:r>
        <w:rPr>
          <w:rFonts w:ascii="FangSong_GB2312" w:hAnsi="FangSong_GB2312" w:eastAsia="FangSong_GB2312" w:cs="FangSong_GB2312"/>
          <w:sz w:val="24"/>
          <w:szCs w:val="24"/>
        </w:rPr>
        <w:t>关规定，本项目水土保持补偿费</w:t>
      </w:r>
      <w:r>
        <w:rPr>
          <w:rFonts w:ascii="FangSong_GB2312" w:hAnsi="FangSong_GB2312" w:eastAsia="FangSong_GB2312" w:cs="FangSong_GB2312"/>
          <w:spacing w:val="-2"/>
          <w:sz w:val="24"/>
          <w:szCs w:val="24"/>
        </w:rPr>
        <w:t>暂按</w:t>
      </w:r>
      <w:r>
        <w:rPr>
          <w:rFonts w:ascii="FangSong_GB2312" w:hAnsi="FangSong_GB2312" w:eastAsia="FangSong_GB2312" w:cs="FangSong_GB2312"/>
          <w:spacing w:val="-32"/>
          <w:sz w:val="24"/>
          <w:szCs w:val="24"/>
        </w:rPr>
        <w:t xml:space="preserve"> </w:t>
      </w:r>
      <w:r>
        <w:rPr>
          <w:rFonts w:ascii="Times New Roman" w:hAnsi="Times New Roman" w:eastAsia="Times New Roman" w:cs="Times New Roman"/>
          <w:spacing w:val="-2"/>
          <w:sz w:val="24"/>
          <w:szCs w:val="24"/>
        </w:rPr>
        <w:t>1.30</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2"/>
          <w:sz w:val="24"/>
          <w:szCs w:val="24"/>
        </w:rPr>
        <w:t>元</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平方米计列，本项目占地面积</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2"/>
          <w:sz w:val="24"/>
          <w:szCs w:val="24"/>
        </w:rPr>
        <w:t>493.23m</w:t>
      </w:r>
      <w:r>
        <w:rPr>
          <w:rFonts w:ascii="Times New Roman" w:hAnsi="Times New Roman" w:eastAsia="Times New Roman" w:cs="Times New Roman"/>
          <w:spacing w:val="-2"/>
          <w:position w:val="8"/>
          <w:sz w:val="15"/>
          <w:szCs w:val="15"/>
        </w:rPr>
        <w:t xml:space="preserve">2 </w:t>
      </w:r>
      <w:r>
        <w:rPr>
          <w:rFonts w:ascii="FangSong_GB2312" w:hAnsi="FangSong_GB2312" w:eastAsia="FangSong_GB2312" w:cs="FangSong_GB2312"/>
          <w:spacing w:val="-2"/>
          <w:sz w:val="24"/>
          <w:szCs w:val="24"/>
        </w:rPr>
        <w:t>，需缴纳水</w:t>
      </w:r>
      <w:r>
        <w:rPr>
          <w:rFonts w:ascii="FangSong_GB2312" w:hAnsi="FangSong_GB2312" w:eastAsia="FangSong_GB2312" w:cs="FangSong_GB2312"/>
          <w:spacing w:val="-3"/>
          <w:sz w:val="24"/>
          <w:szCs w:val="24"/>
        </w:rPr>
        <w:t>土保持补偿费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0.06</w:t>
      </w:r>
      <w:r>
        <w:rPr>
          <w:rFonts w:ascii="Times New Roman" w:hAnsi="Times New Roman" w:eastAsia="Times New Roman" w:cs="Times New Roman"/>
          <w:spacing w:val="25"/>
          <w:w w:val="101"/>
          <w:sz w:val="24"/>
          <w:szCs w:val="24"/>
        </w:rPr>
        <w:t xml:space="preserve"> </w:t>
      </w:r>
      <w:r>
        <w:rPr>
          <w:rFonts w:ascii="FangSong_GB2312" w:hAnsi="FangSong_GB2312" w:eastAsia="FangSong_GB2312" w:cs="FangSong_GB2312"/>
          <w:spacing w:val="-3"/>
          <w:sz w:val="24"/>
          <w:szCs w:val="24"/>
        </w:rPr>
        <w:t>万元（</w:t>
      </w:r>
      <w:r>
        <w:rPr>
          <w:rFonts w:ascii="Times New Roman" w:hAnsi="Times New Roman" w:eastAsia="Times New Roman" w:cs="Times New Roman"/>
          <w:spacing w:val="-3"/>
          <w:sz w:val="24"/>
          <w:szCs w:val="24"/>
        </w:rPr>
        <w:t>641.199</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3"/>
          <w:sz w:val="24"/>
          <w:szCs w:val="24"/>
        </w:rPr>
        <w:t>元）。</w:t>
      </w:r>
    </w:p>
    <w:p w14:paraId="0D60CC16">
      <w:pPr>
        <w:spacing w:before="1" w:line="213" w:lineRule="auto"/>
        <w:ind w:left="130"/>
        <w:outlineLvl w:val="3"/>
        <w:rPr>
          <w:rFonts w:ascii="FangSong_GB2312" w:hAnsi="FangSong_GB2312" w:eastAsia="FangSong_GB2312" w:cs="FangSong_GB2312"/>
          <w:sz w:val="24"/>
          <w:szCs w:val="24"/>
        </w:rPr>
      </w:pPr>
      <w:r>
        <w:rPr>
          <w:rFonts w:ascii="Times New Roman" w:hAnsi="Times New Roman" w:eastAsia="Times New Roman" w:cs="Times New Roman"/>
          <w:b/>
          <w:bCs/>
          <w:spacing w:val="-2"/>
          <w:sz w:val="24"/>
          <w:szCs w:val="24"/>
        </w:rPr>
        <w:t xml:space="preserve">7.1.2.2 </w:t>
      </w:r>
      <w:r>
        <w:rPr>
          <w:rFonts w:ascii="FangSong_GB2312" w:hAnsi="FangSong_GB2312" w:eastAsia="FangSong_GB2312" w:cs="FangSong_GB2312"/>
          <w:b/>
          <w:bCs/>
          <w:spacing w:val="-2"/>
          <w:sz w:val="24"/>
          <w:szCs w:val="24"/>
        </w:rPr>
        <w:t>概算成果</w:t>
      </w:r>
    </w:p>
    <w:p w14:paraId="0C767E05">
      <w:pPr>
        <w:spacing w:before="186" w:line="359" w:lineRule="auto"/>
        <w:ind w:left="131" w:firstLine="480"/>
        <w:rPr>
          <w:rFonts w:ascii="FangSong_GB2312" w:hAnsi="FangSong_GB2312" w:eastAsia="FangSong_GB2312" w:cs="FangSong_GB2312"/>
          <w:sz w:val="20"/>
          <w:szCs w:val="20"/>
        </w:rPr>
      </w:pPr>
      <w:r>
        <w:rPr>
          <w:rFonts w:ascii="FangSong_GB2312" w:hAnsi="FangSong_GB2312" w:eastAsia="FangSong_GB2312" w:cs="FangSong_GB2312"/>
          <w:spacing w:val="-2"/>
          <w:sz w:val="24"/>
          <w:szCs w:val="24"/>
        </w:rPr>
        <w:t>本项目水土保持概算总投资为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6.29</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万元，其中工程措施费为</w:t>
      </w:r>
      <w:r>
        <w:rPr>
          <w:rFonts w:ascii="FangSong_GB2312" w:hAnsi="FangSong_GB2312" w:eastAsia="FangSong_GB2312" w:cs="FangSong_GB2312"/>
          <w:spacing w:val="-50"/>
          <w:sz w:val="24"/>
          <w:szCs w:val="24"/>
        </w:rPr>
        <w:t xml:space="preserve"> </w:t>
      </w:r>
      <w:r>
        <w:rPr>
          <w:rFonts w:ascii="Times New Roman" w:hAnsi="Times New Roman" w:eastAsia="Times New Roman" w:cs="Times New Roman"/>
          <w:spacing w:val="-2"/>
          <w:sz w:val="24"/>
          <w:szCs w:val="24"/>
        </w:rPr>
        <w:t>3.54</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万元，植物措</w:t>
      </w:r>
      <w:r>
        <w:rPr>
          <w:rFonts w:ascii="FangSong_GB2312" w:hAnsi="FangSong_GB2312" w:eastAsia="FangSong_GB2312" w:cs="FangSong_GB2312"/>
          <w:spacing w:val="-3"/>
          <w:sz w:val="24"/>
          <w:szCs w:val="24"/>
        </w:rPr>
        <w:t>施费为</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0.05</w:t>
      </w:r>
      <w:r>
        <w:rPr>
          <w:rFonts w:ascii="Times New Roman" w:hAnsi="Times New Roman" w:eastAsia="Times New Roman" w:cs="Times New Roman"/>
          <w:spacing w:val="22"/>
          <w:sz w:val="24"/>
          <w:szCs w:val="24"/>
        </w:rPr>
        <w:t xml:space="preserve"> </w:t>
      </w:r>
      <w:r>
        <w:rPr>
          <w:rFonts w:ascii="FangSong_GB2312" w:hAnsi="FangSong_GB2312" w:eastAsia="FangSong_GB2312" w:cs="FangSong_GB2312"/>
          <w:spacing w:val="-3"/>
          <w:sz w:val="24"/>
          <w:szCs w:val="24"/>
        </w:rPr>
        <w:t>万元，监测措施费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3"/>
          <w:sz w:val="24"/>
          <w:szCs w:val="24"/>
        </w:rPr>
        <w:t>万元，施工临时工程费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3"/>
          <w:sz w:val="24"/>
          <w:szCs w:val="24"/>
        </w:rPr>
        <w:t>0.07</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3"/>
          <w:sz w:val="24"/>
          <w:szCs w:val="24"/>
        </w:rPr>
        <w:t>万元，独立费用</w:t>
      </w:r>
      <w:r>
        <w:rPr>
          <w:rFonts w:ascii="FangSong_GB2312" w:hAnsi="FangSong_GB2312" w:eastAsia="FangSong_GB2312" w:cs="FangSong_GB2312"/>
          <w:spacing w:val="-55"/>
          <w:sz w:val="24"/>
          <w:szCs w:val="24"/>
        </w:rPr>
        <w:t xml:space="preserve"> </w:t>
      </w:r>
      <w:r>
        <w:rPr>
          <w:rFonts w:ascii="Times New Roman" w:hAnsi="Times New Roman" w:eastAsia="Times New Roman" w:cs="Times New Roman"/>
          <w:spacing w:val="-4"/>
          <w:sz w:val="24"/>
          <w:szCs w:val="24"/>
        </w:rPr>
        <w:t>2.57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4"/>
          <w:sz w:val="24"/>
          <w:szCs w:val="24"/>
        </w:rPr>
        <w:t>万</w:t>
      </w:r>
      <w:r>
        <w:rPr>
          <w:rFonts w:ascii="FangSong_GB2312" w:hAnsi="FangSong_GB2312" w:eastAsia="FangSong_GB2312" w:cs="FangSong_GB2312"/>
          <w:spacing w:val="-2"/>
          <w:sz w:val="24"/>
          <w:szCs w:val="24"/>
        </w:rPr>
        <w:t>元，预备费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万元，水土保持补偿费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0.06</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w:t>
      </w:r>
      <w:r>
        <w:rPr>
          <w:rFonts w:ascii="Times New Roman" w:hAnsi="Times New Roman" w:eastAsia="Times New Roman" w:cs="Times New Roman"/>
          <w:spacing w:val="-2"/>
          <w:sz w:val="24"/>
          <w:szCs w:val="24"/>
        </w:rPr>
        <w:t>641.199</w:t>
      </w:r>
      <w:r>
        <w:rPr>
          <w:rFonts w:ascii="Times New Roman" w:hAnsi="Times New Roman" w:eastAsia="Times New Roman" w:cs="Times New Roman"/>
          <w:spacing w:val="17"/>
          <w:w w:val="101"/>
          <w:sz w:val="24"/>
          <w:szCs w:val="24"/>
        </w:rPr>
        <w:t xml:space="preserve"> </w:t>
      </w:r>
      <w:r>
        <w:rPr>
          <w:rFonts w:ascii="FangSong_GB2312" w:hAnsi="FangSong_GB2312" w:eastAsia="FangSong_GB2312" w:cs="FangSong_GB2312"/>
          <w:spacing w:val="-2"/>
          <w:sz w:val="24"/>
          <w:szCs w:val="24"/>
        </w:rPr>
        <w:t>元）。独立费</w:t>
      </w:r>
      <w:r>
        <w:rPr>
          <w:rFonts w:ascii="FangSong_GB2312" w:hAnsi="FangSong_GB2312" w:eastAsia="FangSong_GB2312" w:cs="FangSong_GB2312"/>
          <w:spacing w:val="-3"/>
          <w:sz w:val="24"/>
          <w:szCs w:val="24"/>
        </w:rPr>
        <w:t>用中建设管理</w:t>
      </w:r>
      <w:r>
        <w:rPr>
          <w:rFonts w:ascii="FangSong_GB2312" w:hAnsi="FangSong_GB2312" w:eastAsia="FangSong_GB2312" w:cs="FangSong_GB2312"/>
          <w:spacing w:val="-11"/>
          <w:sz w:val="24"/>
          <w:szCs w:val="24"/>
        </w:rPr>
        <w:t>费</w:t>
      </w:r>
      <w:r>
        <w:rPr>
          <w:rFonts w:ascii="FangSong_GB2312" w:hAnsi="FangSong_GB2312" w:eastAsia="FangSong_GB2312" w:cs="FangSong_GB2312"/>
          <w:spacing w:val="-53"/>
          <w:sz w:val="24"/>
          <w:szCs w:val="24"/>
        </w:rPr>
        <w:t xml:space="preserve"> </w:t>
      </w:r>
      <w:r>
        <w:rPr>
          <w:rFonts w:ascii="Times New Roman" w:hAnsi="Times New Roman" w:eastAsia="Times New Roman" w:cs="Times New Roman"/>
          <w:spacing w:val="-11"/>
          <w:sz w:val="24"/>
          <w:szCs w:val="24"/>
        </w:rPr>
        <w:t>0.07</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11"/>
          <w:sz w:val="24"/>
          <w:szCs w:val="24"/>
        </w:rPr>
        <w:t>万元（其中项目经常费</w:t>
      </w:r>
      <w:r>
        <w:rPr>
          <w:rFonts w:ascii="Times New Roman" w:hAnsi="Times New Roman" w:eastAsia="Times New Roman" w:cs="Times New Roman"/>
          <w:spacing w:val="-11"/>
          <w:sz w:val="24"/>
          <w:szCs w:val="24"/>
        </w:rPr>
        <w:t>/</w:t>
      </w:r>
      <w:r>
        <w:rPr>
          <w:rFonts w:ascii="FangSong_GB2312" w:hAnsi="FangSong_GB2312" w:eastAsia="FangSong_GB2312" w:cs="FangSong_GB2312"/>
          <w:spacing w:val="-11"/>
          <w:sz w:val="24"/>
          <w:szCs w:val="24"/>
        </w:rPr>
        <w:t>水土保持设施验收费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12"/>
          <w:sz w:val="24"/>
          <w:szCs w:val="24"/>
        </w:rPr>
        <w:t>0.05</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12"/>
          <w:sz w:val="24"/>
          <w:szCs w:val="24"/>
        </w:rPr>
        <w:t>万元、技术咨询费</w:t>
      </w:r>
      <w:r>
        <w:rPr>
          <w:rFonts w:ascii="FangSong_GB2312" w:hAnsi="FangSong_GB2312" w:eastAsia="FangSong_GB2312" w:cs="FangSong_GB2312"/>
          <w:spacing w:val="-54"/>
          <w:sz w:val="24"/>
          <w:szCs w:val="24"/>
        </w:rPr>
        <w:t xml:space="preserve"> </w:t>
      </w:r>
      <w:r>
        <w:rPr>
          <w:rFonts w:ascii="Times New Roman" w:hAnsi="Times New Roman" w:eastAsia="Times New Roman" w:cs="Times New Roman"/>
          <w:spacing w:val="-12"/>
          <w:sz w:val="24"/>
          <w:szCs w:val="24"/>
        </w:rPr>
        <w:t>0.02</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12"/>
          <w:sz w:val="24"/>
          <w:szCs w:val="24"/>
        </w:rPr>
        <w:t>万元）、</w:t>
      </w:r>
      <w:r>
        <w:rPr>
          <w:rFonts w:ascii="FangSong_GB2312" w:hAnsi="FangSong_GB2312" w:eastAsia="FangSong_GB2312" w:cs="FangSong_GB2312"/>
          <w:spacing w:val="-2"/>
          <w:sz w:val="24"/>
          <w:szCs w:val="24"/>
        </w:rPr>
        <w:t>科研勘测设计费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2.50</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2"/>
          <w:sz w:val="24"/>
          <w:szCs w:val="24"/>
        </w:rPr>
        <w:t>万元（含水土保持方案编制费</w:t>
      </w:r>
      <w:r>
        <w:rPr>
          <w:rFonts w:ascii="FangSong_GB2312" w:hAnsi="FangSong_GB2312" w:eastAsia="FangSong_GB2312" w:cs="FangSong_GB2312"/>
          <w:spacing w:val="-52"/>
          <w:sz w:val="24"/>
          <w:szCs w:val="24"/>
        </w:rPr>
        <w:t xml:space="preserve"> </w:t>
      </w:r>
      <w:r>
        <w:rPr>
          <w:rFonts w:ascii="Times New Roman" w:hAnsi="Times New Roman" w:eastAsia="Times New Roman" w:cs="Times New Roman"/>
          <w:spacing w:val="-2"/>
          <w:sz w:val="24"/>
          <w:szCs w:val="24"/>
        </w:rPr>
        <w:t>0.80</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pacing w:val="-2"/>
          <w:sz w:val="24"/>
          <w:szCs w:val="24"/>
        </w:rPr>
        <w:t>万元）、水土保持监理费</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z w:val="24"/>
          <w:szCs w:val="24"/>
        </w:rPr>
        <w:t xml:space="preserve"> </w:t>
      </w:r>
      <w:r>
        <w:rPr>
          <w:rFonts w:ascii="FangSong_GB2312" w:hAnsi="FangSong_GB2312" w:eastAsia="FangSong_GB2312" w:cs="FangSong_GB2312"/>
          <w:spacing w:val="-3"/>
          <w:sz w:val="24"/>
          <w:szCs w:val="24"/>
        </w:rPr>
        <w:t>万元</w:t>
      </w:r>
      <w:r>
        <w:rPr>
          <w:rFonts w:ascii="FangSong_GB2312" w:hAnsi="FangSong_GB2312" w:eastAsia="FangSong_GB2312" w:cs="FangSong_GB2312"/>
          <w:spacing w:val="-3"/>
          <w:sz w:val="20"/>
          <w:szCs w:val="20"/>
        </w:rPr>
        <w:t>。</w:t>
      </w:r>
    </w:p>
    <w:p w14:paraId="450A8857">
      <w:pPr>
        <w:spacing w:line="221" w:lineRule="auto"/>
        <w:ind w:left="3887"/>
        <w:rPr>
          <w:rFonts w:ascii="FangSong_GB2312" w:hAnsi="FangSong_GB2312" w:eastAsia="FangSong_GB2312" w:cs="FangSong_GB2312"/>
          <w:sz w:val="20"/>
          <w:szCs w:val="20"/>
        </w:rPr>
      </w:pPr>
      <w:r>
        <w:rPr>
          <w:rFonts w:ascii="FangSong_GB2312" w:hAnsi="FangSong_GB2312" w:eastAsia="FangSong_GB2312" w:cs="FangSong_GB2312"/>
          <w:b/>
          <w:bCs/>
          <w:spacing w:val="3"/>
          <w:sz w:val="20"/>
          <w:szCs w:val="20"/>
        </w:rPr>
        <w:t>表</w:t>
      </w:r>
      <w:r>
        <w:rPr>
          <w:rFonts w:ascii="FangSong_GB2312" w:hAnsi="FangSong_GB2312" w:eastAsia="FangSong_GB2312" w:cs="FangSong_GB2312"/>
          <w:spacing w:val="-34"/>
          <w:sz w:val="20"/>
          <w:szCs w:val="20"/>
        </w:rPr>
        <w:t xml:space="preserve"> </w:t>
      </w:r>
      <w:r>
        <w:rPr>
          <w:rFonts w:ascii="Times New Roman" w:hAnsi="Times New Roman" w:eastAsia="Times New Roman" w:cs="Times New Roman"/>
          <w:b/>
          <w:bCs/>
          <w:spacing w:val="3"/>
          <w:sz w:val="20"/>
          <w:szCs w:val="20"/>
        </w:rPr>
        <w:t>7.1-2</w:t>
      </w:r>
      <w:r>
        <w:rPr>
          <w:rFonts w:ascii="Times New Roman" w:hAnsi="Times New Roman" w:eastAsia="Times New Roman" w:cs="Times New Roman"/>
          <w:b/>
          <w:bCs/>
          <w:spacing w:val="8"/>
          <w:sz w:val="20"/>
          <w:szCs w:val="20"/>
        </w:rPr>
        <w:t xml:space="preserve">    </w:t>
      </w:r>
      <w:r>
        <w:rPr>
          <w:rFonts w:ascii="FangSong_GB2312" w:hAnsi="FangSong_GB2312" w:eastAsia="FangSong_GB2312" w:cs="FangSong_GB2312"/>
          <w:b/>
          <w:bCs/>
          <w:spacing w:val="3"/>
          <w:sz w:val="20"/>
          <w:szCs w:val="20"/>
        </w:rPr>
        <w:t>总概算表</w:t>
      </w:r>
      <w:r>
        <w:rPr>
          <w:rFonts w:ascii="FangSong_GB2312" w:hAnsi="FangSong_GB2312" w:eastAsia="FangSong_GB2312" w:cs="FangSong_GB2312"/>
          <w:spacing w:val="1"/>
          <w:sz w:val="20"/>
          <w:szCs w:val="20"/>
        </w:rPr>
        <w:t xml:space="preserve">                       </w:t>
      </w:r>
      <w:r>
        <w:rPr>
          <w:rFonts w:ascii="FangSong_GB2312" w:hAnsi="FangSong_GB2312" w:eastAsia="FangSong_GB2312" w:cs="FangSong_GB2312"/>
          <w:b/>
          <w:bCs/>
          <w:spacing w:val="3"/>
          <w:sz w:val="20"/>
          <w:szCs w:val="20"/>
        </w:rPr>
        <w:t>单位：万元</w:t>
      </w:r>
    </w:p>
    <w:tbl>
      <w:tblPr>
        <w:tblStyle w:val="6"/>
        <w:tblW w:w="89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2479"/>
        <w:gridCol w:w="1542"/>
        <w:gridCol w:w="1522"/>
        <w:gridCol w:w="1302"/>
        <w:gridCol w:w="1365"/>
      </w:tblGrid>
      <w:tr w14:paraId="697AA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82" w:type="dxa"/>
            <w:tcBorders>
              <w:top w:val="single" w:color="000000" w:sz="10" w:space="0"/>
              <w:left w:val="single" w:color="000000" w:sz="10" w:space="0"/>
            </w:tcBorders>
            <w:vAlign w:val="top"/>
          </w:tcPr>
          <w:p w14:paraId="7ECCD69E">
            <w:pPr>
              <w:spacing w:before="127" w:line="216" w:lineRule="auto"/>
              <w:ind w:left="19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79" w:type="dxa"/>
            <w:tcBorders>
              <w:top w:val="single" w:color="000000" w:sz="10" w:space="0"/>
            </w:tcBorders>
            <w:vAlign w:val="top"/>
          </w:tcPr>
          <w:p w14:paraId="1D81E2DC">
            <w:pPr>
              <w:spacing w:before="127" w:line="214" w:lineRule="auto"/>
              <w:ind w:left="61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542" w:type="dxa"/>
            <w:tcBorders>
              <w:top w:val="single" w:color="000000" w:sz="10" w:space="0"/>
            </w:tcBorders>
            <w:vAlign w:val="top"/>
          </w:tcPr>
          <w:p w14:paraId="2DF1242C">
            <w:pPr>
              <w:spacing w:before="127" w:line="214" w:lineRule="auto"/>
              <w:ind w:left="14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建筑安装工程费</w:t>
            </w:r>
          </w:p>
        </w:tc>
        <w:tc>
          <w:tcPr>
            <w:tcW w:w="1522" w:type="dxa"/>
            <w:tcBorders>
              <w:top w:val="single" w:color="000000" w:sz="10" w:space="0"/>
            </w:tcBorders>
            <w:vAlign w:val="top"/>
          </w:tcPr>
          <w:p w14:paraId="2CE054BD">
            <w:pPr>
              <w:spacing w:before="127" w:line="214" w:lineRule="auto"/>
              <w:ind w:left="31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设备购置费</w:t>
            </w:r>
          </w:p>
        </w:tc>
        <w:tc>
          <w:tcPr>
            <w:tcW w:w="1302" w:type="dxa"/>
            <w:tcBorders>
              <w:top w:val="single" w:color="000000" w:sz="10" w:space="0"/>
            </w:tcBorders>
            <w:vAlign w:val="top"/>
          </w:tcPr>
          <w:p w14:paraId="796A5843">
            <w:pPr>
              <w:spacing w:before="127" w:line="214" w:lineRule="auto"/>
              <w:ind w:left="31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独立费用</w:t>
            </w:r>
          </w:p>
        </w:tc>
        <w:tc>
          <w:tcPr>
            <w:tcW w:w="1365" w:type="dxa"/>
            <w:tcBorders>
              <w:top w:val="single" w:color="000000" w:sz="10" w:space="0"/>
              <w:right w:val="single" w:color="000000" w:sz="10" w:space="0"/>
            </w:tcBorders>
            <w:vAlign w:val="top"/>
          </w:tcPr>
          <w:p w14:paraId="39B29F75">
            <w:pPr>
              <w:spacing w:before="127" w:line="216" w:lineRule="auto"/>
              <w:ind w:left="51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r>
      <w:tr w14:paraId="5CC88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796F811A">
            <w:pPr>
              <w:rPr>
                <w:rFonts w:ascii="Arial"/>
                <w:sz w:val="21"/>
              </w:rPr>
            </w:pPr>
          </w:p>
        </w:tc>
        <w:tc>
          <w:tcPr>
            <w:tcW w:w="2479" w:type="dxa"/>
            <w:vAlign w:val="top"/>
          </w:tcPr>
          <w:p w14:paraId="42306FE9">
            <w:pPr>
              <w:spacing w:before="134" w:line="214" w:lineRule="auto"/>
              <w:ind w:left="4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第一部分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工程措施</w:t>
            </w:r>
          </w:p>
        </w:tc>
        <w:tc>
          <w:tcPr>
            <w:tcW w:w="1542" w:type="dxa"/>
            <w:vAlign w:val="top"/>
          </w:tcPr>
          <w:p w14:paraId="48F96707">
            <w:pPr>
              <w:spacing w:before="165" w:line="188" w:lineRule="auto"/>
              <w:ind w:left="6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3.54</w:t>
            </w:r>
          </w:p>
        </w:tc>
        <w:tc>
          <w:tcPr>
            <w:tcW w:w="1522" w:type="dxa"/>
            <w:vAlign w:val="top"/>
          </w:tcPr>
          <w:p w14:paraId="133DD2A8">
            <w:pPr>
              <w:rPr>
                <w:rFonts w:ascii="Arial"/>
                <w:sz w:val="21"/>
              </w:rPr>
            </w:pPr>
          </w:p>
        </w:tc>
        <w:tc>
          <w:tcPr>
            <w:tcW w:w="1302" w:type="dxa"/>
            <w:vAlign w:val="top"/>
          </w:tcPr>
          <w:p w14:paraId="2AFEEF5B">
            <w:pPr>
              <w:rPr>
                <w:rFonts w:ascii="Arial"/>
                <w:sz w:val="21"/>
              </w:rPr>
            </w:pPr>
          </w:p>
        </w:tc>
        <w:tc>
          <w:tcPr>
            <w:tcW w:w="1365" w:type="dxa"/>
            <w:tcBorders>
              <w:right w:val="single" w:color="000000" w:sz="10" w:space="0"/>
            </w:tcBorders>
            <w:vAlign w:val="top"/>
          </w:tcPr>
          <w:p w14:paraId="1DA9CCB5">
            <w:pPr>
              <w:spacing w:before="165"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3.54</w:t>
            </w:r>
          </w:p>
        </w:tc>
      </w:tr>
      <w:tr w14:paraId="7ACC5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5DE0169F">
            <w:pPr>
              <w:spacing w:before="212" w:line="130" w:lineRule="exact"/>
              <w:ind w:left="303"/>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79" w:type="dxa"/>
            <w:vAlign w:val="top"/>
          </w:tcPr>
          <w:p w14:paraId="3A74BA5C">
            <w:pPr>
              <w:spacing w:before="135" w:line="214" w:lineRule="auto"/>
              <w:ind w:left="60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542" w:type="dxa"/>
            <w:vAlign w:val="top"/>
          </w:tcPr>
          <w:p w14:paraId="77BDFA38">
            <w:pPr>
              <w:spacing w:before="166"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522" w:type="dxa"/>
            <w:vAlign w:val="top"/>
          </w:tcPr>
          <w:p w14:paraId="36CD8D3A">
            <w:pPr>
              <w:rPr>
                <w:rFonts w:ascii="Arial"/>
                <w:sz w:val="21"/>
              </w:rPr>
            </w:pPr>
          </w:p>
        </w:tc>
        <w:tc>
          <w:tcPr>
            <w:tcW w:w="1302" w:type="dxa"/>
            <w:vAlign w:val="top"/>
          </w:tcPr>
          <w:p w14:paraId="245A26B3">
            <w:pPr>
              <w:rPr>
                <w:rFonts w:ascii="Arial"/>
                <w:sz w:val="21"/>
              </w:rPr>
            </w:pPr>
          </w:p>
        </w:tc>
        <w:tc>
          <w:tcPr>
            <w:tcW w:w="1365" w:type="dxa"/>
            <w:tcBorders>
              <w:right w:val="single" w:color="000000" w:sz="10" w:space="0"/>
            </w:tcBorders>
            <w:vAlign w:val="top"/>
          </w:tcPr>
          <w:p w14:paraId="05AC238E">
            <w:pPr>
              <w:spacing w:before="166"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6DDDC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47643A52">
            <w:pPr>
              <w:spacing w:before="139"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6A75F5FC">
            <w:pPr>
              <w:spacing w:before="139" w:line="216" w:lineRule="auto"/>
              <w:ind w:left="69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542" w:type="dxa"/>
            <w:vAlign w:val="top"/>
          </w:tcPr>
          <w:p w14:paraId="053DC7F0">
            <w:pPr>
              <w:spacing w:before="167"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522" w:type="dxa"/>
            <w:vAlign w:val="top"/>
          </w:tcPr>
          <w:p w14:paraId="7FE39F0A">
            <w:pPr>
              <w:rPr>
                <w:rFonts w:ascii="Arial"/>
                <w:sz w:val="21"/>
              </w:rPr>
            </w:pPr>
          </w:p>
        </w:tc>
        <w:tc>
          <w:tcPr>
            <w:tcW w:w="1302" w:type="dxa"/>
            <w:vAlign w:val="top"/>
          </w:tcPr>
          <w:p w14:paraId="3D7F1CAB">
            <w:pPr>
              <w:rPr>
                <w:rFonts w:ascii="Arial"/>
                <w:sz w:val="21"/>
              </w:rPr>
            </w:pPr>
          </w:p>
        </w:tc>
        <w:tc>
          <w:tcPr>
            <w:tcW w:w="1365" w:type="dxa"/>
            <w:tcBorders>
              <w:right w:val="single" w:color="000000" w:sz="10" w:space="0"/>
            </w:tcBorders>
            <w:vAlign w:val="top"/>
          </w:tcPr>
          <w:p w14:paraId="16074E9A">
            <w:pPr>
              <w:spacing w:before="167"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49684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0963B405">
            <w:pPr>
              <w:spacing w:before="180" w:line="171" w:lineRule="auto"/>
              <w:ind w:left="30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79" w:type="dxa"/>
            <w:vAlign w:val="top"/>
          </w:tcPr>
          <w:p w14:paraId="07092B2F">
            <w:pPr>
              <w:spacing w:before="140" w:line="216" w:lineRule="auto"/>
              <w:ind w:left="78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542" w:type="dxa"/>
            <w:vAlign w:val="top"/>
          </w:tcPr>
          <w:p w14:paraId="7E51A2D4">
            <w:pPr>
              <w:spacing w:before="168"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58A537B5">
            <w:pPr>
              <w:rPr>
                <w:rFonts w:ascii="Arial"/>
                <w:sz w:val="21"/>
              </w:rPr>
            </w:pPr>
          </w:p>
        </w:tc>
        <w:tc>
          <w:tcPr>
            <w:tcW w:w="1302" w:type="dxa"/>
            <w:vAlign w:val="top"/>
          </w:tcPr>
          <w:p w14:paraId="295EDB80">
            <w:pPr>
              <w:rPr>
                <w:rFonts w:ascii="Arial"/>
                <w:sz w:val="21"/>
              </w:rPr>
            </w:pPr>
          </w:p>
        </w:tc>
        <w:tc>
          <w:tcPr>
            <w:tcW w:w="1365" w:type="dxa"/>
            <w:tcBorders>
              <w:right w:val="single" w:color="000000" w:sz="10" w:space="0"/>
            </w:tcBorders>
            <w:vAlign w:val="top"/>
          </w:tcPr>
          <w:p w14:paraId="0763BD3D">
            <w:pPr>
              <w:spacing w:before="168"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377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13AD3623">
            <w:pPr>
              <w:spacing w:before="142" w:line="236" w:lineRule="auto"/>
              <w:ind w:left="305"/>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79" w:type="dxa"/>
            <w:vAlign w:val="top"/>
          </w:tcPr>
          <w:p w14:paraId="4EC07C64">
            <w:pPr>
              <w:spacing w:before="141" w:line="216" w:lineRule="auto"/>
              <w:ind w:left="79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542" w:type="dxa"/>
            <w:vAlign w:val="top"/>
          </w:tcPr>
          <w:p w14:paraId="0A9A211F">
            <w:pPr>
              <w:spacing w:before="170" w:line="188" w:lineRule="auto"/>
              <w:ind w:left="6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w:t>
            </w:r>
          </w:p>
        </w:tc>
        <w:tc>
          <w:tcPr>
            <w:tcW w:w="1522" w:type="dxa"/>
            <w:vAlign w:val="top"/>
          </w:tcPr>
          <w:p w14:paraId="7FA6BDF1">
            <w:pPr>
              <w:rPr>
                <w:rFonts w:ascii="Arial"/>
                <w:sz w:val="21"/>
              </w:rPr>
            </w:pPr>
          </w:p>
        </w:tc>
        <w:tc>
          <w:tcPr>
            <w:tcW w:w="1302" w:type="dxa"/>
            <w:vAlign w:val="top"/>
          </w:tcPr>
          <w:p w14:paraId="22A0D9F6">
            <w:pPr>
              <w:rPr>
                <w:rFonts w:ascii="Arial"/>
                <w:sz w:val="21"/>
              </w:rPr>
            </w:pPr>
          </w:p>
        </w:tc>
        <w:tc>
          <w:tcPr>
            <w:tcW w:w="1365" w:type="dxa"/>
            <w:tcBorders>
              <w:right w:val="single" w:color="000000" w:sz="10" w:space="0"/>
            </w:tcBorders>
            <w:vAlign w:val="top"/>
          </w:tcPr>
          <w:p w14:paraId="1E945162">
            <w:pPr>
              <w:spacing w:before="170"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w:t>
            </w:r>
          </w:p>
        </w:tc>
      </w:tr>
      <w:tr w14:paraId="03DA0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1C5B195C">
            <w:pPr>
              <w:spacing w:before="144"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7AED9FF3">
            <w:pPr>
              <w:spacing w:before="144" w:line="216" w:lineRule="auto"/>
              <w:ind w:left="69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542" w:type="dxa"/>
            <w:vAlign w:val="top"/>
          </w:tcPr>
          <w:p w14:paraId="745E3FE6">
            <w:pPr>
              <w:spacing w:before="174"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522" w:type="dxa"/>
            <w:vAlign w:val="top"/>
          </w:tcPr>
          <w:p w14:paraId="3DC8A5C2">
            <w:pPr>
              <w:rPr>
                <w:rFonts w:ascii="Arial"/>
                <w:sz w:val="21"/>
              </w:rPr>
            </w:pPr>
          </w:p>
        </w:tc>
        <w:tc>
          <w:tcPr>
            <w:tcW w:w="1302" w:type="dxa"/>
            <w:vAlign w:val="top"/>
          </w:tcPr>
          <w:p w14:paraId="5E60A8FE">
            <w:pPr>
              <w:rPr>
                <w:rFonts w:ascii="Arial"/>
                <w:sz w:val="21"/>
              </w:rPr>
            </w:pPr>
          </w:p>
        </w:tc>
        <w:tc>
          <w:tcPr>
            <w:tcW w:w="1365" w:type="dxa"/>
            <w:tcBorders>
              <w:right w:val="single" w:color="000000" w:sz="10" w:space="0"/>
            </w:tcBorders>
            <w:vAlign w:val="top"/>
          </w:tcPr>
          <w:p w14:paraId="228BFEBB">
            <w:pPr>
              <w:spacing w:before="174"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46C0B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3A8701EF">
            <w:pPr>
              <w:spacing w:before="145"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79" w:type="dxa"/>
            <w:vAlign w:val="top"/>
          </w:tcPr>
          <w:p w14:paraId="2F844446">
            <w:pPr>
              <w:spacing w:before="145" w:line="216" w:lineRule="auto"/>
              <w:ind w:left="71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防洪排导工程</w:t>
            </w:r>
          </w:p>
        </w:tc>
        <w:tc>
          <w:tcPr>
            <w:tcW w:w="1542" w:type="dxa"/>
            <w:vAlign w:val="top"/>
          </w:tcPr>
          <w:p w14:paraId="3980C841">
            <w:pPr>
              <w:spacing w:before="176" w:line="188" w:lineRule="auto"/>
              <w:ind w:left="6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c>
          <w:tcPr>
            <w:tcW w:w="1522" w:type="dxa"/>
            <w:vAlign w:val="top"/>
          </w:tcPr>
          <w:p w14:paraId="083C0280">
            <w:pPr>
              <w:rPr>
                <w:rFonts w:ascii="Arial"/>
                <w:sz w:val="21"/>
              </w:rPr>
            </w:pPr>
          </w:p>
        </w:tc>
        <w:tc>
          <w:tcPr>
            <w:tcW w:w="1302" w:type="dxa"/>
            <w:vAlign w:val="top"/>
          </w:tcPr>
          <w:p w14:paraId="277D342E">
            <w:pPr>
              <w:rPr>
                <w:rFonts w:ascii="Arial"/>
                <w:sz w:val="21"/>
              </w:rPr>
            </w:pPr>
          </w:p>
        </w:tc>
        <w:tc>
          <w:tcPr>
            <w:tcW w:w="1365" w:type="dxa"/>
            <w:tcBorders>
              <w:right w:val="single" w:color="000000" w:sz="10" w:space="0"/>
            </w:tcBorders>
            <w:vAlign w:val="top"/>
          </w:tcPr>
          <w:p w14:paraId="198D39FF">
            <w:pPr>
              <w:spacing w:before="176"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r>
      <w:tr w14:paraId="1E0CA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04293BBA">
            <w:pPr>
              <w:rPr>
                <w:rFonts w:ascii="Arial"/>
                <w:sz w:val="21"/>
              </w:rPr>
            </w:pPr>
          </w:p>
        </w:tc>
        <w:tc>
          <w:tcPr>
            <w:tcW w:w="2479" w:type="dxa"/>
            <w:vAlign w:val="top"/>
          </w:tcPr>
          <w:p w14:paraId="70308A69">
            <w:pPr>
              <w:spacing w:before="146" w:line="214" w:lineRule="auto"/>
              <w:ind w:left="43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第二部分  植物措施</w:t>
            </w:r>
          </w:p>
        </w:tc>
        <w:tc>
          <w:tcPr>
            <w:tcW w:w="1542" w:type="dxa"/>
            <w:vAlign w:val="top"/>
          </w:tcPr>
          <w:p w14:paraId="0829F040">
            <w:pPr>
              <w:spacing w:before="177"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522" w:type="dxa"/>
            <w:vAlign w:val="top"/>
          </w:tcPr>
          <w:p w14:paraId="6A9D0E7D">
            <w:pPr>
              <w:rPr>
                <w:rFonts w:ascii="Arial"/>
                <w:sz w:val="21"/>
              </w:rPr>
            </w:pPr>
          </w:p>
        </w:tc>
        <w:tc>
          <w:tcPr>
            <w:tcW w:w="1302" w:type="dxa"/>
            <w:vAlign w:val="top"/>
          </w:tcPr>
          <w:p w14:paraId="2DC3F1D7">
            <w:pPr>
              <w:rPr>
                <w:rFonts w:ascii="Arial"/>
                <w:sz w:val="21"/>
              </w:rPr>
            </w:pPr>
          </w:p>
        </w:tc>
        <w:tc>
          <w:tcPr>
            <w:tcW w:w="1365" w:type="dxa"/>
            <w:tcBorders>
              <w:right w:val="single" w:color="000000" w:sz="10" w:space="0"/>
            </w:tcBorders>
            <w:vAlign w:val="top"/>
          </w:tcPr>
          <w:p w14:paraId="43DE4075">
            <w:pPr>
              <w:spacing w:before="177"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0E60D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65F41845">
            <w:pPr>
              <w:spacing w:before="227" w:line="130" w:lineRule="exact"/>
              <w:ind w:left="303"/>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79" w:type="dxa"/>
            <w:vAlign w:val="top"/>
          </w:tcPr>
          <w:p w14:paraId="37BB45F8">
            <w:pPr>
              <w:spacing w:before="150" w:line="214" w:lineRule="auto"/>
              <w:ind w:left="60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542" w:type="dxa"/>
            <w:vAlign w:val="top"/>
          </w:tcPr>
          <w:p w14:paraId="3C7AA07C">
            <w:pPr>
              <w:spacing w:before="179"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6EF251E6">
            <w:pPr>
              <w:rPr>
                <w:rFonts w:ascii="Arial"/>
                <w:sz w:val="21"/>
              </w:rPr>
            </w:pPr>
          </w:p>
        </w:tc>
        <w:tc>
          <w:tcPr>
            <w:tcW w:w="1302" w:type="dxa"/>
            <w:vAlign w:val="top"/>
          </w:tcPr>
          <w:p w14:paraId="08A19A2E">
            <w:pPr>
              <w:rPr>
                <w:rFonts w:ascii="Arial"/>
                <w:sz w:val="21"/>
              </w:rPr>
            </w:pPr>
          </w:p>
        </w:tc>
        <w:tc>
          <w:tcPr>
            <w:tcW w:w="1365" w:type="dxa"/>
            <w:tcBorders>
              <w:right w:val="single" w:color="000000" w:sz="10" w:space="0"/>
            </w:tcBorders>
            <w:vAlign w:val="top"/>
          </w:tcPr>
          <w:p w14:paraId="417E95A8">
            <w:pPr>
              <w:spacing w:before="179"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A8A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3B6BC451">
            <w:pPr>
              <w:spacing w:before="192" w:line="171" w:lineRule="auto"/>
              <w:ind w:left="30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79" w:type="dxa"/>
            <w:vAlign w:val="top"/>
          </w:tcPr>
          <w:p w14:paraId="3A253621">
            <w:pPr>
              <w:spacing w:before="152" w:line="216" w:lineRule="auto"/>
              <w:ind w:left="78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542" w:type="dxa"/>
            <w:vAlign w:val="top"/>
          </w:tcPr>
          <w:p w14:paraId="664AE646">
            <w:pPr>
              <w:spacing w:before="180"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17E7FD6E">
            <w:pPr>
              <w:rPr>
                <w:rFonts w:ascii="Arial"/>
                <w:sz w:val="21"/>
              </w:rPr>
            </w:pPr>
          </w:p>
        </w:tc>
        <w:tc>
          <w:tcPr>
            <w:tcW w:w="1302" w:type="dxa"/>
            <w:vAlign w:val="top"/>
          </w:tcPr>
          <w:p w14:paraId="745E1993">
            <w:pPr>
              <w:rPr>
                <w:rFonts w:ascii="Arial"/>
                <w:sz w:val="21"/>
              </w:rPr>
            </w:pPr>
          </w:p>
        </w:tc>
        <w:tc>
          <w:tcPr>
            <w:tcW w:w="1365" w:type="dxa"/>
            <w:tcBorders>
              <w:right w:val="single" w:color="000000" w:sz="10" w:space="0"/>
            </w:tcBorders>
            <w:vAlign w:val="top"/>
          </w:tcPr>
          <w:p w14:paraId="2DA60537">
            <w:pPr>
              <w:spacing w:before="180"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2CE29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28A28551">
            <w:pPr>
              <w:spacing w:before="154" w:line="236" w:lineRule="auto"/>
              <w:ind w:left="305"/>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79" w:type="dxa"/>
            <w:vAlign w:val="top"/>
          </w:tcPr>
          <w:p w14:paraId="05F02727">
            <w:pPr>
              <w:spacing w:before="153" w:line="216" w:lineRule="auto"/>
              <w:ind w:left="79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542" w:type="dxa"/>
            <w:vAlign w:val="top"/>
          </w:tcPr>
          <w:p w14:paraId="112390E5">
            <w:pPr>
              <w:spacing w:before="182"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522" w:type="dxa"/>
            <w:vAlign w:val="top"/>
          </w:tcPr>
          <w:p w14:paraId="6C8895E0">
            <w:pPr>
              <w:rPr>
                <w:rFonts w:ascii="Arial"/>
                <w:sz w:val="21"/>
              </w:rPr>
            </w:pPr>
          </w:p>
        </w:tc>
        <w:tc>
          <w:tcPr>
            <w:tcW w:w="1302" w:type="dxa"/>
            <w:vAlign w:val="top"/>
          </w:tcPr>
          <w:p w14:paraId="1A415ADF">
            <w:pPr>
              <w:rPr>
                <w:rFonts w:ascii="Arial"/>
                <w:sz w:val="21"/>
              </w:rPr>
            </w:pPr>
          </w:p>
        </w:tc>
        <w:tc>
          <w:tcPr>
            <w:tcW w:w="1365" w:type="dxa"/>
            <w:tcBorders>
              <w:right w:val="single" w:color="000000" w:sz="10" w:space="0"/>
            </w:tcBorders>
            <w:vAlign w:val="top"/>
          </w:tcPr>
          <w:p w14:paraId="029411A3">
            <w:pPr>
              <w:spacing w:before="182"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67100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035CE0AD">
            <w:pPr>
              <w:spacing w:before="156"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16936333">
            <w:pPr>
              <w:spacing w:before="155" w:line="214" w:lineRule="auto"/>
              <w:ind w:left="42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植被恢复与建设工程</w:t>
            </w:r>
          </w:p>
        </w:tc>
        <w:tc>
          <w:tcPr>
            <w:tcW w:w="1542" w:type="dxa"/>
            <w:vAlign w:val="top"/>
          </w:tcPr>
          <w:p w14:paraId="702C379F">
            <w:pPr>
              <w:spacing w:before="186"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522" w:type="dxa"/>
            <w:vAlign w:val="top"/>
          </w:tcPr>
          <w:p w14:paraId="7F33C4A2">
            <w:pPr>
              <w:rPr>
                <w:rFonts w:ascii="Arial"/>
                <w:sz w:val="21"/>
              </w:rPr>
            </w:pPr>
          </w:p>
        </w:tc>
        <w:tc>
          <w:tcPr>
            <w:tcW w:w="1302" w:type="dxa"/>
            <w:vAlign w:val="top"/>
          </w:tcPr>
          <w:p w14:paraId="1ADF1BC0">
            <w:pPr>
              <w:rPr>
                <w:rFonts w:ascii="Arial"/>
                <w:sz w:val="21"/>
              </w:rPr>
            </w:pPr>
          </w:p>
        </w:tc>
        <w:tc>
          <w:tcPr>
            <w:tcW w:w="1365" w:type="dxa"/>
            <w:tcBorders>
              <w:right w:val="single" w:color="000000" w:sz="10" w:space="0"/>
            </w:tcBorders>
            <w:vAlign w:val="top"/>
          </w:tcPr>
          <w:p w14:paraId="042D2083">
            <w:pPr>
              <w:spacing w:before="186"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40D87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82" w:type="dxa"/>
            <w:tcBorders>
              <w:left w:val="single" w:color="000000" w:sz="10" w:space="0"/>
              <w:bottom w:val="single" w:color="000000" w:sz="10" w:space="0"/>
            </w:tcBorders>
            <w:vAlign w:val="top"/>
          </w:tcPr>
          <w:p w14:paraId="734A6A68">
            <w:pPr>
              <w:rPr>
                <w:rFonts w:ascii="Arial"/>
                <w:sz w:val="21"/>
              </w:rPr>
            </w:pPr>
          </w:p>
        </w:tc>
        <w:tc>
          <w:tcPr>
            <w:tcW w:w="2479" w:type="dxa"/>
            <w:tcBorders>
              <w:bottom w:val="single" w:color="000000" w:sz="10" w:space="0"/>
            </w:tcBorders>
            <w:vAlign w:val="top"/>
          </w:tcPr>
          <w:p w14:paraId="115513A5">
            <w:pPr>
              <w:spacing w:before="156" w:line="214" w:lineRule="auto"/>
              <w:ind w:left="4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第三部分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监测措施</w:t>
            </w:r>
          </w:p>
        </w:tc>
        <w:tc>
          <w:tcPr>
            <w:tcW w:w="1542" w:type="dxa"/>
            <w:tcBorders>
              <w:bottom w:val="single" w:color="000000" w:sz="10" w:space="0"/>
            </w:tcBorders>
            <w:vAlign w:val="top"/>
          </w:tcPr>
          <w:p w14:paraId="48C5ABF0">
            <w:pPr>
              <w:spacing w:before="187"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tcBorders>
              <w:bottom w:val="single" w:color="000000" w:sz="10" w:space="0"/>
            </w:tcBorders>
            <w:vAlign w:val="top"/>
          </w:tcPr>
          <w:p w14:paraId="435C3E63">
            <w:pPr>
              <w:rPr>
                <w:rFonts w:ascii="Arial"/>
                <w:sz w:val="21"/>
              </w:rPr>
            </w:pPr>
          </w:p>
        </w:tc>
        <w:tc>
          <w:tcPr>
            <w:tcW w:w="1302" w:type="dxa"/>
            <w:tcBorders>
              <w:bottom w:val="single" w:color="000000" w:sz="10" w:space="0"/>
            </w:tcBorders>
            <w:vAlign w:val="top"/>
          </w:tcPr>
          <w:p w14:paraId="56BD5878">
            <w:pPr>
              <w:rPr>
                <w:rFonts w:ascii="Arial"/>
                <w:sz w:val="21"/>
              </w:rPr>
            </w:pPr>
          </w:p>
        </w:tc>
        <w:tc>
          <w:tcPr>
            <w:tcW w:w="1365" w:type="dxa"/>
            <w:tcBorders>
              <w:bottom w:val="single" w:color="000000" w:sz="10" w:space="0"/>
              <w:right w:val="single" w:color="000000" w:sz="10" w:space="0"/>
            </w:tcBorders>
            <w:vAlign w:val="top"/>
          </w:tcPr>
          <w:p w14:paraId="292DD055">
            <w:pPr>
              <w:spacing w:before="187"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14:paraId="47F5C562">
      <w:pPr>
        <w:spacing w:before="154" w:line="229" w:lineRule="auto"/>
        <w:ind w:left="5507"/>
        <w:rPr>
          <w:rFonts w:ascii="FangSong_GB2312" w:hAnsi="FangSong_GB2312" w:eastAsia="FangSong_GB2312" w:cs="FangSong_GB2312"/>
          <w:sz w:val="20"/>
          <w:szCs w:val="20"/>
        </w:rPr>
      </w:pPr>
      <w:r>
        <w:pict>
          <v:shape id="_x0000_s1091" o:spid="_x0000_s1091" o:spt="202" type="#_x0000_t202" style="position:absolute;left:0pt;margin-left:223pt;margin-top:7.45pt;height:10.15pt;width:10.65pt;z-index:251765760;mso-width-relative:page;mso-height-relative:page;" filled="f" stroked="f" coordsize="21600,21600">
            <v:path/>
            <v:fill on="f" focussize="0,0"/>
            <v:stroke on="f"/>
            <v:imagedata o:title=""/>
            <o:lock v:ext="edit" aspectratio="f"/>
            <v:textbox inset="0mm,0mm,0mm,0mm">
              <w:txbxContent>
                <w:p w14:paraId="13EB929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txbxContent>
            </v:textbox>
          </v:shape>
        </w:pict>
      </w:r>
      <w:r>
        <w:rPr>
          <w:rFonts w:ascii="FangSong_GB2312" w:hAnsi="FangSong_GB2312" w:eastAsia="FangSong_GB2312" w:cs="FangSong_GB2312"/>
          <w:spacing w:val="8"/>
          <w:sz w:val="20"/>
          <w:szCs w:val="20"/>
        </w:rPr>
        <w:t>剑阁县绿森林业勘察设计有限公司</w:t>
      </w:r>
    </w:p>
    <w:p w14:paraId="1343CB33">
      <w:pPr>
        <w:spacing w:line="229" w:lineRule="auto"/>
        <w:rPr>
          <w:rFonts w:ascii="FangSong_GB2312" w:hAnsi="FangSong_GB2312" w:eastAsia="FangSong_GB2312" w:cs="FangSong_GB2312"/>
          <w:sz w:val="20"/>
          <w:szCs w:val="20"/>
        </w:rPr>
        <w:sectPr>
          <w:headerReference r:id="rId67" w:type="default"/>
          <w:pgSz w:w="11906" w:h="16839"/>
          <w:pgMar w:top="1159" w:right="1443" w:bottom="400" w:left="1391" w:header="831" w:footer="0" w:gutter="0"/>
          <w:cols w:space="720" w:num="1"/>
        </w:sectPr>
      </w:pPr>
    </w:p>
    <w:p w14:paraId="2C0A7C15">
      <w:pPr>
        <w:spacing w:line="167" w:lineRule="exact"/>
      </w:pPr>
    </w:p>
    <w:tbl>
      <w:tblPr>
        <w:tblStyle w:val="6"/>
        <w:tblW w:w="89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2"/>
        <w:gridCol w:w="2479"/>
        <w:gridCol w:w="1542"/>
        <w:gridCol w:w="1522"/>
        <w:gridCol w:w="1302"/>
        <w:gridCol w:w="1365"/>
      </w:tblGrid>
      <w:tr w14:paraId="36993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82" w:type="dxa"/>
            <w:tcBorders>
              <w:top w:val="single" w:color="000000" w:sz="10" w:space="0"/>
              <w:left w:val="single" w:color="000000" w:sz="10" w:space="0"/>
            </w:tcBorders>
            <w:vAlign w:val="top"/>
          </w:tcPr>
          <w:p w14:paraId="3F195429">
            <w:pPr>
              <w:spacing w:before="203" w:line="130" w:lineRule="exact"/>
              <w:ind w:left="303"/>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79" w:type="dxa"/>
            <w:tcBorders>
              <w:top w:val="single" w:color="000000" w:sz="10" w:space="0"/>
            </w:tcBorders>
            <w:vAlign w:val="top"/>
          </w:tcPr>
          <w:p w14:paraId="2F20BA70">
            <w:pPr>
              <w:spacing w:before="127" w:line="215" w:lineRule="auto"/>
              <w:ind w:left="69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水土保持监测</w:t>
            </w:r>
          </w:p>
        </w:tc>
        <w:tc>
          <w:tcPr>
            <w:tcW w:w="1542" w:type="dxa"/>
            <w:tcBorders>
              <w:top w:val="single" w:color="000000" w:sz="10" w:space="0"/>
            </w:tcBorders>
            <w:vAlign w:val="top"/>
          </w:tcPr>
          <w:p w14:paraId="2375688C">
            <w:pPr>
              <w:spacing w:before="157"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tcBorders>
              <w:top w:val="single" w:color="000000" w:sz="10" w:space="0"/>
            </w:tcBorders>
            <w:vAlign w:val="top"/>
          </w:tcPr>
          <w:p w14:paraId="44CB8ACE">
            <w:pPr>
              <w:rPr>
                <w:rFonts w:ascii="Arial"/>
                <w:sz w:val="21"/>
              </w:rPr>
            </w:pPr>
          </w:p>
        </w:tc>
        <w:tc>
          <w:tcPr>
            <w:tcW w:w="1302" w:type="dxa"/>
            <w:tcBorders>
              <w:top w:val="single" w:color="000000" w:sz="10" w:space="0"/>
            </w:tcBorders>
            <w:vAlign w:val="top"/>
          </w:tcPr>
          <w:p w14:paraId="4F726F16">
            <w:pPr>
              <w:rPr>
                <w:rFonts w:ascii="Arial"/>
                <w:sz w:val="21"/>
              </w:rPr>
            </w:pPr>
          </w:p>
        </w:tc>
        <w:tc>
          <w:tcPr>
            <w:tcW w:w="1365" w:type="dxa"/>
            <w:tcBorders>
              <w:top w:val="single" w:color="000000" w:sz="10" w:space="0"/>
              <w:right w:val="single" w:color="000000" w:sz="10" w:space="0"/>
            </w:tcBorders>
            <w:vAlign w:val="top"/>
          </w:tcPr>
          <w:p w14:paraId="39834A22">
            <w:pPr>
              <w:spacing w:before="157"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262D4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70B2C8E6">
            <w:pPr>
              <w:spacing w:before="134"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6DEE0A34">
            <w:pPr>
              <w:spacing w:before="133" w:line="214" w:lineRule="auto"/>
              <w:ind w:left="8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土建设施</w:t>
            </w:r>
          </w:p>
        </w:tc>
        <w:tc>
          <w:tcPr>
            <w:tcW w:w="1542" w:type="dxa"/>
            <w:vAlign w:val="top"/>
          </w:tcPr>
          <w:p w14:paraId="34BB2369">
            <w:pPr>
              <w:spacing w:before="164"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7E50635B">
            <w:pPr>
              <w:rPr>
                <w:rFonts w:ascii="Arial"/>
                <w:sz w:val="21"/>
              </w:rPr>
            </w:pPr>
          </w:p>
        </w:tc>
        <w:tc>
          <w:tcPr>
            <w:tcW w:w="1302" w:type="dxa"/>
            <w:vAlign w:val="top"/>
          </w:tcPr>
          <w:p w14:paraId="7B9E1977">
            <w:pPr>
              <w:rPr>
                <w:rFonts w:ascii="Arial"/>
                <w:sz w:val="21"/>
              </w:rPr>
            </w:pPr>
          </w:p>
        </w:tc>
        <w:tc>
          <w:tcPr>
            <w:tcW w:w="1365" w:type="dxa"/>
            <w:tcBorders>
              <w:right w:val="single" w:color="000000" w:sz="10" w:space="0"/>
            </w:tcBorders>
            <w:vAlign w:val="top"/>
          </w:tcPr>
          <w:p w14:paraId="4DA5EB96">
            <w:pPr>
              <w:spacing w:before="164"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65355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370373A0">
            <w:pPr>
              <w:spacing w:before="137"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79" w:type="dxa"/>
            <w:vAlign w:val="top"/>
          </w:tcPr>
          <w:p w14:paraId="14C3BE6A">
            <w:pPr>
              <w:spacing w:before="137" w:line="214" w:lineRule="auto"/>
              <w:ind w:left="78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设备及安装</w:t>
            </w:r>
          </w:p>
        </w:tc>
        <w:tc>
          <w:tcPr>
            <w:tcW w:w="1542" w:type="dxa"/>
            <w:vAlign w:val="top"/>
          </w:tcPr>
          <w:p w14:paraId="145F88F8">
            <w:pPr>
              <w:spacing w:before="165"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004AA0B0">
            <w:pPr>
              <w:rPr>
                <w:rFonts w:ascii="Arial"/>
                <w:sz w:val="21"/>
              </w:rPr>
            </w:pPr>
          </w:p>
        </w:tc>
        <w:tc>
          <w:tcPr>
            <w:tcW w:w="1302" w:type="dxa"/>
            <w:vAlign w:val="top"/>
          </w:tcPr>
          <w:p w14:paraId="523949B5">
            <w:pPr>
              <w:rPr>
                <w:rFonts w:ascii="Arial"/>
                <w:sz w:val="21"/>
              </w:rPr>
            </w:pPr>
          </w:p>
        </w:tc>
        <w:tc>
          <w:tcPr>
            <w:tcW w:w="1365" w:type="dxa"/>
            <w:tcBorders>
              <w:right w:val="single" w:color="000000" w:sz="10" w:space="0"/>
            </w:tcBorders>
            <w:vAlign w:val="top"/>
          </w:tcPr>
          <w:p w14:paraId="339D2DDB">
            <w:pPr>
              <w:spacing w:before="165"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2210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4EF09B0F">
            <w:pPr>
              <w:spacing w:before="177" w:line="171" w:lineRule="auto"/>
              <w:ind w:left="30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79" w:type="dxa"/>
            <w:vAlign w:val="top"/>
          </w:tcPr>
          <w:p w14:paraId="62B394B2">
            <w:pPr>
              <w:spacing w:before="137" w:line="216" w:lineRule="auto"/>
              <w:ind w:left="61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弃渣场稳定监测</w:t>
            </w:r>
          </w:p>
        </w:tc>
        <w:tc>
          <w:tcPr>
            <w:tcW w:w="1542" w:type="dxa"/>
            <w:vAlign w:val="top"/>
          </w:tcPr>
          <w:p w14:paraId="4927AE7D">
            <w:pPr>
              <w:spacing w:before="165"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122A738C">
            <w:pPr>
              <w:rPr>
                <w:rFonts w:ascii="Arial"/>
                <w:sz w:val="21"/>
              </w:rPr>
            </w:pPr>
          </w:p>
        </w:tc>
        <w:tc>
          <w:tcPr>
            <w:tcW w:w="1302" w:type="dxa"/>
            <w:vAlign w:val="top"/>
          </w:tcPr>
          <w:p w14:paraId="00ECF597">
            <w:pPr>
              <w:rPr>
                <w:rFonts w:ascii="Arial"/>
                <w:sz w:val="21"/>
              </w:rPr>
            </w:pPr>
          </w:p>
        </w:tc>
        <w:tc>
          <w:tcPr>
            <w:tcW w:w="1365" w:type="dxa"/>
            <w:tcBorders>
              <w:right w:val="single" w:color="000000" w:sz="10" w:space="0"/>
            </w:tcBorders>
            <w:vAlign w:val="top"/>
          </w:tcPr>
          <w:p w14:paraId="46FEB7B7">
            <w:pPr>
              <w:spacing w:before="165"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92D7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782" w:type="dxa"/>
            <w:tcBorders>
              <w:left w:val="single" w:color="000000" w:sz="10" w:space="0"/>
            </w:tcBorders>
            <w:vAlign w:val="top"/>
          </w:tcPr>
          <w:p w14:paraId="1CA355EA">
            <w:pPr>
              <w:spacing w:before="138"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3CBDA8F4">
            <w:pPr>
              <w:spacing w:before="137" w:line="214" w:lineRule="auto"/>
              <w:ind w:left="8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土建设施</w:t>
            </w:r>
          </w:p>
        </w:tc>
        <w:tc>
          <w:tcPr>
            <w:tcW w:w="1542" w:type="dxa"/>
            <w:vAlign w:val="top"/>
          </w:tcPr>
          <w:p w14:paraId="7598A236">
            <w:pPr>
              <w:spacing w:before="166"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3031A031">
            <w:pPr>
              <w:rPr>
                <w:rFonts w:ascii="Arial"/>
                <w:sz w:val="21"/>
              </w:rPr>
            </w:pPr>
          </w:p>
        </w:tc>
        <w:tc>
          <w:tcPr>
            <w:tcW w:w="1302" w:type="dxa"/>
            <w:vAlign w:val="top"/>
          </w:tcPr>
          <w:p w14:paraId="276F6666">
            <w:pPr>
              <w:rPr>
                <w:rFonts w:ascii="Arial"/>
                <w:sz w:val="21"/>
              </w:rPr>
            </w:pPr>
          </w:p>
        </w:tc>
        <w:tc>
          <w:tcPr>
            <w:tcW w:w="1365" w:type="dxa"/>
            <w:tcBorders>
              <w:right w:val="single" w:color="000000" w:sz="10" w:space="0"/>
            </w:tcBorders>
            <w:vAlign w:val="top"/>
          </w:tcPr>
          <w:p w14:paraId="15299447">
            <w:pPr>
              <w:spacing w:before="166"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701E1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3751FCBB">
            <w:pPr>
              <w:spacing w:before="140"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79" w:type="dxa"/>
            <w:vAlign w:val="top"/>
          </w:tcPr>
          <w:p w14:paraId="02B28F1E">
            <w:pPr>
              <w:spacing w:before="140" w:line="214" w:lineRule="auto"/>
              <w:ind w:left="78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设备及安装</w:t>
            </w:r>
          </w:p>
        </w:tc>
        <w:tc>
          <w:tcPr>
            <w:tcW w:w="1542" w:type="dxa"/>
            <w:vAlign w:val="top"/>
          </w:tcPr>
          <w:p w14:paraId="607FC3FA">
            <w:pPr>
              <w:spacing w:before="170"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431CEBB7">
            <w:pPr>
              <w:rPr>
                <w:rFonts w:ascii="Arial"/>
                <w:sz w:val="21"/>
              </w:rPr>
            </w:pPr>
          </w:p>
        </w:tc>
        <w:tc>
          <w:tcPr>
            <w:tcW w:w="1302" w:type="dxa"/>
            <w:vAlign w:val="top"/>
          </w:tcPr>
          <w:p w14:paraId="08003B09">
            <w:pPr>
              <w:rPr>
                <w:rFonts w:ascii="Arial"/>
                <w:sz w:val="21"/>
              </w:rPr>
            </w:pPr>
          </w:p>
        </w:tc>
        <w:tc>
          <w:tcPr>
            <w:tcW w:w="1365" w:type="dxa"/>
            <w:tcBorders>
              <w:right w:val="single" w:color="000000" w:sz="10" w:space="0"/>
            </w:tcBorders>
            <w:vAlign w:val="top"/>
          </w:tcPr>
          <w:p w14:paraId="225149CE">
            <w:pPr>
              <w:spacing w:before="170"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B930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716BA66D">
            <w:pPr>
              <w:spacing w:before="140" w:line="236" w:lineRule="auto"/>
              <w:ind w:left="305"/>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79" w:type="dxa"/>
            <w:vAlign w:val="top"/>
          </w:tcPr>
          <w:p w14:paraId="24BB8264">
            <w:pPr>
              <w:spacing w:before="140" w:line="214" w:lineRule="auto"/>
              <w:ind w:left="69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建设期观测费</w:t>
            </w:r>
          </w:p>
        </w:tc>
        <w:tc>
          <w:tcPr>
            <w:tcW w:w="1542" w:type="dxa"/>
            <w:vAlign w:val="top"/>
          </w:tcPr>
          <w:p w14:paraId="51F2D566">
            <w:pPr>
              <w:spacing w:before="171"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7DA698BB">
            <w:pPr>
              <w:rPr>
                <w:rFonts w:ascii="Arial"/>
                <w:sz w:val="21"/>
              </w:rPr>
            </w:pPr>
          </w:p>
        </w:tc>
        <w:tc>
          <w:tcPr>
            <w:tcW w:w="1302" w:type="dxa"/>
            <w:vAlign w:val="top"/>
          </w:tcPr>
          <w:p w14:paraId="04AF041C">
            <w:pPr>
              <w:rPr>
                <w:rFonts w:ascii="Arial"/>
                <w:sz w:val="21"/>
              </w:rPr>
            </w:pPr>
          </w:p>
        </w:tc>
        <w:tc>
          <w:tcPr>
            <w:tcW w:w="1365" w:type="dxa"/>
            <w:tcBorders>
              <w:right w:val="single" w:color="000000" w:sz="10" w:space="0"/>
            </w:tcBorders>
            <w:vAlign w:val="top"/>
          </w:tcPr>
          <w:p w14:paraId="438AB322">
            <w:pPr>
              <w:spacing w:before="171"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3DA5F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5381F152">
            <w:pPr>
              <w:rPr>
                <w:rFonts w:ascii="Arial"/>
                <w:sz w:val="21"/>
              </w:rPr>
            </w:pPr>
          </w:p>
        </w:tc>
        <w:tc>
          <w:tcPr>
            <w:tcW w:w="2479" w:type="dxa"/>
            <w:vAlign w:val="top"/>
          </w:tcPr>
          <w:p w14:paraId="0672B170">
            <w:pPr>
              <w:spacing w:before="141" w:line="215" w:lineRule="auto"/>
              <w:ind w:left="25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第四部分  施工临时工程</w:t>
            </w:r>
          </w:p>
        </w:tc>
        <w:tc>
          <w:tcPr>
            <w:tcW w:w="1542" w:type="dxa"/>
            <w:vAlign w:val="top"/>
          </w:tcPr>
          <w:p w14:paraId="3D4B56AE">
            <w:pPr>
              <w:spacing w:before="171"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522" w:type="dxa"/>
            <w:vAlign w:val="top"/>
          </w:tcPr>
          <w:p w14:paraId="12F9B626">
            <w:pPr>
              <w:rPr>
                <w:rFonts w:ascii="Arial"/>
                <w:sz w:val="21"/>
              </w:rPr>
            </w:pPr>
          </w:p>
        </w:tc>
        <w:tc>
          <w:tcPr>
            <w:tcW w:w="1302" w:type="dxa"/>
            <w:vAlign w:val="top"/>
          </w:tcPr>
          <w:p w14:paraId="20E75C27">
            <w:pPr>
              <w:rPr>
                <w:rFonts w:ascii="Arial"/>
                <w:sz w:val="21"/>
              </w:rPr>
            </w:pPr>
          </w:p>
        </w:tc>
        <w:tc>
          <w:tcPr>
            <w:tcW w:w="1365" w:type="dxa"/>
            <w:tcBorders>
              <w:right w:val="single" w:color="000000" w:sz="10" w:space="0"/>
            </w:tcBorders>
            <w:vAlign w:val="top"/>
          </w:tcPr>
          <w:p w14:paraId="4CAF1759">
            <w:pPr>
              <w:spacing w:before="171"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r w14:paraId="7EDAC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3049BCC0">
            <w:pPr>
              <w:spacing w:before="220" w:line="130" w:lineRule="exact"/>
              <w:ind w:left="303"/>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79" w:type="dxa"/>
            <w:vAlign w:val="top"/>
          </w:tcPr>
          <w:p w14:paraId="6EDC5504">
            <w:pPr>
              <w:spacing w:before="144" w:line="215" w:lineRule="auto"/>
              <w:ind w:left="70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临时防护工程</w:t>
            </w:r>
          </w:p>
        </w:tc>
        <w:tc>
          <w:tcPr>
            <w:tcW w:w="1542" w:type="dxa"/>
            <w:vAlign w:val="top"/>
          </w:tcPr>
          <w:p w14:paraId="3B45A071">
            <w:pPr>
              <w:spacing w:before="172"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7B0F6896">
            <w:pPr>
              <w:rPr>
                <w:rFonts w:ascii="Arial"/>
                <w:sz w:val="21"/>
              </w:rPr>
            </w:pPr>
          </w:p>
        </w:tc>
        <w:tc>
          <w:tcPr>
            <w:tcW w:w="1302" w:type="dxa"/>
            <w:vAlign w:val="top"/>
          </w:tcPr>
          <w:p w14:paraId="550E765A">
            <w:pPr>
              <w:rPr>
                <w:rFonts w:ascii="Arial"/>
                <w:sz w:val="21"/>
              </w:rPr>
            </w:pPr>
          </w:p>
        </w:tc>
        <w:tc>
          <w:tcPr>
            <w:tcW w:w="1365" w:type="dxa"/>
            <w:tcBorders>
              <w:right w:val="single" w:color="000000" w:sz="10" w:space="0"/>
            </w:tcBorders>
            <w:vAlign w:val="top"/>
          </w:tcPr>
          <w:p w14:paraId="7EACCBAA">
            <w:pPr>
              <w:spacing w:before="172"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28BAD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2DF1836A">
            <w:pPr>
              <w:spacing w:before="144"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6E4B4DD5">
            <w:pPr>
              <w:spacing w:before="144" w:line="214" w:lineRule="auto"/>
              <w:ind w:left="60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542" w:type="dxa"/>
            <w:vAlign w:val="top"/>
          </w:tcPr>
          <w:p w14:paraId="2FBD2E20">
            <w:pPr>
              <w:spacing w:before="172"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14C34F82">
            <w:pPr>
              <w:rPr>
                <w:rFonts w:ascii="Arial"/>
                <w:sz w:val="21"/>
              </w:rPr>
            </w:pPr>
          </w:p>
        </w:tc>
        <w:tc>
          <w:tcPr>
            <w:tcW w:w="1302" w:type="dxa"/>
            <w:vAlign w:val="top"/>
          </w:tcPr>
          <w:p w14:paraId="2694CD92">
            <w:pPr>
              <w:rPr>
                <w:rFonts w:ascii="Arial"/>
                <w:sz w:val="21"/>
              </w:rPr>
            </w:pPr>
          </w:p>
        </w:tc>
        <w:tc>
          <w:tcPr>
            <w:tcW w:w="1365" w:type="dxa"/>
            <w:tcBorders>
              <w:right w:val="single" w:color="000000" w:sz="10" w:space="0"/>
            </w:tcBorders>
            <w:vAlign w:val="top"/>
          </w:tcPr>
          <w:p w14:paraId="5325F618">
            <w:pPr>
              <w:spacing w:before="172"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5DB4E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5B490966">
            <w:pPr>
              <w:spacing w:before="145"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79" w:type="dxa"/>
            <w:vAlign w:val="top"/>
          </w:tcPr>
          <w:p w14:paraId="7E770175">
            <w:pPr>
              <w:spacing w:before="144" w:line="216" w:lineRule="auto"/>
              <w:ind w:left="78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542" w:type="dxa"/>
            <w:vAlign w:val="top"/>
          </w:tcPr>
          <w:p w14:paraId="7C914394">
            <w:pPr>
              <w:spacing w:before="173"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4C566E01">
            <w:pPr>
              <w:rPr>
                <w:rFonts w:ascii="Arial"/>
                <w:sz w:val="21"/>
              </w:rPr>
            </w:pPr>
          </w:p>
        </w:tc>
        <w:tc>
          <w:tcPr>
            <w:tcW w:w="1302" w:type="dxa"/>
            <w:vAlign w:val="top"/>
          </w:tcPr>
          <w:p w14:paraId="57074338">
            <w:pPr>
              <w:rPr>
                <w:rFonts w:ascii="Arial"/>
                <w:sz w:val="21"/>
              </w:rPr>
            </w:pPr>
          </w:p>
        </w:tc>
        <w:tc>
          <w:tcPr>
            <w:tcW w:w="1365" w:type="dxa"/>
            <w:tcBorders>
              <w:right w:val="single" w:color="000000" w:sz="10" w:space="0"/>
            </w:tcBorders>
            <w:vAlign w:val="top"/>
          </w:tcPr>
          <w:p w14:paraId="32CB51C5">
            <w:pPr>
              <w:spacing w:before="173"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6D75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65ED1D4E">
            <w:pPr>
              <w:spacing w:before="146"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（三）</w:t>
            </w:r>
          </w:p>
        </w:tc>
        <w:tc>
          <w:tcPr>
            <w:tcW w:w="2479" w:type="dxa"/>
            <w:vAlign w:val="top"/>
          </w:tcPr>
          <w:p w14:paraId="0F78BE5A">
            <w:pPr>
              <w:spacing w:before="145" w:line="216" w:lineRule="auto"/>
              <w:ind w:left="79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542" w:type="dxa"/>
            <w:vAlign w:val="top"/>
          </w:tcPr>
          <w:p w14:paraId="7DD29413">
            <w:pPr>
              <w:spacing w:before="176"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402B782A">
            <w:pPr>
              <w:rPr>
                <w:rFonts w:ascii="Arial"/>
                <w:sz w:val="21"/>
              </w:rPr>
            </w:pPr>
          </w:p>
        </w:tc>
        <w:tc>
          <w:tcPr>
            <w:tcW w:w="1302" w:type="dxa"/>
            <w:vAlign w:val="top"/>
          </w:tcPr>
          <w:p w14:paraId="39A31CE5">
            <w:pPr>
              <w:rPr>
                <w:rFonts w:ascii="Arial"/>
                <w:sz w:val="21"/>
              </w:rPr>
            </w:pPr>
          </w:p>
        </w:tc>
        <w:tc>
          <w:tcPr>
            <w:tcW w:w="1365" w:type="dxa"/>
            <w:tcBorders>
              <w:right w:val="single" w:color="000000" w:sz="10" w:space="0"/>
            </w:tcBorders>
            <w:vAlign w:val="top"/>
          </w:tcPr>
          <w:p w14:paraId="533ED0C2">
            <w:pPr>
              <w:spacing w:before="176"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3B942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2816FB62">
            <w:pPr>
              <w:spacing w:before="185" w:line="171" w:lineRule="auto"/>
              <w:ind w:left="30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79" w:type="dxa"/>
            <w:vAlign w:val="top"/>
          </w:tcPr>
          <w:p w14:paraId="662A47A2">
            <w:pPr>
              <w:spacing w:before="146" w:line="215" w:lineRule="auto"/>
              <w:ind w:left="69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其他临时工程</w:t>
            </w:r>
          </w:p>
        </w:tc>
        <w:tc>
          <w:tcPr>
            <w:tcW w:w="1542" w:type="dxa"/>
            <w:vAlign w:val="top"/>
          </w:tcPr>
          <w:p w14:paraId="4A8D6E92">
            <w:pPr>
              <w:spacing w:before="177"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522" w:type="dxa"/>
            <w:vAlign w:val="top"/>
          </w:tcPr>
          <w:p w14:paraId="1450DACA">
            <w:pPr>
              <w:rPr>
                <w:rFonts w:ascii="Arial"/>
                <w:sz w:val="21"/>
              </w:rPr>
            </w:pPr>
          </w:p>
        </w:tc>
        <w:tc>
          <w:tcPr>
            <w:tcW w:w="1302" w:type="dxa"/>
            <w:vAlign w:val="top"/>
          </w:tcPr>
          <w:p w14:paraId="0C8A2550">
            <w:pPr>
              <w:rPr>
                <w:rFonts w:ascii="Arial"/>
                <w:sz w:val="21"/>
              </w:rPr>
            </w:pPr>
          </w:p>
        </w:tc>
        <w:tc>
          <w:tcPr>
            <w:tcW w:w="1365" w:type="dxa"/>
            <w:tcBorders>
              <w:right w:val="single" w:color="000000" w:sz="10" w:space="0"/>
            </w:tcBorders>
            <w:vAlign w:val="top"/>
          </w:tcPr>
          <w:p w14:paraId="7895587C">
            <w:pPr>
              <w:spacing w:before="177"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r w14:paraId="7FC72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1FE5C6CA">
            <w:pPr>
              <w:rPr>
                <w:rFonts w:ascii="Arial"/>
                <w:sz w:val="21"/>
              </w:rPr>
            </w:pPr>
          </w:p>
        </w:tc>
        <w:tc>
          <w:tcPr>
            <w:tcW w:w="2479" w:type="dxa"/>
            <w:vAlign w:val="top"/>
          </w:tcPr>
          <w:p w14:paraId="3EA85BF0">
            <w:pPr>
              <w:spacing w:before="146" w:line="214" w:lineRule="auto"/>
              <w:ind w:left="4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第五部分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独立费用</w:t>
            </w:r>
          </w:p>
        </w:tc>
        <w:tc>
          <w:tcPr>
            <w:tcW w:w="1542" w:type="dxa"/>
            <w:vAlign w:val="top"/>
          </w:tcPr>
          <w:p w14:paraId="3FB5DC9D">
            <w:pPr>
              <w:spacing w:before="177"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w:t>
            </w:r>
          </w:p>
        </w:tc>
        <w:tc>
          <w:tcPr>
            <w:tcW w:w="1522" w:type="dxa"/>
            <w:vAlign w:val="top"/>
          </w:tcPr>
          <w:p w14:paraId="2E3B5498">
            <w:pPr>
              <w:rPr>
                <w:rFonts w:ascii="Arial"/>
                <w:sz w:val="21"/>
              </w:rPr>
            </w:pPr>
          </w:p>
        </w:tc>
        <w:tc>
          <w:tcPr>
            <w:tcW w:w="1302" w:type="dxa"/>
            <w:vAlign w:val="top"/>
          </w:tcPr>
          <w:p w14:paraId="694BCF79">
            <w:pPr>
              <w:rPr>
                <w:rFonts w:ascii="Arial"/>
                <w:sz w:val="21"/>
              </w:rPr>
            </w:pPr>
          </w:p>
        </w:tc>
        <w:tc>
          <w:tcPr>
            <w:tcW w:w="1365" w:type="dxa"/>
            <w:tcBorders>
              <w:right w:val="single" w:color="000000" w:sz="10" w:space="0"/>
            </w:tcBorders>
            <w:vAlign w:val="top"/>
          </w:tcPr>
          <w:p w14:paraId="37AB9B47">
            <w:pPr>
              <w:spacing w:before="177"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w:t>
            </w:r>
          </w:p>
        </w:tc>
      </w:tr>
      <w:tr w14:paraId="7B4C2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7E3432BD">
            <w:pPr>
              <w:spacing w:before="226" w:line="130" w:lineRule="exact"/>
              <w:ind w:left="303"/>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79" w:type="dxa"/>
            <w:vAlign w:val="top"/>
          </w:tcPr>
          <w:p w14:paraId="719B152B">
            <w:pPr>
              <w:spacing w:before="149" w:line="214" w:lineRule="auto"/>
              <w:ind w:left="78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建设管理费</w:t>
            </w:r>
          </w:p>
        </w:tc>
        <w:tc>
          <w:tcPr>
            <w:tcW w:w="1542" w:type="dxa"/>
            <w:vAlign w:val="top"/>
          </w:tcPr>
          <w:p w14:paraId="4B377195">
            <w:pPr>
              <w:spacing w:before="178"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522" w:type="dxa"/>
            <w:vAlign w:val="top"/>
          </w:tcPr>
          <w:p w14:paraId="4209EB83">
            <w:pPr>
              <w:rPr>
                <w:rFonts w:ascii="Arial"/>
                <w:sz w:val="21"/>
              </w:rPr>
            </w:pPr>
          </w:p>
        </w:tc>
        <w:tc>
          <w:tcPr>
            <w:tcW w:w="1302" w:type="dxa"/>
            <w:vAlign w:val="top"/>
          </w:tcPr>
          <w:p w14:paraId="5C6E7AB3">
            <w:pPr>
              <w:rPr>
                <w:rFonts w:ascii="Arial"/>
                <w:sz w:val="21"/>
              </w:rPr>
            </w:pPr>
          </w:p>
        </w:tc>
        <w:tc>
          <w:tcPr>
            <w:tcW w:w="1365" w:type="dxa"/>
            <w:tcBorders>
              <w:right w:val="single" w:color="000000" w:sz="10" w:space="0"/>
            </w:tcBorders>
            <w:vAlign w:val="top"/>
          </w:tcPr>
          <w:p w14:paraId="6B7263FC">
            <w:pPr>
              <w:spacing w:before="178"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r w14:paraId="4A5E8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3BB09914">
            <w:pPr>
              <w:spacing w:before="150"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79" w:type="dxa"/>
            <w:vAlign w:val="top"/>
          </w:tcPr>
          <w:p w14:paraId="0A366CF7">
            <w:pPr>
              <w:spacing w:before="150" w:line="214" w:lineRule="auto"/>
              <w:ind w:left="78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项目经常费</w:t>
            </w:r>
          </w:p>
        </w:tc>
        <w:tc>
          <w:tcPr>
            <w:tcW w:w="1542" w:type="dxa"/>
            <w:vAlign w:val="top"/>
          </w:tcPr>
          <w:p w14:paraId="36B911BC">
            <w:pPr>
              <w:spacing w:before="178"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522" w:type="dxa"/>
            <w:vAlign w:val="top"/>
          </w:tcPr>
          <w:p w14:paraId="57318941">
            <w:pPr>
              <w:rPr>
                <w:rFonts w:ascii="Arial"/>
                <w:sz w:val="21"/>
              </w:rPr>
            </w:pPr>
          </w:p>
        </w:tc>
        <w:tc>
          <w:tcPr>
            <w:tcW w:w="1302" w:type="dxa"/>
            <w:vAlign w:val="top"/>
          </w:tcPr>
          <w:p w14:paraId="31AD0F18">
            <w:pPr>
              <w:rPr>
                <w:rFonts w:ascii="Arial"/>
                <w:sz w:val="21"/>
              </w:rPr>
            </w:pPr>
          </w:p>
        </w:tc>
        <w:tc>
          <w:tcPr>
            <w:tcW w:w="1365" w:type="dxa"/>
            <w:tcBorders>
              <w:right w:val="single" w:color="000000" w:sz="10" w:space="0"/>
            </w:tcBorders>
            <w:vAlign w:val="top"/>
          </w:tcPr>
          <w:p w14:paraId="29A154DD">
            <w:pPr>
              <w:spacing w:before="178"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5D68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1B731DB3">
            <w:pPr>
              <w:spacing w:before="151" w:line="227" w:lineRule="auto"/>
              <w:ind w:left="1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79" w:type="dxa"/>
            <w:vAlign w:val="top"/>
          </w:tcPr>
          <w:p w14:paraId="13FAFB51">
            <w:pPr>
              <w:spacing w:before="150" w:line="214" w:lineRule="auto"/>
              <w:ind w:left="78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技术咨询费</w:t>
            </w:r>
          </w:p>
        </w:tc>
        <w:tc>
          <w:tcPr>
            <w:tcW w:w="1542" w:type="dxa"/>
            <w:vAlign w:val="top"/>
          </w:tcPr>
          <w:p w14:paraId="019174F4">
            <w:pPr>
              <w:spacing w:before="179"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522" w:type="dxa"/>
            <w:vAlign w:val="top"/>
          </w:tcPr>
          <w:p w14:paraId="57BF5734">
            <w:pPr>
              <w:rPr>
                <w:rFonts w:ascii="Arial"/>
                <w:sz w:val="21"/>
              </w:rPr>
            </w:pPr>
          </w:p>
        </w:tc>
        <w:tc>
          <w:tcPr>
            <w:tcW w:w="1302" w:type="dxa"/>
            <w:vAlign w:val="top"/>
          </w:tcPr>
          <w:p w14:paraId="6215EFA9">
            <w:pPr>
              <w:rPr>
                <w:rFonts w:ascii="Arial"/>
                <w:sz w:val="21"/>
              </w:rPr>
            </w:pPr>
          </w:p>
        </w:tc>
        <w:tc>
          <w:tcPr>
            <w:tcW w:w="1365" w:type="dxa"/>
            <w:tcBorders>
              <w:right w:val="single" w:color="000000" w:sz="10" w:space="0"/>
            </w:tcBorders>
            <w:vAlign w:val="top"/>
          </w:tcPr>
          <w:p w14:paraId="5117AEFE">
            <w:pPr>
              <w:spacing w:before="179"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1E367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27FAC092">
            <w:pPr>
              <w:spacing w:before="191" w:line="171" w:lineRule="auto"/>
              <w:ind w:left="30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79" w:type="dxa"/>
            <w:vAlign w:val="top"/>
          </w:tcPr>
          <w:p w14:paraId="610389EA">
            <w:pPr>
              <w:spacing w:before="151" w:line="214" w:lineRule="auto"/>
              <w:ind w:left="60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科研勘测设计费</w:t>
            </w:r>
          </w:p>
        </w:tc>
        <w:tc>
          <w:tcPr>
            <w:tcW w:w="1542" w:type="dxa"/>
            <w:vAlign w:val="top"/>
          </w:tcPr>
          <w:p w14:paraId="36C80E00">
            <w:pPr>
              <w:spacing w:before="182"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1522" w:type="dxa"/>
            <w:vAlign w:val="top"/>
          </w:tcPr>
          <w:p w14:paraId="7C4C2241">
            <w:pPr>
              <w:rPr>
                <w:rFonts w:ascii="Arial"/>
                <w:sz w:val="21"/>
              </w:rPr>
            </w:pPr>
          </w:p>
        </w:tc>
        <w:tc>
          <w:tcPr>
            <w:tcW w:w="1302" w:type="dxa"/>
            <w:vAlign w:val="top"/>
          </w:tcPr>
          <w:p w14:paraId="2277BCA4">
            <w:pPr>
              <w:rPr>
                <w:rFonts w:ascii="Arial"/>
                <w:sz w:val="21"/>
              </w:rPr>
            </w:pPr>
          </w:p>
        </w:tc>
        <w:tc>
          <w:tcPr>
            <w:tcW w:w="1365" w:type="dxa"/>
            <w:tcBorders>
              <w:right w:val="single" w:color="000000" w:sz="10" w:space="0"/>
            </w:tcBorders>
            <w:vAlign w:val="top"/>
          </w:tcPr>
          <w:p w14:paraId="5D8872EA">
            <w:pPr>
              <w:spacing w:before="182"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r>
      <w:tr w14:paraId="40B50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0D224A67">
            <w:pPr>
              <w:spacing w:before="152" w:line="236" w:lineRule="auto"/>
              <w:ind w:left="305"/>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79" w:type="dxa"/>
            <w:vAlign w:val="top"/>
          </w:tcPr>
          <w:p w14:paraId="5DC9FBFE">
            <w:pPr>
              <w:spacing w:before="152" w:line="214" w:lineRule="auto"/>
              <w:ind w:left="60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水土保持监理费</w:t>
            </w:r>
          </w:p>
        </w:tc>
        <w:tc>
          <w:tcPr>
            <w:tcW w:w="1542" w:type="dxa"/>
            <w:vAlign w:val="top"/>
          </w:tcPr>
          <w:p w14:paraId="518279F2">
            <w:pPr>
              <w:spacing w:before="183"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0CE379F7">
            <w:pPr>
              <w:rPr>
                <w:rFonts w:ascii="Arial"/>
                <w:sz w:val="21"/>
              </w:rPr>
            </w:pPr>
          </w:p>
        </w:tc>
        <w:tc>
          <w:tcPr>
            <w:tcW w:w="1302" w:type="dxa"/>
            <w:vAlign w:val="top"/>
          </w:tcPr>
          <w:p w14:paraId="0DEC51F6">
            <w:pPr>
              <w:rPr>
                <w:rFonts w:ascii="Arial"/>
                <w:sz w:val="21"/>
              </w:rPr>
            </w:pPr>
          </w:p>
        </w:tc>
        <w:tc>
          <w:tcPr>
            <w:tcW w:w="1365" w:type="dxa"/>
            <w:tcBorders>
              <w:right w:val="single" w:color="000000" w:sz="10" w:space="0"/>
            </w:tcBorders>
            <w:vAlign w:val="top"/>
          </w:tcPr>
          <w:p w14:paraId="035A34C0">
            <w:pPr>
              <w:spacing w:before="183"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30B59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2B8E67E2">
            <w:pPr>
              <w:spacing w:before="186" w:line="185" w:lineRule="auto"/>
              <w:ind w:left="349"/>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tc>
        <w:tc>
          <w:tcPr>
            <w:tcW w:w="2479" w:type="dxa"/>
            <w:vAlign w:val="top"/>
          </w:tcPr>
          <w:p w14:paraId="23F68B0F">
            <w:pPr>
              <w:spacing w:before="152" w:line="216" w:lineRule="auto"/>
              <w:ind w:left="61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一至五部分合计</w:t>
            </w:r>
          </w:p>
        </w:tc>
        <w:tc>
          <w:tcPr>
            <w:tcW w:w="1542" w:type="dxa"/>
            <w:vAlign w:val="top"/>
          </w:tcPr>
          <w:p w14:paraId="3D5B511A">
            <w:pPr>
              <w:spacing w:before="183" w:line="188" w:lineRule="auto"/>
              <w:ind w:left="6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6.23</w:t>
            </w:r>
          </w:p>
        </w:tc>
        <w:tc>
          <w:tcPr>
            <w:tcW w:w="1522" w:type="dxa"/>
            <w:vAlign w:val="top"/>
          </w:tcPr>
          <w:p w14:paraId="32DE95D1">
            <w:pPr>
              <w:rPr>
                <w:rFonts w:ascii="Arial"/>
                <w:sz w:val="21"/>
              </w:rPr>
            </w:pPr>
          </w:p>
        </w:tc>
        <w:tc>
          <w:tcPr>
            <w:tcW w:w="1302" w:type="dxa"/>
            <w:vAlign w:val="top"/>
          </w:tcPr>
          <w:p w14:paraId="1B373DFF">
            <w:pPr>
              <w:rPr>
                <w:rFonts w:ascii="Arial"/>
                <w:sz w:val="21"/>
              </w:rPr>
            </w:pPr>
          </w:p>
        </w:tc>
        <w:tc>
          <w:tcPr>
            <w:tcW w:w="1365" w:type="dxa"/>
            <w:tcBorders>
              <w:right w:val="single" w:color="000000" w:sz="10" w:space="0"/>
            </w:tcBorders>
            <w:vAlign w:val="top"/>
          </w:tcPr>
          <w:p w14:paraId="5AC88A74">
            <w:pPr>
              <w:spacing w:before="183" w:line="188" w:lineRule="auto"/>
              <w:ind w:left="5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6.23</w:t>
            </w:r>
          </w:p>
        </w:tc>
      </w:tr>
      <w:tr w14:paraId="12B1E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76F4BEFC">
            <w:pPr>
              <w:spacing w:before="186" w:line="185" w:lineRule="auto"/>
              <w:ind w:left="320"/>
              <w:rPr>
                <w:rFonts w:ascii="Times New Roman" w:hAnsi="Times New Roman" w:eastAsia="Times New Roman" w:cs="Times New Roman"/>
                <w:sz w:val="18"/>
                <w:szCs w:val="18"/>
              </w:rPr>
            </w:pPr>
            <w:r>
              <w:rPr>
                <w:rFonts w:ascii="Times New Roman" w:hAnsi="Times New Roman" w:eastAsia="Times New Roman" w:cs="Times New Roman"/>
                <w:sz w:val="18"/>
                <w:szCs w:val="18"/>
              </w:rPr>
              <w:t>Ⅱ</w:t>
            </w:r>
          </w:p>
        </w:tc>
        <w:tc>
          <w:tcPr>
            <w:tcW w:w="2479" w:type="dxa"/>
            <w:vAlign w:val="top"/>
          </w:tcPr>
          <w:p w14:paraId="273E2037">
            <w:pPr>
              <w:spacing w:before="155" w:line="214" w:lineRule="auto"/>
              <w:ind w:left="97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预备费</w:t>
            </w:r>
          </w:p>
        </w:tc>
        <w:tc>
          <w:tcPr>
            <w:tcW w:w="1542" w:type="dxa"/>
            <w:vAlign w:val="top"/>
          </w:tcPr>
          <w:p w14:paraId="4B8BAA76">
            <w:pPr>
              <w:spacing w:before="184"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22" w:type="dxa"/>
            <w:vAlign w:val="top"/>
          </w:tcPr>
          <w:p w14:paraId="203E2BDA">
            <w:pPr>
              <w:rPr>
                <w:rFonts w:ascii="Arial"/>
                <w:sz w:val="21"/>
              </w:rPr>
            </w:pPr>
          </w:p>
        </w:tc>
        <w:tc>
          <w:tcPr>
            <w:tcW w:w="1302" w:type="dxa"/>
            <w:vAlign w:val="top"/>
          </w:tcPr>
          <w:p w14:paraId="1D7C3C85">
            <w:pPr>
              <w:rPr>
                <w:rFonts w:ascii="Arial"/>
                <w:sz w:val="21"/>
              </w:rPr>
            </w:pPr>
          </w:p>
        </w:tc>
        <w:tc>
          <w:tcPr>
            <w:tcW w:w="1365" w:type="dxa"/>
            <w:tcBorders>
              <w:right w:val="single" w:color="000000" w:sz="10" w:space="0"/>
            </w:tcBorders>
            <w:vAlign w:val="top"/>
          </w:tcPr>
          <w:p w14:paraId="44ED0CCF">
            <w:pPr>
              <w:spacing w:before="184" w:line="188" w:lineRule="auto"/>
              <w:ind w:left="64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E7F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82" w:type="dxa"/>
            <w:tcBorders>
              <w:left w:val="single" w:color="000000" w:sz="10" w:space="0"/>
            </w:tcBorders>
            <w:vAlign w:val="top"/>
          </w:tcPr>
          <w:p w14:paraId="07F33F8D">
            <w:pPr>
              <w:spacing w:before="187" w:line="185" w:lineRule="auto"/>
              <w:ind w:left="291"/>
              <w:rPr>
                <w:rFonts w:ascii="Times New Roman" w:hAnsi="Times New Roman" w:eastAsia="Times New Roman" w:cs="Times New Roman"/>
                <w:sz w:val="18"/>
                <w:szCs w:val="18"/>
              </w:rPr>
            </w:pPr>
            <w:r>
              <w:rPr>
                <w:rFonts w:ascii="Times New Roman" w:hAnsi="Times New Roman" w:eastAsia="Times New Roman" w:cs="Times New Roman"/>
                <w:sz w:val="18"/>
                <w:szCs w:val="18"/>
              </w:rPr>
              <w:t>Ⅲ</w:t>
            </w:r>
          </w:p>
        </w:tc>
        <w:tc>
          <w:tcPr>
            <w:tcW w:w="2479" w:type="dxa"/>
            <w:vAlign w:val="top"/>
          </w:tcPr>
          <w:p w14:paraId="7A804CFB">
            <w:pPr>
              <w:spacing w:before="156" w:line="214" w:lineRule="auto"/>
              <w:ind w:left="60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水土保持补偿费</w:t>
            </w:r>
          </w:p>
        </w:tc>
        <w:tc>
          <w:tcPr>
            <w:tcW w:w="1542" w:type="dxa"/>
            <w:vAlign w:val="top"/>
          </w:tcPr>
          <w:p w14:paraId="0167D466">
            <w:pPr>
              <w:spacing w:before="184"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c>
          <w:tcPr>
            <w:tcW w:w="1522" w:type="dxa"/>
            <w:vAlign w:val="top"/>
          </w:tcPr>
          <w:p w14:paraId="34CDAE90">
            <w:pPr>
              <w:rPr>
                <w:rFonts w:ascii="Arial"/>
                <w:sz w:val="21"/>
              </w:rPr>
            </w:pPr>
          </w:p>
        </w:tc>
        <w:tc>
          <w:tcPr>
            <w:tcW w:w="1302" w:type="dxa"/>
            <w:vAlign w:val="top"/>
          </w:tcPr>
          <w:p w14:paraId="0B9DFF55">
            <w:pPr>
              <w:rPr>
                <w:rFonts w:ascii="Arial"/>
                <w:sz w:val="21"/>
              </w:rPr>
            </w:pPr>
          </w:p>
        </w:tc>
        <w:tc>
          <w:tcPr>
            <w:tcW w:w="1365" w:type="dxa"/>
            <w:tcBorders>
              <w:right w:val="single" w:color="000000" w:sz="10" w:space="0"/>
            </w:tcBorders>
            <w:vAlign w:val="top"/>
          </w:tcPr>
          <w:p w14:paraId="06CAE651">
            <w:pPr>
              <w:spacing w:before="184" w:line="188" w:lineRule="auto"/>
              <w:ind w:left="5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r>
      <w:tr w14:paraId="14FB1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82" w:type="dxa"/>
            <w:tcBorders>
              <w:left w:val="single" w:color="000000" w:sz="10" w:space="0"/>
              <w:bottom w:val="single" w:color="000000" w:sz="10" w:space="0"/>
            </w:tcBorders>
            <w:vAlign w:val="top"/>
          </w:tcPr>
          <w:p w14:paraId="2F6AB462">
            <w:pPr>
              <w:rPr>
                <w:rFonts w:ascii="Arial"/>
                <w:sz w:val="21"/>
              </w:rPr>
            </w:pPr>
          </w:p>
        </w:tc>
        <w:tc>
          <w:tcPr>
            <w:tcW w:w="2479" w:type="dxa"/>
            <w:tcBorders>
              <w:bottom w:val="single" w:color="000000" w:sz="10" w:space="0"/>
            </w:tcBorders>
            <w:vAlign w:val="top"/>
          </w:tcPr>
          <w:p w14:paraId="157960D1">
            <w:pPr>
              <w:spacing w:before="157" w:line="216" w:lineRule="auto"/>
              <w:ind w:left="270"/>
              <w:rPr>
                <w:rFonts w:ascii="Times New Roman" w:hAnsi="Times New Roman" w:eastAsia="Times New Roman" w:cs="Times New Roman"/>
                <w:sz w:val="18"/>
                <w:szCs w:val="18"/>
              </w:rPr>
            </w:pPr>
            <w:r>
              <w:rPr>
                <w:rFonts w:ascii="FangSong_GB2312" w:hAnsi="FangSong_GB2312" w:eastAsia="FangSong_GB2312" w:cs="FangSong_GB2312"/>
                <w:spacing w:val="-1"/>
                <w:sz w:val="18"/>
                <w:szCs w:val="18"/>
              </w:rPr>
              <w:t>水土保持总投资</w:t>
            </w:r>
            <w:r>
              <w:rPr>
                <w:rFonts w:ascii="Times New Roman" w:hAnsi="Times New Roman" w:eastAsia="Times New Roman" w:cs="Times New Roman"/>
                <w:spacing w:val="-1"/>
                <w:sz w:val="18"/>
                <w:szCs w:val="18"/>
              </w:rPr>
              <w:t>(I+Ⅱ+Ⅲ)</w:t>
            </w:r>
          </w:p>
        </w:tc>
        <w:tc>
          <w:tcPr>
            <w:tcW w:w="1542" w:type="dxa"/>
            <w:tcBorders>
              <w:bottom w:val="single" w:color="000000" w:sz="10" w:space="0"/>
            </w:tcBorders>
            <w:vAlign w:val="top"/>
          </w:tcPr>
          <w:p w14:paraId="595D729F">
            <w:pPr>
              <w:spacing w:before="185" w:line="188" w:lineRule="auto"/>
              <w:ind w:left="6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6.29</w:t>
            </w:r>
          </w:p>
        </w:tc>
        <w:tc>
          <w:tcPr>
            <w:tcW w:w="1522" w:type="dxa"/>
            <w:tcBorders>
              <w:bottom w:val="single" w:color="000000" w:sz="10" w:space="0"/>
            </w:tcBorders>
            <w:vAlign w:val="top"/>
          </w:tcPr>
          <w:p w14:paraId="22194857">
            <w:pPr>
              <w:rPr>
                <w:rFonts w:ascii="Arial"/>
                <w:sz w:val="21"/>
              </w:rPr>
            </w:pPr>
          </w:p>
        </w:tc>
        <w:tc>
          <w:tcPr>
            <w:tcW w:w="1302" w:type="dxa"/>
            <w:tcBorders>
              <w:bottom w:val="single" w:color="000000" w:sz="10" w:space="0"/>
            </w:tcBorders>
            <w:vAlign w:val="top"/>
          </w:tcPr>
          <w:p w14:paraId="2EB9BDCC">
            <w:pPr>
              <w:rPr>
                <w:rFonts w:ascii="Arial"/>
                <w:sz w:val="21"/>
              </w:rPr>
            </w:pPr>
          </w:p>
        </w:tc>
        <w:tc>
          <w:tcPr>
            <w:tcW w:w="1365" w:type="dxa"/>
            <w:tcBorders>
              <w:bottom w:val="single" w:color="000000" w:sz="10" w:space="0"/>
              <w:right w:val="single" w:color="000000" w:sz="10" w:space="0"/>
            </w:tcBorders>
            <w:vAlign w:val="top"/>
          </w:tcPr>
          <w:p w14:paraId="5D334780">
            <w:pPr>
              <w:spacing w:before="185" w:line="188" w:lineRule="auto"/>
              <w:ind w:left="53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6.29</w:t>
            </w:r>
          </w:p>
        </w:tc>
      </w:tr>
    </w:tbl>
    <w:p w14:paraId="2F93F59D">
      <w:pPr>
        <w:spacing w:before="33" w:line="221" w:lineRule="auto"/>
        <w:ind w:left="2951"/>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5"/>
          <w:sz w:val="20"/>
          <w:szCs w:val="20"/>
        </w:rPr>
        <w:t xml:space="preserve">7.1-3    </w:t>
      </w:r>
      <w:r>
        <w:rPr>
          <w:rFonts w:ascii="FangSong_GB2312" w:hAnsi="FangSong_GB2312" w:eastAsia="FangSong_GB2312" w:cs="FangSong_GB2312"/>
          <w:b/>
          <w:bCs/>
          <w:spacing w:val="5"/>
          <w:sz w:val="20"/>
          <w:szCs w:val="20"/>
        </w:rPr>
        <w:t>分部概算表（工程措施）</w:t>
      </w:r>
    </w:p>
    <w:tbl>
      <w:tblPr>
        <w:tblStyle w:val="6"/>
        <w:tblW w:w="9009"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2493"/>
        <w:gridCol w:w="1690"/>
        <w:gridCol w:w="1570"/>
        <w:gridCol w:w="1190"/>
        <w:gridCol w:w="1365"/>
      </w:tblGrid>
      <w:tr w14:paraId="77D58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01" w:type="dxa"/>
            <w:tcBorders>
              <w:top w:val="single" w:color="000000" w:sz="10" w:space="0"/>
              <w:left w:val="single" w:color="000000" w:sz="10" w:space="0"/>
            </w:tcBorders>
            <w:vAlign w:val="top"/>
          </w:tcPr>
          <w:p w14:paraId="437E5D19">
            <w:pPr>
              <w:spacing w:before="127" w:line="216" w:lineRule="auto"/>
              <w:ind w:left="16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93" w:type="dxa"/>
            <w:tcBorders>
              <w:top w:val="single" w:color="000000" w:sz="10" w:space="0"/>
            </w:tcBorders>
            <w:vAlign w:val="top"/>
          </w:tcPr>
          <w:p w14:paraId="45FE97EB">
            <w:pPr>
              <w:spacing w:before="127" w:line="214" w:lineRule="auto"/>
              <w:ind w:left="61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690" w:type="dxa"/>
            <w:tcBorders>
              <w:top w:val="single" w:color="000000" w:sz="10" w:space="0"/>
            </w:tcBorders>
            <w:vAlign w:val="top"/>
          </w:tcPr>
          <w:p w14:paraId="1BDD175C">
            <w:pPr>
              <w:spacing w:before="127" w:line="214" w:lineRule="auto"/>
              <w:ind w:left="671"/>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570" w:type="dxa"/>
            <w:tcBorders>
              <w:top w:val="single" w:color="000000" w:sz="10" w:space="0"/>
            </w:tcBorders>
            <w:vAlign w:val="top"/>
          </w:tcPr>
          <w:p w14:paraId="055BDF80">
            <w:pPr>
              <w:spacing w:before="128" w:line="217" w:lineRule="auto"/>
              <w:ind w:left="61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190" w:type="dxa"/>
            <w:tcBorders>
              <w:top w:val="single" w:color="000000" w:sz="10" w:space="0"/>
            </w:tcBorders>
            <w:vAlign w:val="top"/>
          </w:tcPr>
          <w:p w14:paraId="296B9FB2">
            <w:pPr>
              <w:spacing w:before="128" w:line="216" w:lineRule="auto"/>
              <w:ind w:left="279"/>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单价</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元</w:t>
            </w:r>
            <w:r>
              <w:rPr>
                <w:rFonts w:ascii="Times New Roman" w:hAnsi="Times New Roman" w:eastAsia="Times New Roman" w:cs="Times New Roman"/>
                <w:spacing w:val="-3"/>
                <w:sz w:val="18"/>
                <w:szCs w:val="18"/>
              </w:rPr>
              <w:t>)</w:t>
            </w:r>
          </w:p>
        </w:tc>
        <w:tc>
          <w:tcPr>
            <w:tcW w:w="1365" w:type="dxa"/>
            <w:tcBorders>
              <w:top w:val="single" w:color="000000" w:sz="10" w:space="0"/>
              <w:right w:val="single" w:color="000000" w:sz="10" w:space="0"/>
            </w:tcBorders>
            <w:vAlign w:val="top"/>
          </w:tcPr>
          <w:p w14:paraId="370DAC56">
            <w:pPr>
              <w:spacing w:before="128" w:line="216" w:lineRule="auto"/>
              <w:ind w:left="268"/>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合计</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万元</w:t>
            </w:r>
            <w:r>
              <w:rPr>
                <w:rFonts w:ascii="Times New Roman" w:hAnsi="Times New Roman" w:eastAsia="Times New Roman" w:cs="Times New Roman"/>
                <w:spacing w:val="-2"/>
                <w:sz w:val="18"/>
                <w:szCs w:val="18"/>
              </w:rPr>
              <w:t>)</w:t>
            </w:r>
          </w:p>
        </w:tc>
      </w:tr>
      <w:tr w14:paraId="57410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01" w:type="dxa"/>
            <w:tcBorders>
              <w:left w:val="single" w:color="000000" w:sz="10" w:space="0"/>
            </w:tcBorders>
            <w:vAlign w:val="top"/>
          </w:tcPr>
          <w:p w14:paraId="229E6655">
            <w:pPr>
              <w:rPr>
                <w:rFonts w:ascii="Arial"/>
                <w:sz w:val="21"/>
              </w:rPr>
            </w:pPr>
          </w:p>
        </w:tc>
        <w:tc>
          <w:tcPr>
            <w:tcW w:w="2493" w:type="dxa"/>
            <w:vAlign w:val="top"/>
          </w:tcPr>
          <w:p w14:paraId="50E61E20">
            <w:pPr>
              <w:spacing w:before="136" w:line="214" w:lineRule="auto"/>
              <w:ind w:left="44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第一部分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工程措施</w:t>
            </w:r>
          </w:p>
        </w:tc>
        <w:tc>
          <w:tcPr>
            <w:tcW w:w="1690" w:type="dxa"/>
            <w:vAlign w:val="top"/>
          </w:tcPr>
          <w:p w14:paraId="7CA6A0B4">
            <w:pPr>
              <w:rPr>
                <w:rFonts w:ascii="Arial"/>
                <w:sz w:val="21"/>
              </w:rPr>
            </w:pPr>
          </w:p>
        </w:tc>
        <w:tc>
          <w:tcPr>
            <w:tcW w:w="1570" w:type="dxa"/>
            <w:vAlign w:val="top"/>
          </w:tcPr>
          <w:p w14:paraId="2D3994ED">
            <w:pPr>
              <w:rPr>
                <w:rFonts w:ascii="Arial"/>
                <w:sz w:val="21"/>
              </w:rPr>
            </w:pPr>
          </w:p>
        </w:tc>
        <w:tc>
          <w:tcPr>
            <w:tcW w:w="1190" w:type="dxa"/>
            <w:vAlign w:val="top"/>
          </w:tcPr>
          <w:p w14:paraId="1D2F688D">
            <w:pPr>
              <w:rPr>
                <w:rFonts w:ascii="Arial"/>
                <w:sz w:val="21"/>
              </w:rPr>
            </w:pPr>
          </w:p>
        </w:tc>
        <w:tc>
          <w:tcPr>
            <w:tcW w:w="1365" w:type="dxa"/>
            <w:tcBorders>
              <w:right w:val="single" w:color="000000" w:sz="10" w:space="0"/>
            </w:tcBorders>
            <w:vAlign w:val="top"/>
          </w:tcPr>
          <w:p w14:paraId="504FCA26">
            <w:pPr>
              <w:spacing w:before="167"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3.54</w:t>
            </w:r>
          </w:p>
        </w:tc>
      </w:tr>
      <w:tr w14:paraId="45BA2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01" w:type="dxa"/>
            <w:tcBorders>
              <w:left w:val="single" w:color="000000" w:sz="10" w:space="0"/>
            </w:tcBorders>
            <w:vAlign w:val="top"/>
          </w:tcPr>
          <w:p w14:paraId="4BAFFFF4">
            <w:pPr>
              <w:spacing w:before="216" w:line="130" w:lineRule="exact"/>
              <w:ind w:left="267"/>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93" w:type="dxa"/>
            <w:vAlign w:val="top"/>
          </w:tcPr>
          <w:p w14:paraId="27EA7F9D">
            <w:pPr>
              <w:spacing w:before="140" w:line="214" w:lineRule="auto"/>
              <w:ind w:left="61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690" w:type="dxa"/>
            <w:vAlign w:val="top"/>
          </w:tcPr>
          <w:p w14:paraId="40904FA7">
            <w:pPr>
              <w:rPr>
                <w:rFonts w:ascii="Arial"/>
                <w:sz w:val="21"/>
              </w:rPr>
            </w:pPr>
          </w:p>
        </w:tc>
        <w:tc>
          <w:tcPr>
            <w:tcW w:w="1570" w:type="dxa"/>
            <w:vAlign w:val="top"/>
          </w:tcPr>
          <w:p w14:paraId="35703993">
            <w:pPr>
              <w:rPr>
                <w:rFonts w:ascii="Arial"/>
                <w:sz w:val="21"/>
              </w:rPr>
            </w:pPr>
          </w:p>
        </w:tc>
        <w:tc>
          <w:tcPr>
            <w:tcW w:w="1190" w:type="dxa"/>
            <w:vAlign w:val="top"/>
          </w:tcPr>
          <w:p w14:paraId="55B3BBE4">
            <w:pPr>
              <w:rPr>
                <w:rFonts w:ascii="Arial"/>
                <w:sz w:val="21"/>
              </w:rPr>
            </w:pPr>
          </w:p>
        </w:tc>
        <w:tc>
          <w:tcPr>
            <w:tcW w:w="1365" w:type="dxa"/>
            <w:tcBorders>
              <w:right w:val="single" w:color="000000" w:sz="10" w:space="0"/>
            </w:tcBorders>
            <w:vAlign w:val="top"/>
          </w:tcPr>
          <w:p w14:paraId="4C39F580">
            <w:pPr>
              <w:spacing w:before="171"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2A636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01" w:type="dxa"/>
            <w:tcBorders>
              <w:left w:val="single" w:color="000000" w:sz="10" w:space="0"/>
            </w:tcBorders>
            <w:vAlign w:val="top"/>
          </w:tcPr>
          <w:p w14:paraId="21A19B59">
            <w:pPr>
              <w:spacing w:before="144" w:line="227" w:lineRule="auto"/>
              <w:ind w:left="7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93" w:type="dxa"/>
            <w:vAlign w:val="top"/>
          </w:tcPr>
          <w:p w14:paraId="2E0C33B4">
            <w:pPr>
              <w:spacing w:before="144" w:line="216" w:lineRule="auto"/>
              <w:ind w:left="70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690" w:type="dxa"/>
            <w:vAlign w:val="top"/>
          </w:tcPr>
          <w:p w14:paraId="58438895">
            <w:pPr>
              <w:rPr>
                <w:rFonts w:ascii="Arial"/>
                <w:sz w:val="21"/>
              </w:rPr>
            </w:pPr>
          </w:p>
        </w:tc>
        <w:tc>
          <w:tcPr>
            <w:tcW w:w="1570" w:type="dxa"/>
            <w:vAlign w:val="top"/>
          </w:tcPr>
          <w:p w14:paraId="23C37095">
            <w:pPr>
              <w:rPr>
                <w:rFonts w:ascii="Arial"/>
                <w:sz w:val="21"/>
              </w:rPr>
            </w:pPr>
          </w:p>
        </w:tc>
        <w:tc>
          <w:tcPr>
            <w:tcW w:w="1190" w:type="dxa"/>
            <w:vAlign w:val="top"/>
          </w:tcPr>
          <w:p w14:paraId="1AEACF04">
            <w:pPr>
              <w:rPr>
                <w:rFonts w:ascii="Arial"/>
                <w:sz w:val="21"/>
              </w:rPr>
            </w:pPr>
          </w:p>
        </w:tc>
        <w:tc>
          <w:tcPr>
            <w:tcW w:w="1365" w:type="dxa"/>
            <w:tcBorders>
              <w:right w:val="single" w:color="000000" w:sz="10" w:space="0"/>
            </w:tcBorders>
            <w:vAlign w:val="top"/>
          </w:tcPr>
          <w:p w14:paraId="333051E6">
            <w:pPr>
              <w:spacing w:before="174"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34280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01" w:type="dxa"/>
            <w:tcBorders>
              <w:left w:val="single" w:color="000000" w:sz="10" w:space="0"/>
            </w:tcBorders>
            <w:vAlign w:val="top"/>
          </w:tcPr>
          <w:p w14:paraId="2ED6D6E0">
            <w:pPr>
              <w:spacing w:before="178"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493" w:type="dxa"/>
            <w:vAlign w:val="top"/>
          </w:tcPr>
          <w:p w14:paraId="61F123D1">
            <w:pPr>
              <w:spacing w:before="149" w:line="216" w:lineRule="auto"/>
              <w:ind w:left="88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表土剥离</w:t>
            </w:r>
          </w:p>
        </w:tc>
        <w:tc>
          <w:tcPr>
            <w:tcW w:w="1690" w:type="dxa"/>
            <w:vAlign w:val="top"/>
          </w:tcPr>
          <w:p w14:paraId="6484E39A">
            <w:pPr>
              <w:spacing w:before="162" w:line="206" w:lineRule="auto"/>
              <w:ind w:left="628"/>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2</w:t>
            </w:r>
          </w:p>
        </w:tc>
        <w:tc>
          <w:tcPr>
            <w:tcW w:w="1570" w:type="dxa"/>
            <w:vAlign w:val="top"/>
          </w:tcPr>
          <w:p w14:paraId="174BE6F8">
            <w:pPr>
              <w:spacing w:before="178" w:line="188" w:lineRule="auto"/>
              <w:ind w:left="6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190" w:type="dxa"/>
            <w:vAlign w:val="top"/>
          </w:tcPr>
          <w:p w14:paraId="643F39C5">
            <w:pPr>
              <w:spacing w:before="178" w:line="188" w:lineRule="auto"/>
              <w:ind w:left="4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75.99</w:t>
            </w:r>
          </w:p>
        </w:tc>
        <w:tc>
          <w:tcPr>
            <w:tcW w:w="1365" w:type="dxa"/>
            <w:tcBorders>
              <w:right w:val="single" w:color="000000" w:sz="10" w:space="0"/>
            </w:tcBorders>
            <w:vAlign w:val="top"/>
          </w:tcPr>
          <w:p w14:paraId="4B6DD664">
            <w:pPr>
              <w:spacing w:before="178"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5ED32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01" w:type="dxa"/>
            <w:tcBorders>
              <w:left w:val="single" w:color="000000" w:sz="10" w:space="0"/>
            </w:tcBorders>
            <w:vAlign w:val="top"/>
          </w:tcPr>
          <w:p w14:paraId="789E643E">
            <w:pPr>
              <w:spacing w:before="192" w:line="171" w:lineRule="auto"/>
              <w:ind w:left="265"/>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93" w:type="dxa"/>
            <w:vAlign w:val="top"/>
          </w:tcPr>
          <w:p w14:paraId="78DC4C2E">
            <w:pPr>
              <w:spacing w:before="152" w:line="216" w:lineRule="auto"/>
              <w:ind w:left="79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690" w:type="dxa"/>
            <w:vAlign w:val="top"/>
          </w:tcPr>
          <w:p w14:paraId="3ED0856E">
            <w:pPr>
              <w:rPr>
                <w:rFonts w:ascii="Arial"/>
                <w:sz w:val="21"/>
              </w:rPr>
            </w:pPr>
          </w:p>
        </w:tc>
        <w:tc>
          <w:tcPr>
            <w:tcW w:w="1570" w:type="dxa"/>
            <w:vAlign w:val="top"/>
          </w:tcPr>
          <w:p w14:paraId="19DD6F0D">
            <w:pPr>
              <w:rPr>
                <w:rFonts w:ascii="Arial"/>
                <w:sz w:val="21"/>
              </w:rPr>
            </w:pPr>
          </w:p>
        </w:tc>
        <w:tc>
          <w:tcPr>
            <w:tcW w:w="1190" w:type="dxa"/>
            <w:vAlign w:val="top"/>
          </w:tcPr>
          <w:p w14:paraId="43820074">
            <w:pPr>
              <w:rPr>
                <w:rFonts w:ascii="Arial"/>
                <w:sz w:val="21"/>
              </w:rPr>
            </w:pPr>
          </w:p>
        </w:tc>
        <w:tc>
          <w:tcPr>
            <w:tcW w:w="1365" w:type="dxa"/>
            <w:tcBorders>
              <w:right w:val="single" w:color="000000" w:sz="10" w:space="0"/>
            </w:tcBorders>
            <w:vAlign w:val="top"/>
          </w:tcPr>
          <w:p w14:paraId="2F3851DD">
            <w:pPr>
              <w:spacing w:before="180" w:line="188" w:lineRule="auto"/>
              <w:ind w:left="63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37918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01" w:type="dxa"/>
            <w:tcBorders>
              <w:left w:val="single" w:color="000000" w:sz="10" w:space="0"/>
              <w:bottom w:val="single" w:color="000000" w:sz="10" w:space="0"/>
            </w:tcBorders>
            <w:vAlign w:val="top"/>
          </w:tcPr>
          <w:p w14:paraId="75C1481E">
            <w:pPr>
              <w:spacing w:before="155" w:line="236" w:lineRule="auto"/>
              <w:ind w:left="269"/>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93" w:type="dxa"/>
            <w:tcBorders>
              <w:bottom w:val="single" w:color="000000" w:sz="10" w:space="0"/>
            </w:tcBorders>
            <w:vAlign w:val="top"/>
          </w:tcPr>
          <w:p w14:paraId="48C22CE1">
            <w:pPr>
              <w:spacing w:before="154" w:line="216" w:lineRule="auto"/>
              <w:ind w:left="80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690" w:type="dxa"/>
            <w:tcBorders>
              <w:bottom w:val="single" w:color="000000" w:sz="10" w:space="0"/>
            </w:tcBorders>
            <w:vAlign w:val="top"/>
          </w:tcPr>
          <w:p w14:paraId="671F926C">
            <w:pPr>
              <w:rPr>
                <w:rFonts w:ascii="Arial"/>
                <w:sz w:val="21"/>
              </w:rPr>
            </w:pPr>
          </w:p>
        </w:tc>
        <w:tc>
          <w:tcPr>
            <w:tcW w:w="1570" w:type="dxa"/>
            <w:tcBorders>
              <w:bottom w:val="single" w:color="000000" w:sz="10" w:space="0"/>
            </w:tcBorders>
            <w:vAlign w:val="top"/>
          </w:tcPr>
          <w:p w14:paraId="283D9331">
            <w:pPr>
              <w:rPr>
                <w:rFonts w:ascii="Arial"/>
                <w:sz w:val="21"/>
              </w:rPr>
            </w:pPr>
          </w:p>
        </w:tc>
        <w:tc>
          <w:tcPr>
            <w:tcW w:w="1190" w:type="dxa"/>
            <w:tcBorders>
              <w:bottom w:val="single" w:color="000000" w:sz="10" w:space="0"/>
            </w:tcBorders>
            <w:vAlign w:val="top"/>
          </w:tcPr>
          <w:p w14:paraId="79D57B75">
            <w:pPr>
              <w:rPr>
                <w:rFonts w:ascii="Arial"/>
                <w:sz w:val="21"/>
              </w:rPr>
            </w:pPr>
          </w:p>
        </w:tc>
        <w:tc>
          <w:tcPr>
            <w:tcW w:w="1365" w:type="dxa"/>
            <w:tcBorders>
              <w:bottom w:val="single" w:color="000000" w:sz="10" w:space="0"/>
              <w:right w:val="single" w:color="000000" w:sz="10" w:space="0"/>
            </w:tcBorders>
            <w:vAlign w:val="top"/>
          </w:tcPr>
          <w:p w14:paraId="057E0947">
            <w:pPr>
              <w:spacing w:before="183"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w:t>
            </w:r>
          </w:p>
        </w:tc>
      </w:tr>
    </w:tbl>
    <w:p w14:paraId="25FFCC82">
      <w:pPr>
        <w:pStyle w:val="2"/>
        <w:spacing w:line="263" w:lineRule="auto"/>
      </w:pPr>
    </w:p>
    <w:p w14:paraId="197F9B54">
      <w:pPr>
        <w:spacing w:before="65" w:line="229" w:lineRule="auto"/>
        <w:ind w:left="5507"/>
        <w:rPr>
          <w:rFonts w:ascii="FangSong_GB2312" w:hAnsi="FangSong_GB2312" w:eastAsia="FangSong_GB2312" w:cs="FangSong_GB2312"/>
          <w:sz w:val="20"/>
          <w:szCs w:val="20"/>
        </w:rPr>
      </w:pPr>
      <w:r>
        <w:pict>
          <v:shape id="_x0000_s1092" o:spid="_x0000_s1092" o:spt="202" type="#_x0000_t202" style="position:absolute;left:0pt;margin-left:223pt;margin-top:3pt;height:10.15pt;width:10.65pt;z-index:251766784;mso-width-relative:page;mso-height-relative:page;" filled="f" stroked="f" coordsize="21600,21600">
            <v:path/>
            <v:fill on="f" focussize="0,0"/>
            <v:stroke on="f"/>
            <v:imagedata o:title=""/>
            <o:lock v:ext="edit" aspectratio="f"/>
            <v:textbox inset="0mm,0mm,0mm,0mm">
              <w:txbxContent>
                <w:p w14:paraId="219D164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txbxContent>
            </v:textbox>
          </v:shape>
        </w:pict>
      </w:r>
      <w:r>
        <w:rPr>
          <w:rFonts w:ascii="FangSong_GB2312" w:hAnsi="FangSong_GB2312" w:eastAsia="FangSong_GB2312" w:cs="FangSong_GB2312"/>
          <w:spacing w:val="8"/>
          <w:sz w:val="20"/>
          <w:szCs w:val="20"/>
        </w:rPr>
        <w:t>剑阁县绿森林业勘察设计有限公司</w:t>
      </w:r>
    </w:p>
    <w:p w14:paraId="3030D175">
      <w:pPr>
        <w:spacing w:line="229" w:lineRule="auto"/>
        <w:rPr>
          <w:rFonts w:ascii="FangSong_GB2312" w:hAnsi="FangSong_GB2312" w:eastAsia="FangSong_GB2312" w:cs="FangSong_GB2312"/>
          <w:sz w:val="20"/>
          <w:szCs w:val="20"/>
        </w:rPr>
        <w:sectPr>
          <w:headerReference r:id="rId68" w:type="default"/>
          <w:pgSz w:w="11906" w:h="16839"/>
          <w:pgMar w:top="1159" w:right="1371" w:bottom="400" w:left="1391" w:header="831" w:footer="0" w:gutter="0"/>
          <w:cols w:space="720" w:num="1"/>
        </w:sectPr>
      </w:pPr>
    </w:p>
    <w:p w14:paraId="6AA345CB">
      <w:pPr>
        <w:spacing w:line="167" w:lineRule="exact"/>
      </w:pPr>
    </w:p>
    <w:tbl>
      <w:tblPr>
        <w:tblStyle w:val="6"/>
        <w:tblW w:w="900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2493"/>
        <w:gridCol w:w="1690"/>
        <w:gridCol w:w="1570"/>
        <w:gridCol w:w="1190"/>
        <w:gridCol w:w="1365"/>
      </w:tblGrid>
      <w:tr w14:paraId="3144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01" w:type="dxa"/>
            <w:tcBorders>
              <w:top w:val="single" w:color="000000" w:sz="10" w:space="0"/>
              <w:left w:val="single" w:color="000000" w:sz="10" w:space="0"/>
            </w:tcBorders>
            <w:vAlign w:val="top"/>
          </w:tcPr>
          <w:p w14:paraId="0AE1AD39">
            <w:pPr>
              <w:spacing w:before="159" w:line="183"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w:t>
            </w:r>
            <w:r>
              <w:rPr>
                <w:rFonts w:ascii="Times New Roman" w:hAnsi="Times New Roman" w:eastAsia="Times New Roman" w:cs="Times New Roman"/>
                <w:spacing w:val="8"/>
                <w:sz w:val="18"/>
                <w:szCs w:val="18"/>
              </w:rPr>
              <w:t xml:space="preserve">  </w:t>
            </w:r>
            <w:r>
              <w:rPr>
                <w:rFonts w:ascii="FangSong_GB2312" w:hAnsi="FangSong_GB2312" w:eastAsia="FangSong_GB2312" w:cs="FangSong_GB2312"/>
                <w:spacing w:val="-9"/>
                <w:sz w:val="18"/>
                <w:szCs w:val="18"/>
              </w:rPr>
              <w:t>一</w:t>
            </w:r>
            <w:r>
              <w:rPr>
                <w:rFonts w:ascii="FangSong_GB2312" w:hAnsi="FangSong_GB2312" w:eastAsia="FangSong_GB2312" w:cs="FangSong_GB2312"/>
                <w:spacing w:val="6"/>
                <w:sz w:val="18"/>
                <w:szCs w:val="18"/>
              </w:rPr>
              <w:t xml:space="preserve"> </w:t>
            </w:r>
            <w:r>
              <w:rPr>
                <w:rFonts w:ascii="Times New Roman" w:hAnsi="Times New Roman" w:eastAsia="Times New Roman" w:cs="Times New Roman"/>
                <w:spacing w:val="-9"/>
                <w:sz w:val="18"/>
                <w:szCs w:val="18"/>
              </w:rPr>
              <w:t>)</w:t>
            </w:r>
          </w:p>
        </w:tc>
        <w:tc>
          <w:tcPr>
            <w:tcW w:w="2493" w:type="dxa"/>
            <w:tcBorders>
              <w:top w:val="single" w:color="000000" w:sz="10" w:space="0"/>
            </w:tcBorders>
            <w:vAlign w:val="top"/>
          </w:tcPr>
          <w:p w14:paraId="4D9FF7FF">
            <w:pPr>
              <w:spacing w:before="127" w:line="216" w:lineRule="auto"/>
              <w:ind w:left="70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690" w:type="dxa"/>
            <w:tcBorders>
              <w:top w:val="single" w:color="000000" w:sz="10" w:space="0"/>
            </w:tcBorders>
            <w:vAlign w:val="top"/>
          </w:tcPr>
          <w:p w14:paraId="393CB91E">
            <w:pPr>
              <w:rPr>
                <w:rFonts w:ascii="Arial"/>
                <w:sz w:val="21"/>
              </w:rPr>
            </w:pPr>
          </w:p>
        </w:tc>
        <w:tc>
          <w:tcPr>
            <w:tcW w:w="1570" w:type="dxa"/>
            <w:tcBorders>
              <w:top w:val="single" w:color="000000" w:sz="10" w:space="0"/>
            </w:tcBorders>
            <w:vAlign w:val="top"/>
          </w:tcPr>
          <w:p w14:paraId="4F3352CD">
            <w:pPr>
              <w:rPr>
                <w:rFonts w:ascii="Arial"/>
                <w:sz w:val="21"/>
              </w:rPr>
            </w:pPr>
          </w:p>
        </w:tc>
        <w:tc>
          <w:tcPr>
            <w:tcW w:w="1190" w:type="dxa"/>
            <w:tcBorders>
              <w:top w:val="single" w:color="000000" w:sz="10" w:space="0"/>
            </w:tcBorders>
            <w:vAlign w:val="top"/>
          </w:tcPr>
          <w:p w14:paraId="5BB15A8B">
            <w:pPr>
              <w:rPr>
                <w:rFonts w:ascii="Arial"/>
                <w:sz w:val="21"/>
              </w:rPr>
            </w:pPr>
          </w:p>
        </w:tc>
        <w:tc>
          <w:tcPr>
            <w:tcW w:w="1365" w:type="dxa"/>
            <w:tcBorders>
              <w:top w:val="single" w:color="000000" w:sz="10" w:space="0"/>
              <w:right w:val="single" w:color="000000" w:sz="10" w:space="0"/>
            </w:tcBorders>
            <w:vAlign w:val="top"/>
          </w:tcPr>
          <w:p w14:paraId="7B377C7F">
            <w:pPr>
              <w:spacing w:before="157"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6D77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01" w:type="dxa"/>
            <w:tcBorders>
              <w:left w:val="single" w:color="000000" w:sz="10" w:space="0"/>
            </w:tcBorders>
            <w:vAlign w:val="top"/>
          </w:tcPr>
          <w:p w14:paraId="462D6279">
            <w:pPr>
              <w:spacing w:before="167"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493" w:type="dxa"/>
            <w:vAlign w:val="top"/>
          </w:tcPr>
          <w:p w14:paraId="1FE4E75D">
            <w:pPr>
              <w:spacing w:before="137" w:line="216" w:lineRule="auto"/>
              <w:ind w:left="88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表土回覆</w:t>
            </w:r>
          </w:p>
        </w:tc>
        <w:tc>
          <w:tcPr>
            <w:tcW w:w="1690" w:type="dxa"/>
            <w:vAlign w:val="top"/>
          </w:tcPr>
          <w:p w14:paraId="74BA5294">
            <w:pPr>
              <w:spacing w:before="152" w:line="206" w:lineRule="auto"/>
              <w:ind w:left="628"/>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3</w:t>
            </w:r>
          </w:p>
        </w:tc>
        <w:tc>
          <w:tcPr>
            <w:tcW w:w="1570" w:type="dxa"/>
            <w:vAlign w:val="top"/>
          </w:tcPr>
          <w:p w14:paraId="7C81E787">
            <w:pPr>
              <w:spacing w:before="167"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190" w:type="dxa"/>
            <w:vAlign w:val="top"/>
          </w:tcPr>
          <w:p w14:paraId="1F3AB539">
            <w:pPr>
              <w:spacing w:before="167"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332.21</w:t>
            </w:r>
          </w:p>
        </w:tc>
        <w:tc>
          <w:tcPr>
            <w:tcW w:w="1365" w:type="dxa"/>
            <w:tcBorders>
              <w:right w:val="single" w:color="000000" w:sz="10" w:space="0"/>
            </w:tcBorders>
            <w:vAlign w:val="top"/>
          </w:tcPr>
          <w:p w14:paraId="386DD5D8">
            <w:pPr>
              <w:spacing w:before="167"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r>
      <w:tr w14:paraId="4C196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01" w:type="dxa"/>
            <w:tcBorders>
              <w:left w:val="single" w:color="000000" w:sz="10" w:space="0"/>
            </w:tcBorders>
            <w:vAlign w:val="top"/>
          </w:tcPr>
          <w:p w14:paraId="1C34A29F">
            <w:pPr>
              <w:spacing w:before="144" w:line="227" w:lineRule="auto"/>
              <w:ind w:left="7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93" w:type="dxa"/>
            <w:vAlign w:val="top"/>
          </w:tcPr>
          <w:p w14:paraId="47B96809">
            <w:pPr>
              <w:spacing w:before="143" w:line="216" w:lineRule="auto"/>
              <w:ind w:left="72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防洪排导工程</w:t>
            </w:r>
          </w:p>
        </w:tc>
        <w:tc>
          <w:tcPr>
            <w:tcW w:w="1690" w:type="dxa"/>
            <w:vAlign w:val="top"/>
          </w:tcPr>
          <w:p w14:paraId="512425E4">
            <w:pPr>
              <w:rPr>
                <w:rFonts w:ascii="Arial"/>
                <w:sz w:val="21"/>
              </w:rPr>
            </w:pPr>
          </w:p>
        </w:tc>
        <w:tc>
          <w:tcPr>
            <w:tcW w:w="1570" w:type="dxa"/>
            <w:vAlign w:val="top"/>
          </w:tcPr>
          <w:p w14:paraId="6948140F">
            <w:pPr>
              <w:rPr>
                <w:rFonts w:ascii="Arial"/>
                <w:sz w:val="21"/>
              </w:rPr>
            </w:pPr>
          </w:p>
        </w:tc>
        <w:tc>
          <w:tcPr>
            <w:tcW w:w="1190" w:type="dxa"/>
            <w:vAlign w:val="top"/>
          </w:tcPr>
          <w:p w14:paraId="7FA94924">
            <w:pPr>
              <w:rPr>
                <w:rFonts w:ascii="Arial"/>
                <w:sz w:val="21"/>
              </w:rPr>
            </w:pPr>
          </w:p>
        </w:tc>
        <w:tc>
          <w:tcPr>
            <w:tcW w:w="1365" w:type="dxa"/>
            <w:tcBorders>
              <w:right w:val="single" w:color="000000" w:sz="10" w:space="0"/>
            </w:tcBorders>
            <w:vAlign w:val="top"/>
          </w:tcPr>
          <w:p w14:paraId="4A4FFE97">
            <w:pPr>
              <w:spacing w:before="172" w:line="188" w:lineRule="auto"/>
              <w:ind w:left="52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r>
      <w:tr w14:paraId="05B92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01" w:type="dxa"/>
            <w:tcBorders>
              <w:left w:val="single" w:color="000000" w:sz="10" w:space="0"/>
            </w:tcBorders>
            <w:vAlign w:val="top"/>
          </w:tcPr>
          <w:p w14:paraId="003D222D">
            <w:pPr>
              <w:spacing w:before="176" w:line="188" w:lineRule="auto"/>
              <w:ind w:left="31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493" w:type="dxa"/>
            <w:vAlign w:val="top"/>
          </w:tcPr>
          <w:p w14:paraId="686DFDB3">
            <w:pPr>
              <w:spacing w:before="148" w:line="214" w:lineRule="auto"/>
              <w:ind w:left="79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盖板排水沟</w:t>
            </w:r>
          </w:p>
        </w:tc>
        <w:tc>
          <w:tcPr>
            <w:tcW w:w="1690" w:type="dxa"/>
            <w:vAlign w:val="top"/>
          </w:tcPr>
          <w:p w14:paraId="5F9DEC0E">
            <w:pPr>
              <w:spacing w:before="216" w:line="123" w:lineRule="exact"/>
              <w:ind w:left="772"/>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1570" w:type="dxa"/>
            <w:vAlign w:val="top"/>
          </w:tcPr>
          <w:p w14:paraId="2F6F297B">
            <w:pPr>
              <w:spacing w:before="176" w:line="188" w:lineRule="auto"/>
              <w:ind w:left="70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1190" w:type="dxa"/>
            <w:vAlign w:val="top"/>
          </w:tcPr>
          <w:p w14:paraId="42F1D580">
            <w:pPr>
              <w:spacing w:before="176" w:line="188" w:lineRule="auto"/>
              <w:ind w:left="3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285.64</w:t>
            </w:r>
          </w:p>
        </w:tc>
        <w:tc>
          <w:tcPr>
            <w:tcW w:w="1365" w:type="dxa"/>
            <w:tcBorders>
              <w:right w:val="single" w:color="000000" w:sz="10" w:space="0"/>
            </w:tcBorders>
            <w:vAlign w:val="top"/>
          </w:tcPr>
          <w:p w14:paraId="3CE741C2">
            <w:pPr>
              <w:spacing w:before="176" w:line="188" w:lineRule="auto"/>
              <w:ind w:left="5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2.29</w:t>
            </w:r>
          </w:p>
        </w:tc>
      </w:tr>
      <w:tr w14:paraId="67179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01" w:type="dxa"/>
            <w:tcBorders>
              <w:left w:val="single" w:color="000000" w:sz="10" w:space="0"/>
              <w:bottom w:val="single" w:color="000000" w:sz="10" w:space="0"/>
            </w:tcBorders>
            <w:vAlign w:val="top"/>
          </w:tcPr>
          <w:p w14:paraId="6CE0CC9C">
            <w:pPr>
              <w:spacing w:before="181"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493" w:type="dxa"/>
            <w:tcBorders>
              <w:bottom w:val="single" w:color="000000" w:sz="10" w:space="0"/>
            </w:tcBorders>
            <w:vAlign w:val="top"/>
          </w:tcPr>
          <w:p w14:paraId="44C4E41B">
            <w:pPr>
              <w:spacing w:before="152" w:line="214" w:lineRule="auto"/>
              <w:ind w:left="98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雨水井</w:t>
            </w:r>
          </w:p>
        </w:tc>
        <w:tc>
          <w:tcPr>
            <w:tcW w:w="1690" w:type="dxa"/>
            <w:tcBorders>
              <w:bottom w:val="single" w:color="000000" w:sz="10" w:space="0"/>
            </w:tcBorders>
            <w:vAlign w:val="top"/>
          </w:tcPr>
          <w:p w14:paraId="2C3FCAF2">
            <w:pPr>
              <w:spacing w:before="152" w:line="219" w:lineRule="auto"/>
              <w:ind w:left="755"/>
              <w:rPr>
                <w:rFonts w:ascii="FangSong_GB2312" w:hAnsi="FangSong_GB2312" w:eastAsia="FangSong_GB2312" w:cs="FangSong_GB2312"/>
                <w:sz w:val="18"/>
                <w:szCs w:val="18"/>
              </w:rPr>
            </w:pPr>
            <w:r>
              <w:rPr>
                <w:rFonts w:ascii="FangSong_GB2312" w:hAnsi="FangSong_GB2312" w:eastAsia="FangSong_GB2312" w:cs="FangSong_GB2312"/>
                <w:sz w:val="18"/>
                <w:szCs w:val="18"/>
              </w:rPr>
              <w:t>座</w:t>
            </w:r>
          </w:p>
        </w:tc>
        <w:tc>
          <w:tcPr>
            <w:tcW w:w="1570" w:type="dxa"/>
            <w:tcBorders>
              <w:bottom w:val="single" w:color="000000" w:sz="10" w:space="0"/>
            </w:tcBorders>
            <w:vAlign w:val="top"/>
          </w:tcPr>
          <w:p w14:paraId="21B5DA58">
            <w:pPr>
              <w:spacing w:before="181" w:line="188" w:lineRule="auto"/>
              <w:ind w:left="749"/>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190" w:type="dxa"/>
            <w:tcBorders>
              <w:bottom w:val="single" w:color="000000" w:sz="10" w:space="0"/>
            </w:tcBorders>
            <w:vAlign w:val="top"/>
          </w:tcPr>
          <w:p w14:paraId="252B249F">
            <w:pPr>
              <w:spacing w:before="181"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2000.00</w:t>
            </w:r>
          </w:p>
        </w:tc>
        <w:tc>
          <w:tcPr>
            <w:tcW w:w="1365" w:type="dxa"/>
            <w:tcBorders>
              <w:bottom w:val="single" w:color="000000" w:sz="10" w:space="0"/>
              <w:right w:val="single" w:color="000000" w:sz="10" w:space="0"/>
            </w:tcBorders>
            <w:vAlign w:val="top"/>
          </w:tcPr>
          <w:p w14:paraId="46BC2DE1">
            <w:pPr>
              <w:spacing w:before="181" w:line="188" w:lineRule="auto"/>
              <w:ind w:left="54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w:t>
            </w:r>
          </w:p>
        </w:tc>
      </w:tr>
    </w:tbl>
    <w:p w14:paraId="17D7AA31">
      <w:pPr>
        <w:spacing w:before="33" w:line="221" w:lineRule="auto"/>
        <w:ind w:left="2843"/>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5"/>
          <w:sz w:val="20"/>
          <w:szCs w:val="20"/>
        </w:rPr>
        <w:t xml:space="preserve">7.1-3    </w:t>
      </w:r>
      <w:r>
        <w:rPr>
          <w:rFonts w:ascii="FangSong_GB2312" w:hAnsi="FangSong_GB2312" w:eastAsia="FangSong_GB2312" w:cs="FangSong_GB2312"/>
          <w:b/>
          <w:bCs/>
          <w:spacing w:val="5"/>
          <w:sz w:val="20"/>
          <w:szCs w:val="20"/>
        </w:rPr>
        <w:t>分部概算表（植物措施）</w:t>
      </w:r>
    </w:p>
    <w:tbl>
      <w:tblPr>
        <w:tblStyle w:val="6"/>
        <w:tblW w:w="896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416"/>
        <w:gridCol w:w="1636"/>
        <w:gridCol w:w="1520"/>
        <w:gridCol w:w="1316"/>
        <w:gridCol w:w="1397"/>
      </w:tblGrid>
      <w:tr w14:paraId="5ECB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679" w:type="dxa"/>
            <w:tcBorders>
              <w:top w:val="single" w:color="000000" w:sz="10" w:space="0"/>
              <w:left w:val="single" w:color="000000" w:sz="10" w:space="0"/>
            </w:tcBorders>
            <w:vAlign w:val="top"/>
          </w:tcPr>
          <w:p w14:paraId="3ECFC3E1">
            <w:pPr>
              <w:spacing w:before="127" w:line="216" w:lineRule="auto"/>
              <w:ind w:left="15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16" w:type="dxa"/>
            <w:tcBorders>
              <w:top w:val="single" w:color="000000" w:sz="10" w:space="0"/>
            </w:tcBorders>
            <w:vAlign w:val="top"/>
          </w:tcPr>
          <w:p w14:paraId="0FAEEADD">
            <w:pPr>
              <w:spacing w:before="127" w:line="214" w:lineRule="auto"/>
              <w:ind w:left="5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636" w:type="dxa"/>
            <w:tcBorders>
              <w:top w:val="single" w:color="000000" w:sz="10" w:space="0"/>
            </w:tcBorders>
            <w:vAlign w:val="top"/>
          </w:tcPr>
          <w:p w14:paraId="7A49CF5C">
            <w:pPr>
              <w:spacing w:before="127" w:line="214" w:lineRule="auto"/>
              <w:ind w:left="645"/>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520" w:type="dxa"/>
            <w:tcBorders>
              <w:top w:val="single" w:color="000000" w:sz="10" w:space="0"/>
            </w:tcBorders>
            <w:vAlign w:val="top"/>
          </w:tcPr>
          <w:p w14:paraId="7ADE5868">
            <w:pPr>
              <w:spacing w:before="128" w:line="217" w:lineRule="auto"/>
              <w:ind w:left="59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316" w:type="dxa"/>
            <w:tcBorders>
              <w:top w:val="single" w:color="000000" w:sz="10" w:space="0"/>
            </w:tcBorders>
            <w:vAlign w:val="top"/>
          </w:tcPr>
          <w:p w14:paraId="37E6A517">
            <w:pPr>
              <w:spacing w:before="128" w:line="211" w:lineRule="auto"/>
              <w:ind w:left="345"/>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单价</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元</w:t>
            </w:r>
            <w:r>
              <w:rPr>
                <w:rFonts w:ascii="Times New Roman" w:hAnsi="Times New Roman" w:eastAsia="Times New Roman" w:cs="Times New Roman"/>
                <w:spacing w:val="-3"/>
                <w:sz w:val="18"/>
                <w:szCs w:val="18"/>
              </w:rPr>
              <w:t>)</w:t>
            </w:r>
          </w:p>
        </w:tc>
        <w:tc>
          <w:tcPr>
            <w:tcW w:w="1397" w:type="dxa"/>
            <w:tcBorders>
              <w:top w:val="single" w:color="000000" w:sz="10" w:space="0"/>
              <w:right w:val="single" w:color="000000" w:sz="10" w:space="0"/>
            </w:tcBorders>
            <w:vAlign w:val="top"/>
          </w:tcPr>
          <w:p w14:paraId="5EBC9521">
            <w:pPr>
              <w:spacing w:before="128" w:line="211" w:lineRule="auto"/>
              <w:ind w:left="285"/>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合计</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万元</w:t>
            </w:r>
            <w:r>
              <w:rPr>
                <w:rFonts w:ascii="Times New Roman" w:hAnsi="Times New Roman" w:eastAsia="Times New Roman" w:cs="Times New Roman"/>
                <w:spacing w:val="-2"/>
                <w:sz w:val="18"/>
                <w:szCs w:val="18"/>
              </w:rPr>
              <w:t>)</w:t>
            </w:r>
          </w:p>
        </w:tc>
      </w:tr>
      <w:tr w14:paraId="41481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3BC9C09C">
            <w:pPr>
              <w:rPr>
                <w:rFonts w:ascii="Arial"/>
                <w:sz w:val="21"/>
              </w:rPr>
            </w:pPr>
          </w:p>
        </w:tc>
        <w:tc>
          <w:tcPr>
            <w:tcW w:w="2416" w:type="dxa"/>
            <w:vAlign w:val="top"/>
          </w:tcPr>
          <w:p w14:paraId="5D7F29DE">
            <w:pPr>
              <w:spacing w:before="136" w:line="214" w:lineRule="auto"/>
              <w:ind w:left="40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第二部分  植物措施</w:t>
            </w:r>
          </w:p>
        </w:tc>
        <w:tc>
          <w:tcPr>
            <w:tcW w:w="1636" w:type="dxa"/>
            <w:vAlign w:val="top"/>
          </w:tcPr>
          <w:p w14:paraId="157C62D2">
            <w:pPr>
              <w:rPr>
                <w:rFonts w:ascii="Arial"/>
                <w:sz w:val="21"/>
              </w:rPr>
            </w:pPr>
          </w:p>
        </w:tc>
        <w:tc>
          <w:tcPr>
            <w:tcW w:w="1520" w:type="dxa"/>
            <w:vAlign w:val="top"/>
          </w:tcPr>
          <w:p w14:paraId="7A8B7185">
            <w:pPr>
              <w:rPr>
                <w:rFonts w:ascii="Arial"/>
                <w:sz w:val="21"/>
              </w:rPr>
            </w:pPr>
          </w:p>
        </w:tc>
        <w:tc>
          <w:tcPr>
            <w:tcW w:w="1316" w:type="dxa"/>
            <w:vAlign w:val="top"/>
          </w:tcPr>
          <w:p w14:paraId="7B66FE8D">
            <w:pPr>
              <w:rPr>
                <w:rFonts w:ascii="Arial"/>
                <w:sz w:val="21"/>
              </w:rPr>
            </w:pPr>
          </w:p>
        </w:tc>
        <w:tc>
          <w:tcPr>
            <w:tcW w:w="1397" w:type="dxa"/>
            <w:tcBorders>
              <w:right w:val="single" w:color="000000" w:sz="10" w:space="0"/>
            </w:tcBorders>
            <w:vAlign w:val="top"/>
          </w:tcPr>
          <w:p w14:paraId="04EFFE36">
            <w:pPr>
              <w:spacing w:before="167" w:line="188" w:lineRule="auto"/>
              <w:ind w:left="5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0214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0F7FE2E4">
            <w:pPr>
              <w:spacing w:before="215" w:line="130" w:lineRule="exact"/>
              <w:ind w:left="255"/>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16" w:type="dxa"/>
            <w:vAlign w:val="top"/>
          </w:tcPr>
          <w:p w14:paraId="62B3CFB7">
            <w:pPr>
              <w:spacing w:before="139" w:line="214" w:lineRule="auto"/>
              <w:ind w:left="57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636" w:type="dxa"/>
            <w:vAlign w:val="top"/>
          </w:tcPr>
          <w:p w14:paraId="5257C37B">
            <w:pPr>
              <w:rPr>
                <w:rFonts w:ascii="Arial"/>
                <w:sz w:val="21"/>
              </w:rPr>
            </w:pPr>
          </w:p>
        </w:tc>
        <w:tc>
          <w:tcPr>
            <w:tcW w:w="1520" w:type="dxa"/>
            <w:vAlign w:val="top"/>
          </w:tcPr>
          <w:p w14:paraId="6395EA43">
            <w:pPr>
              <w:rPr>
                <w:rFonts w:ascii="Arial"/>
                <w:sz w:val="21"/>
              </w:rPr>
            </w:pPr>
          </w:p>
        </w:tc>
        <w:tc>
          <w:tcPr>
            <w:tcW w:w="1316" w:type="dxa"/>
            <w:vAlign w:val="top"/>
          </w:tcPr>
          <w:p w14:paraId="6A7098EF">
            <w:pPr>
              <w:rPr>
                <w:rFonts w:ascii="Arial"/>
                <w:sz w:val="21"/>
              </w:rPr>
            </w:pPr>
          </w:p>
        </w:tc>
        <w:tc>
          <w:tcPr>
            <w:tcW w:w="1397" w:type="dxa"/>
            <w:tcBorders>
              <w:right w:val="single" w:color="000000" w:sz="10" w:space="0"/>
            </w:tcBorders>
            <w:vAlign w:val="top"/>
          </w:tcPr>
          <w:p w14:paraId="0B06FED9">
            <w:pPr>
              <w:spacing w:before="170" w:line="188" w:lineRule="auto"/>
              <w:ind w:left="656"/>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0F16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3D354A53">
            <w:pPr>
              <w:spacing w:before="181" w:line="171" w:lineRule="auto"/>
              <w:ind w:left="253"/>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16" w:type="dxa"/>
            <w:vAlign w:val="top"/>
          </w:tcPr>
          <w:p w14:paraId="40904927">
            <w:pPr>
              <w:spacing w:before="141" w:line="216" w:lineRule="auto"/>
              <w:ind w:left="75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636" w:type="dxa"/>
            <w:vAlign w:val="top"/>
          </w:tcPr>
          <w:p w14:paraId="748504CC">
            <w:pPr>
              <w:rPr>
                <w:rFonts w:ascii="Arial"/>
                <w:sz w:val="21"/>
              </w:rPr>
            </w:pPr>
          </w:p>
        </w:tc>
        <w:tc>
          <w:tcPr>
            <w:tcW w:w="1520" w:type="dxa"/>
            <w:vAlign w:val="top"/>
          </w:tcPr>
          <w:p w14:paraId="34BF3584">
            <w:pPr>
              <w:rPr>
                <w:rFonts w:ascii="Arial"/>
                <w:sz w:val="21"/>
              </w:rPr>
            </w:pPr>
          </w:p>
        </w:tc>
        <w:tc>
          <w:tcPr>
            <w:tcW w:w="1316" w:type="dxa"/>
            <w:vAlign w:val="top"/>
          </w:tcPr>
          <w:p w14:paraId="59F48E7A">
            <w:pPr>
              <w:rPr>
                <w:rFonts w:ascii="Arial"/>
                <w:sz w:val="21"/>
              </w:rPr>
            </w:pPr>
          </w:p>
        </w:tc>
        <w:tc>
          <w:tcPr>
            <w:tcW w:w="1397" w:type="dxa"/>
            <w:tcBorders>
              <w:right w:val="single" w:color="000000" w:sz="10" w:space="0"/>
            </w:tcBorders>
            <w:vAlign w:val="top"/>
          </w:tcPr>
          <w:p w14:paraId="17D48EEA">
            <w:pPr>
              <w:spacing w:before="172" w:line="188" w:lineRule="auto"/>
              <w:ind w:left="656"/>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64F25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2D0FFB07">
            <w:pPr>
              <w:spacing w:before="147" w:line="236" w:lineRule="auto"/>
              <w:ind w:left="257"/>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16" w:type="dxa"/>
            <w:vAlign w:val="top"/>
          </w:tcPr>
          <w:p w14:paraId="50A3EBF9">
            <w:pPr>
              <w:spacing w:before="146" w:line="216" w:lineRule="auto"/>
              <w:ind w:left="76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636" w:type="dxa"/>
            <w:vAlign w:val="top"/>
          </w:tcPr>
          <w:p w14:paraId="0E919B31">
            <w:pPr>
              <w:rPr>
                <w:rFonts w:ascii="Arial"/>
                <w:sz w:val="21"/>
              </w:rPr>
            </w:pPr>
          </w:p>
        </w:tc>
        <w:tc>
          <w:tcPr>
            <w:tcW w:w="1520" w:type="dxa"/>
            <w:vAlign w:val="top"/>
          </w:tcPr>
          <w:p w14:paraId="7573B026">
            <w:pPr>
              <w:rPr>
                <w:rFonts w:ascii="Arial"/>
                <w:sz w:val="21"/>
              </w:rPr>
            </w:pPr>
          </w:p>
        </w:tc>
        <w:tc>
          <w:tcPr>
            <w:tcW w:w="1316" w:type="dxa"/>
            <w:vAlign w:val="top"/>
          </w:tcPr>
          <w:p w14:paraId="40AF3A7F">
            <w:pPr>
              <w:rPr>
                <w:rFonts w:ascii="Arial"/>
                <w:sz w:val="21"/>
              </w:rPr>
            </w:pPr>
          </w:p>
        </w:tc>
        <w:tc>
          <w:tcPr>
            <w:tcW w:w="1397" w:type="dxa"/>
            <w:tcBorders>
              <w:right w:val="single" w:color="000000" w:sz="10" w:space="0"/>
            </w:tcBorders>
            <w:vAlign w:val="top"/>
          </w:tcPr>
          <w:p w14:paraId="336DA9DC">
            <w:pPr>
              <w:spacing w:before="175" w:line="188" w:lineRule="auto"/>
              <w:ind w:left="5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0BE66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078CEE9A">
            <w:pPr>
              <w:spacing w:before="149" w:line="227"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16" w:type="dxa"/>
            <w:vAlign w:val="top"/>
          </w:tcPr>
          <w:p w14:paraId="17E2CD14">
            <w:pPr>
              <w:spacing w:before="149" w:line="214" w:lineRule="auto"/>
              <w:ind w:left="39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植被恢复与建设工程</w:t>
            </w:r>
          </w:p>
        </w:tc>
        <w:tc>
          <w:tcPr>
            <w:tcW w:w="1636" w:type="dxa"/>
            <w:vAlign w:val="top"/>
          </w:tcPr>
          <w:p w14:paraId="0969345D">
            <w:pPr>
              <w:rPr>
                <w:rFonts w:ascii="Arial"/>
                <w:sz w:val="21"/>
              </w:rPr>
            </w:pPr>
          </w:p>
        </w:tc>
        <w:tc>
          <w:tcPr>
            <w:tcW w:w="1520" w:type="dxa"/>
            <w:vAlign w:val="top"/>
          </w:tcPr>
          <w:p w14:paraId="339D2FFE">
            <w:pPr>
              <w:rPr>
                <w:rFonts w:ascii="Arial"/>
                <w:sz w:val="21"/>
              </w:rPr>
            </w:pPr>
          </w:p>
        </w:tc>
        <w:tc>
          <w:tcPr>
            <w:tcW w:w="1316" w:type="dxa"/>
            <w:vAlign w:val="top"/>
          </w:tcPr>
          <w:p w14:paraId="60A0B4A9">
            <w:pPr>
              <w:rPr>
                <w:rFonts w:ascii="Arial"/>
                <w:sz w:val="21"/>
              </w:rPr>
            </w:pPr>
          </w:p>
        </w:tc>
        <w:tc>
          <w:tcPr>
            <w:tcW w:w="1397" w:type="dxa"/>
            <w:tcBorders>
              <w:right w:val="single" w:color="000000" w:sz="10" w:space="0"/>
            </w:tcBorders>
            <w:vAlign w:val="top"/>
          </w:tcPr>
          <w:p w14:paraId="0C92D284">
            <w:pPr>
              <w:spacing w:before="177" w:line="188" w:lineRule="auto"/>
              <w:ind w:left="5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01643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9" w:type="dxa"/>
            <w:tcBorders>
              <w:left w:val="single" w:color="000000" w:sz="10" w:space="0"/>
            </w:tcBorders>
            <w:vAlign w:val="top"/>
          </w:tcPr>
          <w:p w14:paraId="3AD4954B">
            <w:pPr>
              <w:spacing w:before="180" w:line="188"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416" w:type="dxa"/>
            <w:vAlign w:val="top"/>
          </w:tcPr>
          <w:p w14:paraId="0053354B">
            <w:pPr>
              <w:spacing w:before="151" w:line="216" w:lineRule="auto"/>
              <w:ind w:left="84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栽植灌木</w:t>
            </w:r>
          </w:p>
        </w:tc>
        <w:tc>
          <w:tcPr>
            <w:tcW w:w="1636" w:type="dxa"/>
            <w:vAlign w:val="top"/>
          </w:tcPr>
          <w:p w14:paraId="566A9CE5">
            <w:pPr>
              <w:spacing w:before="151" w:line="214" w:lineRule="auto"/>
              <w:ind w:left="588"/>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FangSong_GB2312" w:hAnsi="FangSong_GB2312" w:eastAsia="FangSong_GB2312" w:cs="FangSong_GB2312"/>
                <w:spacing w:val="-6"/>
                <w:sz w:val="18"/>
                <w:szCs w:val="18"/>
              </w:rPr>
              <w:t>株</w:t>
            </w:r>
          </w:p>
        </w:tc>
        <w:tc>
          <w:tcPr>
            <w:tcW w:w="1520" w:type="dxa"/>
            <w:vAlign w:val="top"/>
          </w:tcPr>
          <w:p w14:paraId="00A92A83">
            <w:pPr>
              <w:spacing w:before="180" w:line="188"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0.12</w:t>
            </w:r>
          </w:p>
        </w:tc>
        <w:tc>
          <w:tcPr>
            <w:tcW w:w="1316" w:type="dxa"/>
            <w:vAlign w:val="top"/>
          </w:tcPr>
          <w:p w14:paraId="0DE3B80D">
            <w:pPr>
              <w:spacing w:before="180" w:line="188" w:lineRule="auto"/>
              <w:ind w:left="37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3479.61</w:t>
            </w:r>
          </w:p>
        </w:tc>
        <w:tc>
          <w:tcPr>
            <w:tcW w:w="1397" w:type="dxa"/>
            <w:tcBorders>
              <w:right w:val="single" w:color="000000" w:sz="10" w:space="0"/>
            </w:tcBorders>
            <w:vAlign w:val="top"/>
          </w:tcPr>
          <w:p w14:paraId="66E50FC6">
            <w:pPr>
              <w:spacing w:before="180" w:line="188" w:lineRule="auto"/>
              <w:ind w:left="5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0.04</w:t>
            </w:r>
          </w:p>
        </w:tc>
      </w:tr>
      <w:tr w14:paraId="31CC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679" w:type="dxa"/>
            <w:tcBorders>
              <w:left w:val="single" w:color="000000" w:sz="10" w:space="0"/>
              <w:bottom w:val="single" w:color="000000" w:sz="10" w:space="0"/>
            </w:tcBorders>
            <w:vAlign w:val="top"/>
          </w:tcPr>
          <w:p w14:paraId="0FB5A34D">
            <w:pPr>
              <w:spacing w:before="185" w:line="188" w:lineRule="auto"/>
              <w:ind w:left="28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416" w:type="dxa"/>
            <w:tcBorders>
              <w:bottom w:val="single" w:color="000000" w:sz="10" w:space="0"/>
            </w:tcBorders>
            <w:vAlign w:val="top"/>
          </w:tcPr>
          <w:p w14:paraId="03007C78">
            <w:pPr>
              <w:spacing w:before="152" w:line="216" w:lineRule="auto"/>
              <w:ind w:left="84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撒播草籽</w:t>
            </w:r>
          </w:p>
        </w:tc>
        <w:tc>
          <w:tcPr>
            <w:tcW w:w="1636" w:type="dxa"/>
            <w:tcBorders>
              <w:bottom w:val="single" w:color="000000" w:sz="10" w:space="0"/>
            </w:tcBorders>
            <w:vAlign w:val="top"/>
          </w:tcPr>
          <w:p w14:paraId="28D46B7D">
            <w:pPr>
              <w:spacing w:before="170" w:line="206" w:lineRule="auto"/>
              <w:ind w:left="671"/>
              <w:rPr>
                <w:rFonts w:ascii="Times New Roman" w:hAnsi="Times New Roman" w:eastAsia="Times New Roman" w:cs="Times New Roman"/>
                <w:sz w:val="11"/>
                <w:szCs w:val="11"/>
              </w:rPr>
            </w:pPr>
            <w:r>
              <w:rPr>
                <w:rFonts w:ascii="Times New Roman" w:hAnsi="Times New Roman" w:eastAsia="Times New Roman" w:cs="Times New Roman"/>
                <w:position w:val="-1"/>
                <w:sz w:val="18"/>
                <w:szCs w:val="18"/>
              </w:rPr>
              <w:t>hm</w:t>
            </w:r>
            <w:r>
              <w:rPr>
                <w:rFonts w:ascii="Times New Roman" w:hAnsi="Times New Roman" w:eastAsia="Times New Roman" w:cs="Times New Roman"/>
                <w:spacing w:val="1"/>
                <w:position w:val="4"/>
                <w:sz w:val="11"/>
                <w:szCs w:val="11"/>
              </w:rPr>
              <w:t>2</w:t>
            </w:r>
          </w:p>
        </w:tc>
        <w:tc>
          <w:tcPr>
            <w:tcW w:w="1520" w:type="dxa"/>
            <w:tcBorders>
              <w:bottom w:val="single" w:color="000000" w:sz="10" w:space="0"/>
            </w:tcBorders>
            <w:vAlign w:val="top"/>
          </w:tcPr>
          <w:p w14:paraId="418BB510">
            <w:pPr>
              <w:spacing w:before="185" w:line="188"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316" w:type="dxa"/>
            <w:tcBorders>
              <w:bottom w:val="single" w:color="000000" w:sz="10" w:space="0"/>
            </w:tcBorders>
            <w:vAlign w:val="top"/>
          </w:tcPr>
          <w:p w14:paraId="7FB8FE78">
            <w:pPr>
              <w:spacing w:before="185" w:line="188" w:lineRule="auto"/>
              <w:ind w:left="34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10700.89</w:t>
            </w:r>
          </w:p>
        </w:tc>
        <w:tc>
          <w:tcPr>
            <w:tcW w:w="1397" w:type="dxa"/>
            <w:tcBorders>
              <w:bottom w:val="single" w:color="000000" w:sz="10" w:space="0"/>
              <w:right w:val="single" w:color="000000" w:sz="10" w:space="0"/>
            </w:tcBorders>
            <w:vAlign w:val="top"/>
          </w:tcPr>
          <w:p w14:paraId="0D81AAE2">
            <w:pPr>
              <w:spacing w:before="185" w:line="188" w:lineRule="auto"/>
              <w:ind w:left="5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r>
    </w:tbl>
    <w:p w14:paraId="29374D14">
      <w:pPr>
        <w:spacing w:before="33" w:line="222" w:lineRule="auto"/>
        <w:ind w:left="2843"/>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5"/>
          <w:sz w:val="20"/>
          <w:szCs w:val="20"/>
        </w:rPr>
        <w:t xml:space="preserve">7.1-3    </w:t>
      </w:r>
      <w:r>
        <w:rPr>
          <w:rFonts w:ascii="FangSong_GB2312" w:hAnsi="FangSong_GB2312" w:eastAsia="FangSong_GB2312" w:cs="FangSong_GB2312"/>
          <w:b/>
          <w:bCs/>
          <w:spacing w:val="5"/>
          <w:sz w:val="20"/>
          <w:szCs w:val="20"/>
        </w:rPr>
        <w:t>分部概算表（监测措施）</w:t>
      </w:r>
    </w:p>
    <w:tbl>
      <w:tblPr>
        <w:tblStyle w:val="6"/>
        <w:tblW w:w="89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2400"/>
        <w:gridCol w:w="1625"/>
        <w:gridCol w:w="1510"/>
        <w:gridCol w:w="1307"/>
        <w:gridCol w:w="1388"/>
      </w:tblGrid>
      <w:tr w14:paraId="442D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676" w:type="dxa"/>
            <w:tcBorders>
              <w:top w:val="single" w:color="000000" w:sz="10" w:space="0"/>
              <w:left w:val="single" w:color="000000" w:sz="10" w:space="0"/>
            </w:tcBorders>
            <w:vAlign w:val="top"/>
          </w:tcPr>
          <w:p w14:paraId="43C155EB">
            <w:pPr>
              <w:spacing w:before="32" w:line="216" w:lineRule="auto"/>
              <w:ind w:left="15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00" w:type="dxa"/>
            <w:tcBorders>
              <w:top w:val="single" w:color="000000" w:sz="10" w:space="0"/>
            </w:tcBorders>
            <w:vAlign w:val="top"/>
          </w:tcPr>
          <w:p w14:paraId="49D08402">
            <w:pPr>
              <w:spacing w:before="32" w:line="214" w:lineRule="auto"/>
              <w:ind w:left="57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625" w:type="dxa"/>
            <w:tcBorders>
              <w:top w:val="single" w:color="000000" w:sz="10" w:space="0"/>
            </w:tcBorders>
            <w:vAlign w:val="top"/>
          </w:tcPr>
          <w:p w14:paraId="5309C54A">
            <w:pPr>
              <w:spacing w:before="32" w:line="214" w:lineRule="auto"/>
              <w:ind w:left="64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510" w:type="dxa"/>
            <w:tcBorders>
              <w:top w:val="single" w:color="000000" w:sz="10" w:space="0"/>
            </w:tcBorders>
            <w:vAlign w:val="top"/>
          </w:tcPr>
          <w:p w14:paraId="0AED831F">
            <w:pPr>
              <w:spacing w:before="33" w:line="217" w:lineRule="auto"/>
              <w:ind w:left="58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307" w:type="dxa"/>
            <w:tcBorders>
              <w:top w:val="single" w:color="000000" w:sz="10" w:space="0"/>
            </w:tcBorders>
            <w:vAlign w:val="top"/>
          </w:tcPr>
          <w:p w14:paraId="7DB733EB">
            <w:pPr>
              <w:spacing w:before="32" w:line="209" w:lineRule="auto"/>
              <w:ind w:left="337"/>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单价</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元</w:t>
            </w:r>
            <w:r>
              <w:rPr>
                <w:rFonts w:ascii="Times New Roman" w:hAnsi="Times New Roman" w:eastAsia="Times New Roman" w:cs="Times New Roman"/>
                <w:spacing w:val="-3"/>
                <w:sz w:val="18"/>
                <w:szCs w:val="18"/>
              </w:rPr>
              <w:t>)</w:t>
            </w:r>
          </w:p>
        </w:tc>
        <w:tc>
          <w:tcPr>
            <w:tcW w:w="1388" w:type="dxa"/>
            <w:tcBorders>
              <w:top w:val="single" w:color="000000" w:sz="10" w:space="0"/>
              <w:right w:val="single" w:color="000000" w:sz="10" w:space="0"/>
            </w:tcBorders>
            <w:vAlign w:val="top"/>
          </w:tcPr>
          <w:p w14:paraId="142893CE">
            <w:pPr>
              <w:spacing w:before="32" w:line="209" w:lineRule="auto"/>
              <w:ind w:left="278"/>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合计</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万元</w:t>
            </w:r>
            <w:r>
              <w:rPr>
                <w:rFonts w:ascii="Times New Roman" w:hAnsi="Times New Roman" w:eastAsia="Times New Roman" w:cs="Times New Roman"/>
                <w:spacing w:val="-2"/>
                <w:sz w:val="18"/>
                <w:szCs w:val="18"/>
              </w:rPr>
              <w:t>)</w:t>
            </w:r>
          </w:p>
        </w:tc>
      </w:tr>
      <w:tr w14:paraId="5D2FB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3D466464">
            <w:pPr>
              <w:rPr>
                <w:rFonts w:ascii="Arial"/>
                <w:sz w:val="21"/>
              </w:rPr>
            </w:pPr>
          </w:p>
        </w:tc>
        <w:tc>
          <w:tcPr>
            <w:tcW w:w="2400" w:type="dxa"/>
            <w:vAlign w:val="top"/>
          </w:tcPr>
          <w:p w14:paraId="31D83CBF">
            <w:pPr>
              <w:spacing w:before="104" w:line="214" w:lineRule="auto"/>
              <w:ind w:left="39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第三部分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监测措施</w:t>
            </w:r>
          </w:p>
        </w:tc>
        <w:tc>
          <w:tcPr>
            <w:tcW w:w="1625" w:type="dxa"/>
            <w:vAlign w:val="top"/>
          </w:tcPr>
          <w:p w14:paraId="141F4429">
            <w:pPr>
              <w:rPr>
                <w:rFonts w:ascii="Arial"/>
                <w:sz w:val="21"/>
              </w:rPr>
            </w:pPr>
          </w:p>
        </w:tc>
        <w:tc>
          <w:tcPr>
            <w:tcW w:w="1510" w:type="dxa"/>
            <w:vAlign w:val="top"/>
          </w:tcPr>
          <w:p w14:paraId="1EC5DCDC">
            <w:pPr>
              <w:rPr>
                <w:rFonts w:ascii="Arial"/>
                <w:sz w:val="21"/>
              </w:rPr>
            </w:pPr>
          </w:p>
        </w:tc>
        <w:tc>
          <w:tcPr>
            <w:tcW w:w="1307" w:type="dxa"/>
            <w:vAlign w:val="top"/>
          </w:tcPr>
          <w:p w14:paraId="4570F323">
            <w:pPr>
              <w:rPr>
                <w:rFonts w:ascii="Arial"/>
                <w:sz w:val="21"/>
              </w:rPr>
            </w:pPr>
          </w:p>
        </w:tc>
        <w:tc>
          <w:tcPr>
            <w:tcW w:w="1388" w:type="dxa"/>
            <w:tcBorders>
              <w:right w:val="single" w:color="000000" w:sz="10" w:space="0"/>
            </w:tcBorders>
            <w:vAlign w:val="top"/>
          </w:tcPr>
          <w:p w14:paraId="0CDA39F5">
            <w:pPr>
              <w:spacing w:before="46"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D269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17AF40E2">
            <w:pPr>
              <w:spacing w:before="185" w:line="130" w:lineRule="exact"/>
              <w:ind w:left="252"/>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00" w:type="dxa"/>
            <w:vAlign w:val="top"/>
          </w:tcPr>
          <w:p w14:paraId="484E7F2C">
            <w:pPr>
              <w:spacing w:before="109" w:line="215" w:lineRule="auto"/>
              <w:ind w:left="65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水土保持监测</w:t>
            </w:r>
          </w:p>
        </w:tc>
        <w:tc>
          <w:tcPr>
            <w:tcW w:w="1625" w:type="dxa"/>
            <w:vAlign w:val="top"/>
          </w:tcPr>
          <w:p w14:paraId="17BB4D19">
            <w:pPr>
              <w:rPr>
                <w:rFonts w:ascii="Arial"/>
                <w:sz w:val="21"/>
              </w:rPr>
            </w:pPr>
          </w:p>
        </w:tc>
        <w:tc>
          <w:tcPr>
            <w:tcW w:w="1510" w:type="dxa"/>
            <w:vAlign w:val="top"/>
          </w:tcPr>
          <w:p w14:paraId="656E52AC">
            <w:pPr>
              <w:rPr>
                <w:rFonts w:ascii="Arial"/>
                <w:sz w:val="21"/>
              </w:rPr>
            </w:pPr>
          </w:p>
        </w:tc>
        <w:tc>
          <w:tcPr>
            <w:tcW w:w="1307" w:type="dxa"/>
            <w:vAlign w:val="top"/>
          </w:tcPr>
          <w:p w14:paraId="7DDA55CF">
            <w:pPr>
              <w:rPr>
                <w:rFonts w:ascii="Arial"/>
                <w:sz w:val="21"/>
              </w:rPr>
            </w:pPr>
          </w:p>
        </w:tc>
        <w:tc>
          <w:tcPr>
            <w:tcW w:w="1388" w:type="dxa"/>
            <w:tcBorders>
              <w:right w:val="single" w:color="000000" w:sz="10" w:space="0"/>
            </w:tcBorders>
            <w:vAlign w:val="top"/>
          </w:tcPr>
          <w:p w14:paraId="3767A5B1">
            <w:pPr>
              <w:spacing w:before="48"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21F7F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3417B43E">
            <w:pPr>
              <w:spacing w:before="111"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00" w:type="dxa"/>
            <w:vAlign w:val="top"/>
          </w:tcPr>
          <w:p w14:paraId="3CE92458">
            <w:pPr>
              <w:spacing w:before="111" w:line="214" w:lineRule="auto"/>
              <w:ind w:left="83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土建设施</w:t>
            </w:r>
          </w:p>
        </w:tc>
        <w:tc>
          <w:tcPr>
            <w:tcW w:w="1625" w:type="dxa"/>
            <w:vAlign w:val="top"/>
          </w:tcPr>
          <w:p w14:paraId="385DEF57">
            <w:pPr>
              <w:rPr>
                <w:rFonts w:ascii="Arial"/>
                <w:sz w:val="21"/>
              </w:rPr>
            </w:pPr>
          </w:p>
        </w:tc>
        <w:tc>
          <w:tcPr>
            <w:tcW w:w="1510" w:type="dxa"/>
            <w:vAlign w:val="top"/>
          </w:tcPr>
          <w:p w14:paraId="01D2C4CA">
            <w:pPr>
              <w:rPr>
                <w:rFonts w:ascii="Arial"/>
                <w:sz w:val="21"/>
              </w:rPr>
            </w:pPr>
          </w:p>
        </w:tc>
        <w:tc>
          <w:tcPr>
            <w:tcW w:w="1307" w:type="dxa"/>
            <w:vAlign w:val="top"/>
          </w:tcPr>
          <w:p w14:paraId="72545096">
            <w:pPr>
              <w:rPr>
                <w:rFonts w:ascii="Arial"/>
                <w:sz w:val="21"/>
              </w:rPr>
            </w:pPr>
          </w:p>
        </w:tc>
        <w:tc>
          <w:tcPr>
            <w:tcW w:w="1388" w:type="dxa"/>
            <w:tcBorders>
              <w:right w:val="single" w:color="000000" w:sz="10" w:space="0"/>
            </w:tcBorders>
            <w:vAlign w:val="top"/>
          </w:tcPr>
          <w:p w14:paraId="484197C8">
            <w:pPr>
              <w:spacing w:before="53"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76A11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09E86A45">
            <w:pPr>
              <w:spacing w:before="116"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00" w:type="dxa"/>
            <w:vAlign w:val="top"/>
          </w:tcPr>
          <w:p w14:paraId="3B0F0626">
            <w:pPr>
              <w:spacing w:before="116" w:line="214" w:lineRule="auto"/>
              <w:ind w:left="74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设备及安装</w:t>
            </w:r>
          </w:p>
        </w:tc>
        <w:tc>
          <w:tcPr>
            <w:tcW w:w="1625" w:type="dxa"/>
            <w:vAlign w:val="top"/>
          </w:tcPr>
          <w:p w14:paraId="766E69CC">
            <w:pPr>
              <w:rPr>
                <w:rFonts w:ascii="Arial"/>
                <w:sz w:val="21"/>
              </w:rPr>
            </w:pPr>
          </w:p>
        </w:tc>
        <w:tc>
          <w:tcPr>
            <w:tcW w:w="1510" w:type="dxa"/>
            <w:vAlign w:val="top"/>
          </w:tcPr>
          <w:p w14:paraId="285C5170">
            <w:pPr>
              <w:rPr>
                <w:rFonts w:ascii="Arial"/>
                <w:sz w:val="21"/>
              </w:rPr>
            </w:pPr>
          </w:p>
        </w:tc>
        <w:tc>
          <w:tcPr>
            <w:tcW w:w="1307" w:type="dxa"/>
            <w:vAlign w:val="top"/>
          </w:tcPr>
          <w:p w14:paraId="0B9F4EFE">
            <w:pPr>
              <w:rPr>
                <w:rFonts w:ascii="Arial"/>
                <w:sz w:val="21"/>
              </w:rPr>
            </w:pPr>
          </w:p>
        </w:tc>
        <w:tc>
          <w:tcPr>
            <w:tcW w:w="1388" w:type="dxa"/>
            <w:tcBorders>
              <w:right w:val="single" w:color="000000" w:sz="10" w:space="0"/>
            </w:tcBorders>
            <w:vAlign w:val="top"/>
          </w:tcPr>
          <w:p w14:paraId="43F564A4">
            <w:pPr>
              <w:spacing w:before="55"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5954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7CF9CBBB">
            <w:pPr>
              <w:spacing w:before="157" w:line="171" w:lineRule="auto"/>
              <w:ind w:left="25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00" w:type="dxa"/>
            <w:vAlign w:val="top"/>
          </w:tcPr>
          <w:p w14:paraId="7D2CDA54">
            <w:pPr>
              <w:spacing w:before="117" w:line="216" w:lineRule="auto"/>
              <w:ind w:left="57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弃渣场稳定监测</w:t>
            </w:r>
          </w:p>
        </w:tc>
        <w:tc>
          <w:tcPr>
            <w:tcW w:w="1625" w:type="dxa"/>
            <w:vAlign w:val="top"/>
          </w:tcPr>
          <w:p w14:paraId="3593C3B0">
            <w:pPr>
              <w:rPr>
                <w:rFonts w:ascii="Arial"/>
                <w:sz w:val="21"/>
              </w:rPr>
            </w:pPr>
          </w:p>
        </w:tc>
        <w:tc>
          <w:tcPr>
            <w:tcW w:w="1510" w:type="dxa"/>
            <w:vAlign w:val="top"/>
          </w:tcPr>
          <w:p w14:paraId="79749BD0">
            <w:pPr>
              <w:rPr>
                <w:rFonts w:ascii="Arial"/>
                <w:sz w:val="21"/>
              </w:rPr>
            </w:pPr>
          </w:p>
        </w:tc>
        <w:tc>
          <w:tcPr>
            <w:tcW w:w="1307" w:type="dxa"/>
            <w:vAlign w:val="top"/>
          </w:tcPr>
          <w:p w14:paraId="375B428D">
            <w:pPr>
              <w:rPr>
                <w:rFonts w:ascii="Arial"/>
                <w:sz w:val="21"/>
              </w:rPr>
            </w:pPr>
          </w:p>
        </w:tc>
        <w:tc>
          <w:tcPr>
            <w:tcW w:w="1388" w:type="dxa"/>
            <w:tcBorders>
              <w:right w:val="single" w:color="000000" w:sz="10" w:space="0"/>
            </w:tcBorders>
            <w:vAlign w:val="top"/>
          </w:tcPr>
          <w:p w14:paraId="16418AE8">
            <w:pPr>
              <w:spacing w:before="59"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774C9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76" w:type="dxa"/>
            <w:tcBorders>
              <w:left w:val="single" w:color="000000" w:sz="10" w:space="0"/>
            </w:tcBorders>
            <w:vAlign w:val="top"/>
          </w:tcPr>
          <w:p w14:paraId="154958D9">
            <w:pPr>
              <w:spacing w:before="120"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00" w:type="dxa"/>
            <w:vAlign w:val="top"/>
          </w:tcPr>
          <w:p w14:paraId="459B45DF">
            <w:pPr>
              <w:spacing w:before="119" w:line="214" w:lineRule="auto"/>
              <w:ind w:left="83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土建设施</w:t>
            </w:r>
          </w:p>
        </w:tc>
        <w:tc>
          <w:tcPr>
            <w:tcW w:w="1625" w:type="dxa"/>
            <w:vAlign w:val="top"/>
          </w:tcPr>
          <w:p w14:paraId="45892D0B">
            <w:pPr>
              <w:rPr>
                <w:rFonts w:ascii="Arial"/>
                <w:sz w:val="21"/>
              </w:rPr>
            </w:pPr>
          </w:p>
        </w:tc>
        <w:tc>
          <w:tcPr>
            <w:tcW w:w="1510" w:type="dxa"/>
            <w:vAlign w:val="top"/>
          </w:tcPr>
          <w:p w14:paraId="5B888542">
            <w:pPr>
              <w:rPr>
                <w:rFonts w:ascii="Arial"/>
                <w:sz w:val="21"/>
              </w:rPr>
            </w:pPr>
          </w:p>
        </w:tc>
        <w:tc>
          <w:tcPr>
            <w:tcW w:w="1307" w:type="dxa"/>
            <w:vAlign w:val="top"/>
          </w:tcPr>
          <w:p w14:paraId="7E89A265">
            <w:pPr>
              <w:rPr>
                <w:rFonts w:ascii="Arial"/>
                <w:sz w:val="21"/>
              </w:rPr>
            </w:pPr>
          </w:p>
        </w:tc>
        <w:tc>
          <w:tcPr>
            <w:tcW w:w="1388" w:type="dxa"/>
            <w:tcBorders>
              <w:right w:val="single" w:color="000000" w:sz="10" w:space="0"/>
            </w:tcBorders>
            <w:vAlign w:val="top"/>
          </w:tcPr>
          <w:p w14:paraId="7D259CBF">
            <w:pPr>
              <w:spacing w:before="61"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4393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9" w:hRule="atLeast"/>
        </w:trPr>
        <w:tc>
          <w:tcPr>
            <w:tcW w:w="676" w:type="dxa"/>
            <w:tcBorders>
              <w:left w:val="single" w:color="000000" w:sz="10" w:space="0"/>
            </w:tcBorders>
            <w:vAlign w:val="top"/>
          </w:tcPr>
          <w:p w14:paraId="2E707C3F">
            <w:pPr>
              <w:spacing w:before="123"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00" w:type="dxa"/>
            <w:vAlign w:val="top"/>
          </w:tcPr>
          <w:p w14:paraId="3E6F0913">
            <w:pPr>
              <w:spacing w:before="123" w:line="214" w:lineRule="auto"/>
              <w:ind w:left="74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设备及安装</w:t>
            </w:r>
          </w:p>
        </w:tc>
        <w:tc>
          <w:tcPr>
            <w:tcW w:w="1625" w:type="dxa"/>
            <w:vAlign w:val="top"/>
          </w:tcPr>
          <w:p w14:paraId="6C3E8D7D">
            <w:pPr>
              <w:rPr>
                <w:rFonts w:ascii="Arial"/>
                <w:sz w:val="21"/>
              </w:rPr>
            </w:pPr>
          </w:p>
        </w:tc>
        <w:tc>
          <w:tcPr>
            <w:tcW w:w="1510" w:type="dxa"/>
            <w:vAlign w:val="top"/>
          </w:tcPr>
          <w:p w14:paraId="4EB2EBA8">
            <w:pPr>
              <w:rPr>
                <w:rFonts w:ascii="Arial"/>
                <w:sz w:val="21"/>
              </w:rPr>
            </w:pPr>
          </w:p>
        </w:tc>
        <w:tc>
          <w:tcPr>
            <w:tcW w:w="1307" w:type="dxa"/>
            <w:vAlign w:val="top"/>
          </w:tcPr>
          <w:p w14:paraId="710023BA">
            <w:pPr>
              <w:rPr>
                <w:rFonts w:ascii="Arial"/>
                <w:sz w:val="21"/>
              </w:rPr>
            </w:pPr>
          </w:p>
        </w:tc>
        <w:tc>
          <w:tcPr>
            <w:tcW w:w="1388" w:type="dxa"/>
            <w:tcBorders>
              <w:right w:val="single" w:color="000000" w:sz="10" w:space="0"/>
            </w:tcBorders>
            <w:vAlign w:val="top"/>
          </w:tcPr>
          <w:p w14:paraId="342577E5">
            <w:pPr>
              <w:spacing w:before="62"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37A98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76" w:type="dxa"/>
            <w:tcBorders>
              <w:left w:val="single" w:color="000000" w:sz="10" w:space="0"/>
              <w:bottom w:val="single" w:color="000000" w:sz="10" w:space="0"/>
            </w:tcBorders>
            <w:vAlign w:val="top"/>
          </w:tcPr>
          <w:p w14:paraId="5404F671">
            <w:pPr>
              <w:spacing w:before="125" w:line="236" w:lineRule="auto"/>
              <w:ind w:left="254"/>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00" w:type="dxa"/>
            <w:tcBorders>
              <w:bottom w:val="single" w:color="000000" w:sz="10" w:space="0"/>
            </w:tcBorders>
            <w:vAlign w:val="top"/>
          </w:tcPr>
          <w:p w14:paraId="042A7424">
            <w:pPr>
              <w:spacing w:before="124" w:line="214" w:lineRule="auto"/>
              <w:ind w:left="654"/>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建设期观测费</w:t>
            </w:r>
          </w:p>
        </w:tc>
        <w:tc>
          <w:tcPr>
            <w:tcW w:w="1625" w:type="dxa"/>
            <w:tcBorders>
              <w:bottom w:val="single" w:color="000000" w:sz="10" w:space="0"/>
            </w:tcBorders>
            <w:vAlign w:val="top"/>
          </w:tcPr>
          <w:p w14:paraId="1590A4CA">
            <w:pPr>
              <w:rPr>
                <w:rFonts w:ascii="Arial"/>
                <w:sz w:val="21"/>
              </w:rPr>
            </w:pPr>
          </w:p>
        </w:tc>
        <w:tc>
          <w:tcPr>
            <w:tcW w:w="1510" w:type="dxa"/>
            <w:tcBorders>
              <w:bottom w:val="single" w:color="000000" w:sz="10" w:space="0"/>
            </w:tcBorders>
            <w:vAlign w:val="top"/>
          </w:tcPr>
          <w:p w14:paraId="3885ED6D">
            <w:pPr>
              <w:rPr>
                <w:rFonts w:ascii="Arial"/>
                <w:sz w:val="21"/>
              </w:rPr>
            </w:pPr>
          </w:p>
        </w:tc>
        <w:tc>
          <w:tcPr>
            <w:tcW w:w="1307" w:type="dxa"/>
            <w:tcBorders>
              <w:bottom w:val="single" w:color="000000" w:sz="10" w:space="0"/>
            </w:tcBorders>
            <w:vAlign w:val="top"/>
          </w:tcPr>
          <w:p w14:paraId="2706FED6">
            <w:pPr>
              <w:rPr>
                <w:rFonts w:ascii="Arial"/>
                <w:sz w:val="21"/>
              </w:rPr>
            </w:pPr>
          </w:p>
        </w:tc>
        <w:tc>
          <w:tcPr>
            <w:tcW w:w="1388" w:type="dxa"/>
            <w:tcBorders>
              <w:bottom w:val="single" w:color="000000" w:sz="10" w:space="0"/>
              <w:right w:val="single" w:color="000000" w:sz="10" w:space="0"/>
            </w:tcBorders>
            <w:vAlign w:val="top"/>
          </w:tcPr>
          <w:p w14:paraId="06288267">
            <w:pPr>
              <w:spacing w:before="67"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14:paraId="0453AE35">
      <w:pPr>
        <w:spacing w:before="31" w:line="222" w:lineRule="auto"/>
        <w:ind w:left="2634"/>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5"/>
          <w:sz w:val="20"/>
          <w:szCs w:val="20"/>
        </w:rPr>
        <w:t xml:space="preserve"> </w:t>
      </w:r>
      <w:r>
        <w:rPr>
          <w:rFonts w:ascii="Times New Roman" w:hAnsi="Times New Roman" w:eastAsia="Times New Roman" w:cs="Times New Roman"/>
          <w:b/>
          <w:bCs/>
          <w:spacing w:val="5"/>
          <w:sz w:val="20"/>
          <w:szCs w:val="20"/>
        </w:rPr>
        <w:t xml:space="preserve">7.1-3    </w:t>
      </w:r>
      <w:r>
        <w:rPr>
          <w:rFonts w:ascii="FangSong_GB2312" w:hAnsi="FangSong_GB2312" w:eastAsia="FangSong_GB2312" w:cs="FangSong_GB2312"/>
          <w:b/>
          <w:bCs/>
          <w:spacing w:val="5"/>
          <w:sz w:val="20"/>
          <w:szCs w:val="20"/>
        </w:rPr>
        <w:t>分部概算表（施工临时工程）</w:t>
      </w:r>
    </w:p>
    <w:p w14:paraId="7E3E9BA1">
      <w:pPr>
        <w:spacing w:line="16" w:lineRule="auto"/>
        <w:rPr>
          <w:rFonts w:ascii="Arial"/>
          <w:sz w:val="2"/>
        </w:rPr>
      </w:pPr>
    </w:p>
    <w:tbl>
      <w:tblPr>
        <w:tblStyle w:val="6"/>
        <w:tblW w:w="89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2400"/>
        <w:gridCol w:w="1625"/>
        <w:gridCol w:w="1510"/>
        <w:gridCol w:w="1307"/>
        <w:gridCol w:w="1388"/>
      </w:tblGrid>
      <w:tr w14:paraId="39CC8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76" w:type="dxa"/>
            <w:tcBorders>
              <w:top w:val="single" w:color="000000" w:sz="10" w:space="0"/>
              <w:left w:val="single" w:color="000000" w:sz="10" w:space="0"/>
            </w:tcBorders>
            <w:vAlign w:val="top"/>
          </w:tcPr>
          <w:p w14:paraId="5213803D">
            <w:pPr>
              <w:spacing w:before="33" w:line="216" w:lineRule="auto"/>
              <w:ind w:left="15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00" w:type="dxa"/>
            <w:tcBorders>
              <w:top w:val="single" w:color="000000" w:sz="10" w:space="0"/>
            </w:tcBorders>
            <w:vAlign w:val="top"/>
          </w:tcPr>
          <w:p w14:paraId="7B9F8DF5">
            <w:pPr>
              <w:spacing w:before="33" w:line="214" w:lineRule="auto"/>
              <w:ind w:left="57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625" w:type="dxa"/>
            <w:tcBorders>
              <w:top w:val="single" w:color="000000" w:sz="10" w:space="0"/>
            </w:tcBorders>
            <w:vAlign w:val="top"/>
          </w:tcPr>
          <w:p w14:paraId="74BA0B91">
            <w:pPr>
              <w:spacing w:before="33" w:line="214" w:lineRule="auto"/>
              <w:ind w:left="64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510" w:type="dxa"/>
            <w:tcBorders>
              <w:top w:val="single" w:color="000000" w:sz="10" w:space="0"/>
            </w:tcBorders>
            <w:vAlign w:val="top"/>
          </w:tcPr>
          <w:p w14:paraId="5931E511">
            <w:pPr>
              <w:spacing w:before="34" w:line="217" w:lineRule="auto"/>
              <w:ind w:left="58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307" w:type="dxa"/>
            <w:tcBorders>
              <w:top w:val="single" w:color="000000" w:sz="10" w:space="0"/>
            </w:tcBorders>
            <w:vAlign w:val="top"/>
          </w:tcPr>
          <w:p w14:paraId="34029CF8">
            <w:pPr>
              <w:spacing w:before="33" w:line="209" w:lineRule="auto"/>
              <w:ind w:left="337"/>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单价</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元</w:t>
            </w:r>
            <w:r>
              <w:rPr>
                <w:rFonts w:ascii="Times New Roman" w:hAnsi="Times New Roman" w:eastAsia="Times New Roman" w:cs="Times New Roman"/>
                <w:spacing w:val="-3"/>
                <w:sz w:val="18"/>
                <w:szCs w:val="18"/>
              </w:rPr>
              <w:t>)</w:t>
            </w:r>
          </w:p>
        </w:tc>
        <w:tc>
          <w:tcPr>
            <w:tcW w:w="1388" w:type="dxa"/>
            <w:tcBorders>
              <w:top w:val="single" w:color="000000" w:sz="10" w:space="0"/>
              <w:right w:val="single" w:color="000000" w:sz="10" w:space="0"/>
            </w:tcBorders>
            <w:vAlign w:val="top"/>
          </w:tcPr>
          <w:p w14:paraId="266DD459">
            <w:pPr>
              <w:spacing w:before="33" w:line="209" w:lineRule="auto"/>
              <w:ind w:left="278"/>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合计</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万元</w:t>
            </w:r>
            <w:r>
              <w:rPr>
                <w:rFonts w:ascii="Times New Roman" w:hAnsi="Times New Roman" w:eastAsia="Times New Roman" w:cs="Times New Roman"/>
                <w:spacing w:val="-2"/>
                <w:sz w:val="18"/>
                <w:szCs w:val="18"/>
              </w:rPr>
              <w:t>)</w:t>
            </w:r>
          </w:p>
        </w:tc>
      </w:tr>
      <w:tr w14:paraId="7CFEF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76" w:type="dxa"/>
            <w:tcBorders>
              <w:left w:val="single" w:color="000000" w:sz="10" w:space="0"/>
            </w:tcBorders>
            <w:vAlign w:val="top"/>
          </w:tcPr>
          <w:p w14:paraId="60192F94">
            <w:pPr>
              <w:rPr>
                <w:rFonts w:ascii="Arial"/>
                <w:sz w:val="21"/>
              </w:rPr>
            </w:pPr>
          </w:p>
        </w:tc>
        <w:tc>
          <w:tcPr>
            <w:tcW w:w="2400" w:type="dxa"/>
            <w:vAlign w:val="top"/>
          </w:tcPr>
          <w:p w14:paraId="16593CC2">
            <w:pPr>
              <w:spacing w:before="107" w:line="215" w:lineRule="auto"/>
              <w:ind w:left="21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第四部分  施工临时工程</w:t>
            </w:r>
          </w:p>
        </w:tc>
        <w:tc>
          <w:tcPr>
            <w:tcW w:w="1625" w:type="dxa"/>
            <w:vAlign w:val="top"/>
          </w:tcPr>
          <w:p w14:paraId="710E550C">
            <w:pPr>
              <w:rPr>
                <w:rFonts w:ascii="Arial"/>
                <w:sz w:val="21"/>
              </w:rPr>
            </w:pPr>
          </w:p>
        </w:tc>
        <w:tc>
          <w:tcPr>
            <w:tcW w:w="1510" w:type="dxa"/>
            <w:vAlign w:val="top"/>
          </w:tcPr>
          <w:p w14:paraId="1C33A020">
            <w:pPr>
              <w:rPr>
                <w:rFonts w:ascii="Arial"/>
                <w:sz w:val="21"/>
              </w:rPr>
            </w:pPr>
          </w:p>
        </w:tc>
        <w:tc>
          <w:tcPr>
            <w:tcW w:w="1307" w:type="dxa"/>
            <w:vAlign w:val="top"/>
          </w:tcPr>
          <w:p w14:paraId="7D6A23D4">
            <w:pPr>
              <w:rPr>
                <w:rFonts w:ascii="Arial"/>
                <w:sz w:val="21"/>
              </w:rPr>
            </w:pPr>
          </w:p>
        </w:tc>
        <w:tc>
          <w:tcPr>
            <w:tcW w:w="1388" w:type="dxa"/>
            <w:tcBorders>
              <w:right w:val="single" w:color="000000" w:sz="10" w:space="0"/>
            </w:tcBorders>
            <w:vAlign w:val="top"/>
          </w:tcPr>
          <w:p w14:paraId="1682BFDD">
            <w:pPr>
              <w:spacing w:before="48" w:line="188" w:lineRule="auto"/>
              <w:ind w:left="5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r w14:paraId="3F8F0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76" w:type="dxa"/>
            <w:tcBorders>
              <w:left w:val="single" w:color="000000" w:sz="10" w:space="0"/>
            </w:tcBorders>
            <w:vAlign w:val="top"/>
          </w:tcPr>
          <w:p w14:paraId="22A5248C">
            <w:pPr>
              <w:spacing w:before="188" w:line="130" w:lineRule="exact"/>
              <w:ind w:left="252"/>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00" w:type="dxa"/>
            <w:vAlign w:val="top"/>
          </w:tcPr>
          <w:p w14:paraId="6FA3F7C0">
            <w:pPr>
              <w:spacing w:before="112" w:line="215" w:lineRule="auto"/>
              <w:ind w:left="66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临时防护工程</w:t>
            </w:r>
          </w:p>
        </w:tc>
        <w:tc>
          <w:tcPr>
            <w:tcW w:w="1625" w:type="dxa"/>
            <w:vAlign w:val="top"/>
          </w:tcPr>
          <w:p w14:paraId="286DD85A">
            <w:pPr>
              <w:rPr>
                <w:rFonts w:ascii="Arial"/>
                <w:sz w:val="21"/>
              </w:rPr>
            </w:pPr>
          </w:p>
        </w:tc>
        <w:tc>
          <w:tcPr>
            <w:tcW w:w="1510" w:type="dxa"/>
            <w:vAlign w:val="top"/>
          </w:tcPr>
          <w:p w14:paraId="26E3FA30">
            <w:pPr>
              <w:rPr>
                <w:rFonts w:ascii="Arial"/>
                <w:sz w:val="21"/>
              </w:rPr>
            </w:pPr>
          </w:p>
        </w:tc>
        <w:tc>
          <w:tcPr>
            <w:tcW w:w="1307" w:type="dxa"/>
            <w:vAlign w:val="top"/>
          </w:tcPr>
          <w:p w14:paraId="03322F7A">
            <w:pPr>
              <w:rPr>
                <w:rFonts w:ascii="Arial"/>
                <w:sz w:val="21"/>
              </w:rPr>
            </w:pPr>
          </w:p>
        </w:tc>
        <w:tc>
          <w:tcPr>
            <w:tcW w:w="1388" w:type="dxa"/>
            <w:tcBorders>
              <w:right w:val="single" w:color="000000" w:sz="10" w:space="0"/>
            </w:tcBorders>
            <w:vAlign w:val="top"/>
          </w:tcPr>
          <w:p w14:paraId="7D90E087">
            <w:pPr>
              <w:spacing w:before="51"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7E99B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56732E47">
            <w:pPr>
              <w:spacing w:before="115"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00" w:type="dxa"/>
            <w:vAlign w:val="top"/>
          </w:tcPr>
          <w:p w14:paraId="6986E336">
            <w:pPr>
              <w:spacing w:before="115" w:line="214" w:lineRule="auto"/>
              <w:ind w:left="56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625" w:type="dxa"/>
            <w:vAlign w:val="top"/>
          </w:tcPr>
          <w:p w14:paraId="21B27750">
            <w:pPr>
              <w:rPr>
                <w:rFonts w:ascii="Arial"/>
                <w:sz w:val="21"/>
              </w:rPr>
            </w:pPr>
          </w:p>
        </w:tc>
        <w:tc>
          <w:tcPr>
            <w:tcW w:w="1510" w:type="dxa"/>
            <w:vAlign w:val="top"/>
          </w:tcPr>
          <w:p w14:paraId="5DCD556C">
            <w:pPr>
              <w:rPr>
                <w:rFonts w:ascii="Arial"/>
                <w:sz w:val="21"/>
              </w:rPr>
            </w:pPr>
          </w:p>
        </w:tc>
        <w:tc>
          <w:tcPr>
            <w:tcW w:w="1307" w:type="dxa"/>
            <w:vAlign w:val="top"/>
          </w:tcPr>
          <w:p w14:paraId="2E196B4E">
            <w:pPr>
              <w:rPr>
                <w:rFonts w:ascii="Arial"/>
                <w:sz w:val="21"/>
              </w:rPr>
            </w:pPr>
          </w:p>
        </w:tc>
        <w:tc>
          <w:tcPr>
            <w:tcW w:w="1388" w:type="dxa"/>
            <w:tcBorders>
              <w:right w:val="single" w:color="000000" w:sz="10" w:space="0"/>
            </w:tcBorders>
            <w:vAlign w:val="top"/>
          </w:tcPr>
          <w:p w14:paraId="090B11BE">
            <w:pPr>
              <w:spacing w:before="57"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466C1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676" w:type="dxa"/>
            <w:tcBorders>
              <w:left w:val="single" w:color="000000" w:sz="10" w:space="0"/>
            </w:tcBorders>
            <w:vAlign w:val="top"/>
          </w:tcPr>
          <w:p w14:paraId="532CD23E">
            <w:pPr>
              <w:spacing w:before="120"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00" w:type="dxa"/>
            <w:vAlign w:val="top"/>
          </w:tcPr>
          <w:p w14:paraId="0CBD07BA">
            <w:pPr>
              <w:spacing w:before="119" w:line="216" w:lineRule="auto"/>
              <w:ind w:left="74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625" w:type="dxa"/>
            <w:vAlign w:val="top"/>
          </w:tcPr>
          <w:p w14:paraId="02F2CAFD">
            <w:pPr>
              <w:rPr>
                <w:rFonts w:ascii="Arial"/>
                <w:sz w:val="21"/>
              </w:rPr>
            </w:pPr>
          </w:p>
        </w:tc>
        <w:tc>
          <w:tcPr>
            <w:tcW w:w="1510" w:type="dxa"/>
            <w:vAlign w:val="top"/>
          </w:tcPr>
          <w:p w14:paraId="331F6DA1">
            <w:pPr>
              <w:rPr>
                <w:rFonts w:ascii="Arial"/>
                <w:sz w:val="21"/>
              </w:rPr>
            </w:pPr>
          </w:p>
        </w:tc>
        <w:tc>
          <w:tcPr>
            <w:tcW w:w="1307" w:type="dxa"/>
            <w:vAlign w:val="top"/>
          </w:tcPr>
          <w:p w14:paraId="7465409F">
            <w:pPr>
              <w:rPr>
                <w:rFonts w:ascii="Arial"/>
                <w:sz w:val="21"/>
              </w:rPr>
            </w:pPr>
          </w:p>
        </w:tc>
        <w:tc>
          <w:tcPr>
            <w:tcW w:w="1388" w:type="dxa"/>
            <w:tcBorders>
              <w:right w:val="single" w:color="000000" w:sz="10" w:space="0"/>
            </w:tcBorders>
            <w:vAlign w:val="top"/>
          </w:tcPr>
          <w:p w14:paraId="5C521D8B">
            <w:pPr>
              <w:spacing w:before="59"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8A31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76" w:type="dxa"/>
            <w:tcBorders>
              <w:left w:val="single" w:color="000000" w:sz="10" w:space="0"/>
            </w:tcBorders>
            <w:vAlign w:val="top"/>
          </w:tcPr>
          <w:p w14:paraId="1ABD9C89">
            <w:pPr>
              <w:spacing w:before="123" w:line="227" w:lineRule="auto"/>
              <w:ind w:left="5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（三）</w:t>
            </w:r>
          </w:p>
        </w:tc>
        <w:tc>
          <w:tcPr>
            <w:tcW w:w="2400" w:type="dxa"/>
            <w:vAlign w:val="top"/>
          </w:tcPr>
          <w:p w14:paraId="5D9AC398">
            <w:pPr>
              <w:spacing w:before="122" w:line="216" w:lineRule="auto"/>
              <w:ind w:left="75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625" w:type="dxa"/>
            <w:vAlign w:val="top"/>
          </w:tcPr>
          <w:p w14:paraId="0D1AF8E1">
            <w:pPr>
              <w:rPr>
                <w:rFonts w:ascii="Arial"/>
                <w:sz w:val="21"/>
              </w:rPr>
            </w:pPr>
          </w:p>
        </w:tc>
        <w:tc>
          <w:tcPr>
            <w:tcW w:w="1510" w:type="dxa"/>
            <w:vAlign w:val="top"/>
          </w:tcPr>
          <w:p w14:paraId="01F8184D">
            <w:pPr>
              <w:rPr>
                <w:rFonts w:ascii="Arial"/>
                <w:sz w:val="21"/>
              </w:rPr>
            </w:pPr>
          </w:p>
        </w:tc>
        <w:tc>
          <w:tcPr>
            <w:tcW w:w="1307" w:type="dxa"/>
            <w:vAlign w:val="top"/>
          </w:tcPr>
          <w:p w14:paraId="714E4513">
            <w:pPr>
              <w:rPr>
                <w:rFonts w:ascii="Arial"/>
                <w:sz w:val="21"/>
              </w:rPr>
            </w:pPr>
          </w:p>
        </w:tc>
        <w:tc>
          <w:tcPr>
            <w:tcW w:w="1388" w:type="dxa"/>
            <w:tcBorders>
              <w:right w:val="single" w:color="000000" w:sz="10" w:space="0"/>
            </w:tcBorders>
            <w:vAlign w:val="top"/>
          </w:tcPr>
          <w:p w14:paraId="47B5D2F3">
            <w:pPr>
              <w:spacing w:before="64" w:line="188" w:lineRule="auto"/>
              <w:ind w:left="65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0053B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76" w:type="dxa"/>
            <w:tcBorders>
              <w:left w:val="single" w:color="000000" w:sz="10" w:space="0"/>
              <w:bottom w:val="single" w:color="000000" w:sz="10" w:space="0"/>
            </w:tcBorders>
            <w:vAlign w:val="top"/>
          </w:tcPr>
          <w:p w14:paraId="48C81106">
            <w:pPr>
              <w:spacing w:before="164" w:line="171" w:lineRule="auto"/>
              <w:ind w:left="251"/>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00" w:type="dxa"/>
            <w:tcBorders>
              <w:bottom w:val="single" w:color="000000" w:sz="10" w:space="0"/>
            </w:tcBorders>
            <w:vAlign w:val="top"/>
          </w:tcPr>
          <w:p w14:paraId="20B65A90">
            <w:pPr>
              <w:spacing w:before="124" w:line="215" w:lineRule="auto"/>
              <w:ind w:left="65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其他临时工程</w:t>
            </w:r>
          </w:p>
        </w:tc>
        <w:tc>
          <w:tcPr>
            <w:tcW w:w="1625" w:type="dxa"/>
            <w:tcBorders>
              <w:bottom w:val="single" w:color="000000" w:sz="10" w:space="0"/>
            </w:tcBorders>
            <w:vAlign w:val="top"/>
          </w:tcPr>
          <w:p w14:paraId="3FF7DE88">
            <w:pPr>
              <w:rPr>
                <w:rFonts w:ascii="Arial"/>
                <w:sz w:val="21"/>
              </w:rPr>
            </w:pPr>
          </w:p>
        </w:tc>
        <w:tc>
          <w:tcPr>
            <w:tcW w:w="1510" w:type="dxa"/>
            <w:tcBorders>
              <w:bottom w:val="single" w:color="000000" w:sz="10" w:space="0"/>
            </w:tcBorders>
            <w:vAlign w:val="top"/>
          </w:tcPr>
          <w:p w14:paraId="3A64D278">
            <w:pPr>
              <w:spacing w:before="66" w:line="188" w:lineRule="auto"/>
              <w:ind w:left="60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3.59</w:t>
            </w:r>
          </w:p>
        </w:tc>
        <w:tc>
          <w:tcPr>
            <w:tcW w:w="1307" w:type="dxa"/>
            <w:tcBorders>
              <w:bottom w:val="single" w:color="000000" w:sz="10" w:space="0"/>
            </w:tcBorders>
            <w:vAlign w:val="top"/>
          </w:tcPr>
          <w:p w14:paraId="3294102A">
            <w:pPr>
              <w:spacing w:before="66" w:line="188" w:lineRule="auto"/>
              <w:ind w:left="4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1388" w:type="dxa"/>
            <w:tcBorders>
              <w:bottom w:val="single" w:color="000000" w:sz="10" w:space="0"/>
              <w:right w:val="single" w:color="000000" w:sz="10" w:space="0"/>
            </w:tcBorders>
            <w:vAlign w:val="top"/>
          </w:tcPr>
          <w:p w14:paraId="7DE40A94">
            <w:pPr>
              <w:spacing w:before="66" w:line="188" w:lineRule="auto"/>
              <w:ind w:left="53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bl>
    <w:p w14:paraId="62375AE1">
      <w:pPr>
        <w:spacing w:before="33" w:line="221" w:lineRule="auto"/>
        <w:ind w:left="2843"/>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5"/>
          <w:sz w:val="20"/>
          <w:szCs w:val="20"/>
        </w:rPr>
        <w:t xml:space="preserve">7.1-3    </w:t>
      </w:r>
      <w:r>
        <w:rPr>
          <w:rFonts w:ascii="FangSong_GB2312" w:hAnsi="FangSong_GB2312" w:eastAsia="FangSong_GB2312" w:cs="FangSong_GB2312"/>
          <w:b/>
          <w:bCs/>
          <w:spacing w:val="5"/>
          <w:sz w:val="20"/>
          <w:szCs w:val="20"/>
        </w:rPr>
        <w:t>分部概算表（独立费用）</w:t>
      </w:r>
    </w:p>
    <w:tbl>
      <w:tblPr>
        <w:tblStyle w:val="6"/>
        <w:tblW w:w="8964"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679"/>
        <w:gridCol w:w="2416"/>
        <w:gridCol w:w="1636"/>
        <w:gridCol w:w="1520"/>
        <w:gridCol w:w="1318"/>
        <w:gridCol w:w="1395"/>
      </w:tblGrid>
      <w:tr w14:paraId="1E6884B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339" w:hRule="atLeast"/>
        </w:trPr>
        <w:tc>
          <w:tcPr>
            <w:tcW w:w="679" w:type="dxa"/>
            <w:tcBorders>
              <w:right w:val="single" w:color="000000" w:sz="2" w:space="0"/>
            </w:tcBorders>
            <w:vAlign w:val="top"/>
          </w:tcPr>
          <w:p w14:paraId="0DE95C07">
            <w:pPr>
              <w:spacing w:before="31" w:line="216" w:lineRule="auto"/>
              <w:ind w:left="15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416" w:type="dxa"/>
            <w:tcBorders>
              <w:left w:val="single" w:color="000000" w:sz="2" w:space="0"/>
              <w:right w:val="single" w:color="000000" w:sz="2" w:space="0"/>
            </w:tcBorders>
            <w:vAlign w:val="top"/>
          </w:tcPr>
          <w:p w14:paraId="09B2D63B">
            <w:pPr>
              <w:spacing w:before="31" w:line="214" w:lineRule="auto"/>
              <w:ind w:left="5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636" w:type="dxa"/>
            <w:tcBorders>
              <w:left w:val="single" w:color="000000" w:sz="2" w:space="0"/>
              <w:right w:val="single" w:color="000000" w:sz="2" w:space="0"/>
            </w:tcBorders>
            <w:vAlign w:val="top"/>
          </w:tcPr>
          <w:p w14:paraId="3B1CB7EA">
            <w:pPr>
              <w:spacing w:before="31" w:line="214" w:lineRule="auto"/>
              <w:ind w:left="645"/>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520" w:type="dxa"/>
            <w:tcBorders>
              <w:left w:val="single" w:color="000000" w:sz="2" w:space="0"/>
              <w:right w:val="single" w:color="000000" w:sz="2" w:space="0"/>
            </w:tcBorders>
            <w:vAlign w:val="top"/>
          </w:tcPr>
          <w:p w14:paraId="754652E9">
            <w:pPr>
              <w:spacing w:before="32" w:line="217" w:lineRule="auto"/>
              <w:ind w:left="59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318" w:type="dxa"/>
            <w:tcBorders>
              <w:left w:val="single" w:color="000000" w:sz="2" w:space="0"/>
              <w:right w:val="single" w:color="000000" w:sz="2" w:space="0"/>
            </w:tcBorders>
            <w:vAlign w:val="top"/>
          </w:tcPr>
          <w:p w14:paraId="58841073">
            <w:pPr>
              <w:spacing w:before="32" w:line="211" w:lineRule="auto"/>
              <w:ind w:left="345"/>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单价</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元</w:t>
            </w:r>
            <w:r>
              <w:rPr>
                <w:rFonts w:ascii="Times New Roman" w:hAnsi="Times New Roman" w:eastAsia="Times New Roman" w:cs="Times New Roman"/>
                <w:spacing w:val="-3"/>
                <w:sz w:val="18"/>
                <w:szCs w:val="18"/>
              </w:rPr>
              <w:t>)</w:t>
            </w:r>
          </w:p>
        </w:tc>
        <w:tc>
          <w:tcPr>
            <w:tcW w:w="1395" w:type="dxa"/>
            <w:tcBorders>
              <w:left w:val="single" w:color="000000" w:sz="2" w:space="0"/>
            </w:tcBorders>
            <w:vAlign w:val="top"/>
          </w:tcPr>
          <w:p w14:paraId="29CBE8EF">
            <w:pPr>
              <w:spacing w:before="32" w:line="211" w:lineRule="auto"/>
              <w:ind w:left="283"/>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合计</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万元</w:t>
            </w:r>
            <w:r>
              <w:rPr>
                <w:rFonts w:ascii="Times New Roman" w:hAnsi="Times New Roman" w:eastAsia="Times New Roman" w:cs="Times New Roman"/>
                <w:spacing w:val="-2"/>
                <w:sz w:val="18"/>
                <w:szCs w:val="18"/>
              </w:rPr>
              <w:t>)</w:t>
            </w:r>
          </w:p>
        </w:tc>
      </w:tr>
    </w:tbl>
    <w:p w14:paraId="4662188F">
      <w:pPr>
        <w:pStyle w:val="2"/>
        <w:spacing w:line="358" w:lineRule="auto"/>
      </w:pPr>
    </w:p>
    <w:p w14:paraId="21F0FBBD">
      <w:pPr>
        <w:spacing w:before="66" w:line="229" w:lineRule="auto"/>
        <w:ind w:left="5399"/>
        <w:rPr>
          <w:rFonts w:ascii="FangSong_GB2312" w:hAnsi="FangSong_GB2312" w:eastAsia="FangSong_GB2312" w:cs="FangSong_GB2312"/>
          <w:sz w:val="20"/>
          <w:szCs w:val="20"/>
        </w:rPr>
      </w:pPr>
      <w:r>
        <w:pict>
          <v:shape id="_x0000_s1093" o:spid="_x0000_s1093" o:spt="202" type="#_x0000_t202" style="position:absolute;left:0pt;margin-left:217.6pt;margin-top:3.05pt;height:10.15pt;width:10.65pt;z-index:251767808;mso-width-relative:page;mso-height-relative:page;" filled="f" stroked="f" coordsize="21600,21600">
            <v:path/>
            <v:fill on="f" focussize="0,0"/>
            <v:stroke on="f"/>
            <v:imagedata o:title=""/>
            <o:lock v:ext="edit" aspectratio="f"/>
            <v:textbox inset="0mm,0mm,0mm,0mm">
              <w:txbxContent>
                <w:p w14:paraId="0B580BA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txbxContent>
            </v:textbox>
          </v:shape>
        </w:pict>
      </w:r>
      <w:r>
        <w:rPr>
          <w:rFonts w:ascii="FangSong_GB2312" w:hAnsi="FangSong_GB2312" w:eastAsia="FangSong_GB2312" w:cs="FangSong_GB2312"/>
          <w:spacing w:val="8"/>
          <w:sz w:val="20"/>
          <w:szCs w:val="20"/>
        </w:rPr>
        <w:t>剑阁县绿森林业勘察设计有限公司</w:t>
      </w:r>
    </w:p>
    <w:p w14:paraId="5E0F063D">
      <w:pPr>
        <w:spacing w:line="229" w:lineRule="auto"/>
        <w:rPr>
          <w:rFonts w:ascii="FangSong_GB2312" w:hAnsi="FangSong_GB2312" w:eastAsia="FangSong_GB2312" w:cs="FangSong_GB2312"/>
          <w:sz w:val="20"/>
          <w:szCs w:val="20"/>
        </w:rPr>
        <w:sectPr>
          <w:headerReference r:id="rId69" w:type="default"/>
          <w:pgSz w:w="11906" w:h="16839"/>
          <w:pgMar w:top="1159" w:right="1371" w:bottom="400" w:left="1499" w:header="831" w:footer="0" w:gutter="0"/>
          <w:cols w:space="720" w:num="1"/>
        </w:sectPr>
      </w:pPr>
    </w:p>
    <w:p w14:paraId="1746F8B5">
      <w:pPr>
        <w:spacing w:line="167" w:lineRule="exact"/>
      </w:pPr>
    </w:p>
    <w:tbl>
      <w:tblPr>
        <w:tblStyle w:val="6"/>
        <w:tblW w:w="8964"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2416"/>
        <w:gridCol w:w="1636"/>
        <w:gridCol w:w="1520"/>
        <w:gridCol w:w="1318"/>
        <w:gridCol w:w="1395"/>
      </w:tblGrid>
      <w:tr w14:paraId="23A93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9" w:type="dxa"/>
            <w:tcBorders>
              <w:top w:val="single" w:color="000000" w:sz="10" w:space="0"/>
              <w:left w:val="single" w:color="000000" w:sz="10" w:space="0"/>
            </w:tcBorders>
            <w:vAlign w:val="top"/>
          </w:tcPr>
          <w:p w14:paraId="0E8A0FBC">
            <w:pPr>
              <w:rPr>
                <w:rFonts w:ascii="Arial"/>
                <w:sz w:val="21"/>
              </w:rPr>
            </w:pPr>
          </w:p>
        </w:tc>
        <w:tc>
          <w:tcPr>
            <w:tcW w:w="2416" w:type="dxa"/>
            <w:tcBorders>
              <w:top w:val="single" w:color="000000" w:sz="10" w:space="0"/>
            </w:tcBorders>
            <w:vAlign w:val="top"/>
          </w:tcPr>
          <w:p w14:paraId="038000FD">
            <w:pPr>
              <w:spacing w:before="81" w:line="214" w:lineRule="auto"/>
              <w:ind w:left="405"/>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第五部分</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独立费用</w:t>
            </w:r>
          </w:p>
        </w:tc>
        <w:tc>
          <w:tcPr>
            <w:tcW w:w="1636" w:type="dxa"/>
            <w:tcBorders>
              <w:top w:val="single" w:color="000000" w:sz="10" w:space="0"/>
            </w:tcBorders>
            <w:vAlign w:val="top"/>
          </w:tcPr>
          <w:p w14:paraId="62661DD1">
            <w:pPr>
              <w:rPr>
                <w:rFonts w:ascii="Arial"/>
                <w:sz w:val="21"/>
              </w:rPr>
            </w:pPr>
          </w:p>
        </w:tc>
        <w:tc>
          <w:tcPr>
            <w:tcW w:w="1520" w:type="dxa"/>
            <w:tcBorders>
              <w:top w:val="single" w:color="000000" w:sz="10" w:space="0"/>
            </w:tcBorders>
            <w:vAlign w:val="top"/>
          </w:tcPr>
          <w:p w14:paraId="07457800">
            <w:pPr>
              <w:rPr>
                <w:rFonts w:ascii="Arial"/>
                <w:sz w:val="21"/>
              </w:rPr>
            </w:pPr>
          </w:p>
        </w:tc>
        <w:tc>
          <w:tcPr>
            <w:tcW w:w="1318" w:type="dxa"/>
            <w:tcBorders>
              <w:top w:val="single" w:color="000000" w:sz="10" w:space="0"/>
            </w:tcBorders>
            <w:vAlign w:val="top"/>
          </w:tcPr>
          <w:p w14:paraId="03AFC9BE">
            <w:pPr>
              <w:rPr>
                <w:rFonts w:ascii="Arial"/>
                <w:sz w:val="21"/>
              </w:rPr>
            </w:pPr>
          </w:p>
        </w:tc>
        <w:tc>
          <w:tcPr>
            <w:tcW w:w="1395" w:type="dxa"/>
            <w:tcBorders>
              <w:top w:val="single" w:color="000000" w:sz="10" w:space="0"/>
              <w:right w:val="single" w:color="000000" w:sz="10" w:space="0"/>
            </w:tcBorders>
            <w:vAlign w:val="top"/>
          </w:tcPr>
          <w:p w14:paraId="343E18BD">
            <w:pPr>
              <w:spacing w:before="49"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w:t>
            </w:r>
          </w:p>
        </w:tc>
      </w:tr>
      <w:tr w14:paraId="1C339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0550B0AF">
            <w:pPr>
              <w:spacing w:before="155" w:line="130" w:lineRule="exact"/>
              <w:ind w:left="255"/>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416" w:type="dxa"/>
            <w:vAlign w:val="top"/>
          </w:tcPr>
          <w:p w14:paraId="038E0DC3">
            <w:pPr>
              <w:spacing w:before="79" w:line="214" w:lineRule="auto"/>
              <w:ind w:left="75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建设管理费</w:t>
            </w:r>
          </w:p>
        </w:tc>
        <w:tc>
          <w:tcPr>
            <w:tcW w:w="1636" w:type="dxa"/>
            <w:vAlign w:val="top"/>
          </w:tcPr>
          <w:p w14:paraId="6709C4B3">
            <w:pPr>
              <w:rPr>
                <w:rFonts w:ascii="Arial"/>
                <w:sz w:val="21"/>
              </w:rPr>
            </w:pPr>
          </w:p>
        </w:tc>
        <w:tc>
          <w:tcPr>
            <w:tcW w:w="1520" w:type="dxa"/>
            <w:vAlign w:val="top"/>
          </w:tcPr>
          <w:p w14:paraId="63991BF9">
            <w:pPr>
              <w:spacing w:before="47" w:line="188" w:lineRule="auto"/>
              <w:ind w:left="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3.59</w:t>
            </w:r>
          </w:p>
        </w:tc>
        <w:tc>
          <w:tcPr>
            <w:tcW w:w="1318" w:type="dxa"/>
            <w:vAlign w:val="top"/>
          </w:tcPr>
          <w:p w14:paraId="7D165144">
            <w:pPr>
              <w:spacing w:before="47" w:line="188" w:lineRule="auto"/>
              <w:ind w:left="5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w:t>
            </w:r>
          </w:p>
        </w:tc>
        <w:tc>
          <w:tcPr>
            <w:tcW w:w="1395" w:type="dxa"/>
            <w:tcBorders>
              <w:right w:val="single" w:color="000000" w:sz="10" w:space="0"/>
            </w:tcBorders>
            <w:vAlign w:val="top"/>
          </w:tcPr>
          <w:p w14:paraId="0A7C0CF3">
            <w:pPr>
              <w:spacing w:before="47" w:line="188"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r>
      <w:tr w14:paraId="4A16E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071B630F">
            <w:pPr>
              <w:spacing w:before="83" w:line="227"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16" w:type="dxa"/>
            <w:vAlign w:val="top"/>
          </w:tcPr>
          <w:p w14:paraId="78ED4CEB">
            <w:pPr>
              <w:spacing w:before="82" w:line="214" w:lineRule="auto"/>
              <w:ind w:left="75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项目经常费</w:t>
            </w:r>
          </w:p>
        </w:tc>
        <w:tc>
          <w:tcPr>
            <w:tcW w:w="1636" w:type="dxa"/>
            <w:vAlign w:val="top"/>
          </w:tcPr>
          <w:p w14:paraId="57681713">
            <w:pPr>
              <w:rPr>
                <w:rFonts w:ascii="Arial"/>
                <w:sz w:val="21"/>
              </w:rPr>
            </w:pPr>
          </w:p>
        </w:tc>
        <w:tc>
          <w:tcPr>
            <w:tcW w:w="1520" w:type="dxa"/>
            <w:vAlign w:val="top"/>
          </w:tcPr>
          <w:p w14:paraId="7AFF34CE">
            <w:pPr>
              <w:rPr>
                <w:rFonts w:ascii="Arial"/>
                <w:sz w:val="21"/>
              </w:rPr>
            </w:pPr>
          </w:p>
        </w:tc>
        <w:tc>
          <w:tcPr>
            <w:tcW w:w="1318" w:type="dxa"/>
            <w:vAlign w:val="top"/>
          </w:tcPr>
          <w:p w14:paraId="5356A2C8">
            <w:pPr>
              <w:rPr>
                <w:rFonts w:ascii="Arial"/>
                <w:sz w:val="21"/>
              </w:rPr>
            </w:pPr>
          </w:p>
        </w:tc>
        <w:tc>
          <w:tcPr>
            <w:tcW w:w="1395" w:type="dxa"/>
            <w:tcBorders>
              <w:right w:val="single" w:color="000000" w:sz="10" w:space="0"/>
            </w:tcBorders>
            <w:vAlign w:val="top"/>
          </w:tcPr>
          <w:p w14:paraId="1948CBD5">
            <w:pPr>
              <w:spacing w:before="51" w:line="188"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1D218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7A16D05B">
            <w:pPr>
              <w:rPr>
                <w:rFonts w:ascii="Arial"/>
                <w:sz w:val="21"/>
              </w:rPr>
            </w:pPr>
          </w:p>
        </w:tc>
        <w:tc>
          <w:tcPr>
            <w:tcW w:w="2416" w:type="dxa"/>
            <w:vAlign w:val="top"/>
          </w:tcPr>
          <w:p w14:paraId="600D9EBC">
            <w:pPr>
              <w:spacing w:before="85" w:line="214" w:lineRule="auto"/>
              <w:ind w:left="39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水土保持设施验收费</w:t>
            </w:r>
          </w:p>
        </w:tc>
        <w:tc>
          <w:tcPr>
            <w:tcW w:w="1636" w:type="dxa"/>
            <w:vAlign w:val="top"/>
          </w:tcPr>
          <w:p w14:paraId="70B927D3">
            <w:pPr>
              <w:rPr>
                <w:rFonts w:ascii="Arial"/>
                <w:sz w:val="21"/>
              </w:rPr>
            </w:pPr>
          </w:p>
        </w:tc>
        <w:tc>
          <w:tcPr>
            <w:tcW w:w="1520" w:type="dxa"/>
            <w:vAlign w:val="top"/>
          </w:tcPr>
          <w:p w14:paraId="59CA23AA">
            <w:pPr>
              <w:rPr>
                <w:rFonts w:ascii="Arial"/>
                <w:sz w:val="21"/>
              </w:rPr>
            </w:pPr>
          </w:p>
        </w:tc>
        <w:tc>
          <w:tcPr>
            <w:tcW w:w="1318" w:type="dxa"/>
            <w:vAlign w:val="top"/>
          </w:tcPr>
          <w:p w14:paraId="14083733">
            <w:pPr>
              <w:rPr>
                <w:rFonts w:ascii="Arial"/>
                <w:sz w:val="21"/>
              </w:rPr>
            </w:pPr>
          </w:p>
        </w:tc>
        <w:tc>
          <w:tcPr>
            <w:tcW w:w="1395" w:type="dxa"/>
            <w:tcBorders>
              <w:right w:val="single" w:color="000000" w:sz="10" w:space="0"/>
            </w:tcBorders>
            <w:vAlign w:val="top"/>
          </w:tcPr>
          <w:p w14:paraId="5D962561">
            <w:pPr>
              <w:spacing w:before="54" w:line="188"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29BD3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2ACFC842">
            <w:pPr>
              <w:spacing w:before="89" w:line="227"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16" w:type="dxa"/>
            <w:vAlign w:val="top"/>
          </w:tcPr>
          <w:p w14:paraId="5E30129F">
            <w:pPr>
              <w:spacing w:before="88" w:line="214" w:lineRule="auto"/>
              <w:ind w:left="75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技术咨询费</w:t>
            </w:r>
          </w:p>
        </w:tc>
        <w:tc>
          <w:tcPr>
            <w:tcW w:w="1636" w:type="dxa"/>
            <w:vAlign w:val="top"/>
          </w:tcPr>
          <w:p w14:paraId="27BEFE4B">
            <w:pPr>
              <w:rPr>
                <w:rFonts w:ascii="Arial"/>
                <w:sz w:val="21"/>
              </w:rPr>
            </w:pPr>
          </w:p>
        </w:tc>
        <w:tc>
          <w:tcPr>
            <w:tcW w:w="1520" w:type="dxa"/>
            <w:vAlign w:val="top"/>
          </w:tcPr>
          <w:p w14:paraId="032A66DA">
            <w:pPr>
              <w:rPr>
                <w:rFonts w:ascii="Arial"/>
                <w:sz w:val="21"/>
              </w:rPr>
            </w:pPr>
          </w:p>
        </w:tc>
        <w:tc>
          <w:tcPr>
            <w:tcW w:w="1318" w:type="dxa"/>
            <w:vAlign w:val="top"/>
          </w:tcPr>
          <w:p w14:paraId="5533E469">
            <w:pPr>
              <w:rPr>
                <w:rFonts w:ascii="Arial"/>
                <w:sz w:val="21"/>
              </w:rPr>
            </w:pPr>
          </w:p>
        </w:tc>
        <w:tc>
          <w:tcPr>
            <w:tcW w:w="1395" w:type="dxa"/>
            <w:tcBorders>
              <w:right w:val="single" w:color="000000" w:sz="10" w:space="0"/>
            </w:tcBorders>
            <w:vAlign w:val="top"/>
          </w:tcPr>
          <w:p w14:paraId="3A7000F5">
            <w:pPr>
              <w:spacing w:before="57" w:line="188"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r>
      <w:tr w14:paraId="5A64B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69E06DCE">
            <w:pPr>
              <w:spacing w:before="132" w:line="171" w:lineRule="auto"/>
              <w:ind w:left="253"/>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416" w:type="dxa"/>
            <w:vAlign w:val="top"/>
          </w:tcPr>
          <w:p w14:paraId="768FDC77">
            <w:pPr>
              <w:spacing w:before="92" w:line="214" w:lineRule="auto"/>
              <w:ind w:left="57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科研勘测设计费</w:t>
            </w:r>
          </w:p>
        </w:tc>
        <w:tc>
          <w:tcPr>
            <w:tcW w:w="1636" w:type="dxa"/>
            <w:vAlign w:val="top"/>
          </w:tcPr>
          <w:p w14:paraId="283C1A82">
            <w:pPr>
              <w:rPr>
                <w:rFonts w:ascii="Arial"/>
                <w:sz w:val="21"/>
              </w:rPr>
            </w:pPr>
          </w:p>
        </w:tc>
        <w:tc>
          <w:tcPr>
            <w:tcW w:w="1520" w:type="dxa"/>
            <w:vAlign w:val="top"/>
          </w:tcPr>
          <w:p w14:paraId="3E249E43">
            <w:pPr>
              <w:rPr>
                <w:rFonts w:ascii="Arial"/>
                <w:sz w:val="21"/>
              </w:rPr>
            </w:pPr>
          </w:p>
        </w:tc>
        <w:tc>
          <w:tcPr>
            <w:tcW w:w="1318" w:type="dxa"/>
            <w:vAlign w:val="top"/>
          </w:tcPr>
          <w:p w14:paraId="1AE898C0">
            <w:pPr>
              <w:rPr>
                <w:rFonts w:ascii="Arial"/>
                <w:sz w:val="21"/>
              </w:rPr>
            </w:pPr>
          </w:p>
        </w:tc>
        <w:tc>
          <w:tcPr>
            <w:tcW w:w="1395" w:type="dxa"/>
            <w:tcBorders>
              <w:right w:val="single" w:color="000000" w:sz="10" w:space="0"/>
            </w:tcBorders>
            <w:vAlign w:val="top"/>
          </w:tcPr>
          <w:p w14:paraId="4E94E288">
            <w:pPr>
              <w:spacing w:before="60"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r>
      <w:tr w14:paraId="6B0B8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79" w:type="dxa"/>
            <w:tcBorders>
              <w:left w:val="single" w:color="000000" w:sz="10" w:space="0"/>
            </w:tcBorders>
            <w:vAlign w:val="top"/>
          </w:tcPr>
          <w:p w14:paraId="2F875D9C">
            <w:pPr>
              <w:spacing w:before="95" w:line="227"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416" w:type="dxa"/>
            <w:vAlign w:val="top"/>
          </w:tcPr>
          <w:p w14:paraId="1AF1A52F">
            <w:pPr>
              <w:spacing w:before="44" w:line="214" w:lineRule="auto"/>
              <w:ind w:left="40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工程科学研究试验费</w:t>
            </w:r>
          </w:p>
        </w:tc>
        <w:tc>
          <w:tcPr>
            <w:tcW w:w="1636" w:type="dxa"/>
            <w:vAlign w:val="top"/>
          </w:tcPr>
          <w:p w14:paraId="416FACF5">
            <w:pPr>
              <w:rPr>
                <w:rFonts w:ascii="Arial"/>
                <w:sz w:val="21"/>
              </w:rPr>
            </w:pPr>
          </w:p>
        </w:tc>
        <w:tc>
          <w:tcPr>
            <w:tcW w:w="1520" w:type="dxa"/>
            <w:vAlign w:val="top"/>
          </w:tcPr>
          <w:p w14:paraId="2C3E375A">
            <w:pPr>
              <w:rPr>
                <w:rFonts w:ascii="Arial"/>
                <w:sz w:val="21"/>
              </w:rPr>
            </w:pPr>
          </w:p>
        </w:tc>
        <w:tc>
          <w:tcPr>
            <w:tcW w:w="1318" w:type="dxa"/>
            <w:vAlign w:val="top"/>
          </w:tcPr>
          <w:p w14:paraId="1D2392F1">
            <w:pPr>
              <w:rPr>
                <w:rFonts w:ascii="Arial"/>
                <w:sz w:val="21"/>
              </w:rPr>
            </w:pPr>
          </w:p>
        </w:tc>
        <w:tc>
          <w:tcPr>
            <w:tcW w:w="1395" w:type="dxa"/>
            <w:tcBorders>
              <w:right w:val="single" w:color="000000" w:sz="10" w:space="0"/>
            </w:tcBorders>
            <w:vAlign w:val="top"/>
          </w:tcPr>
          <w:p w14:paraId="7B8F26A6">
            <w:pPr>
              <w:spacing w:before="61" w:line="188" w:lineRule="auto"/>
              <w:ind w:left="65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14:paraId="2C3FE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9" w:type="dxa"/>
            <w:tcBorders>
              <w:left w:val="single" w:color="000000" w:sz="10" w:space="0"/>
            </w:tcBorders>
            <w:vAlign w:val="top"/>
          </w:tcPr>
          <w:p w14:paraId="0F8C4AD0">
            <w:pPr>
              <w:spacing w:before="99" w:line="227" w:lineRule="auto"/>
              <w:ind w:left="6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416" w:type="dxa"/>
            <w:vAlign w:val="top"/>
          </w:tcPr>
          <w:p w14:paraId="4EF04E9C">
            <w:pPr>
              <w:spacing w:before="48" w:line="214" w:lineRule="auto"/>
              <w:ind w:left="58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工程勘测设计费</w:t>
            </w:r>
          </w:p>
        </w:tc>
        <w:tc>
          <w:tcPr>
            <w:tcW w:w="1636" w:type="dxa"/>
            <w:vAlign w:val="top"/>
          </w:tcPr>
          <w:p w14:paraId="4DF008C4">
            <w:pPr>
              <w:rPr>
                <w:rFonts w:ascii="Arial"/>
                <w:sz w:val="21"/>
              </w:rPr>
            </w:pPr>
          </w:p>
        </w:tc>
        <w:tc>
          <w:tcPr>
            <w:tcW w:w="1520" w:type="dxa"/>
            <w:vAlign w:val="top"/>
          </w:tcPr>
          <w:p w14:paraId="7847D37C">
            <w:pPr>
              <w:rPr>
                <w:rFonts w:ascii="Arial"/>
                <w:sz w:val="21"/>
              </w:rPr>
            </w:pPr>
          </w:p>
        </w:tc>
        <w:tc>
          <w:tcPr>
            <w:tcW w:w="1318" w:type="dxa"/>
            <w:vAlign w:val="top"/>
          </w:tcPr>
          <w:p w14:paraId="4CFE61F9">
            <w:pPr>
              <w:rPr>
                <w:rFonts w:ascii="Arial"/>
                <w:sz w:val="21"/>
              </w:rPr>
            </w:pPr>
          </w:p>
        </w:tc>
        <w:tc>
          <w:tcPr>
            <w:tcW w:w="1395" w:type="dxa"/>
            <w:tcBorders>
              <w:right w:val="single" w:color="000000" w:sz="10" w:space="0"/>
            </w:tcBorders>
            <w:vAlign w:val="top"/>
          </w:tcPr>
          <w:p w14:paraId="01EB76B5">
            <w:pPr>
              <w:spacing w:before="64" w:line="188" w:lineRule="auto"/>
              <w:ind w:left="5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r>
      <w:tr w14:paraId="05315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679" w:type="dxa"/>
            <w:tcBorders>
              <w:left w:val="single" w:color="000000" w:sz="10" w:space="0"/>
              <w:bottom w:val="single" w:color="000000" w:sz="10" w:space="0"/>
            </w:tcBorders>
            <w:vAlign w:val="top"/>
          </w:tcPr>
          <w:p w14:paraId="0FCB3E98">
            <w:pPr>
              <w:spacing w:before="101" w:line="236" w:lineRule="auto"/>
              <w:ind w:left="257"/>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416" w:type="dxa"/>
            <w:tcBorders>
              <w:bottom w:val="single" w:color="000000" w:sz="10" w:space="0"/>
            </w:tcBorders>
            <w:vAlign w:val="top"/>
          </w:tcPr>
          <w:p w14:paraId="02211D16">
            <w:pPr>
              <w:spacing w:before="100" w:line="214" w:lineRule="auto"/>
              <w:ind w:left="57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水土保持监理费</w:t>
            </w:r>
          </w:p>
        </w:tc>
        <w:tc>
          <w:tcPr>
            <w:tcW w:w="1636" w:type="dxa"/>
            <w:tcBorders>
              <w:bottom w:val="single" w:color="000000" w:sz="10" w:space="0"/>
            </w:tcBorders>
            <w:vAlign w:val="top"/>
          </w:tcPr>
          <w:p w14:paraId="1A9B6852">
            <w:pPr>
              <w:rPr>
                <w:rFonts w:ascii="Arial"/>
                <w:sz w:val="21"/>
              </w:rPr>
            </w:pPr>
          </w:p>
        </w:tc>
        <w:tc>
          <w:tcPr>
            <w:tcW w:w="1520" w:type="dxa"/>
            <w:tcBorders>
              <w:bottom w:val="single" w:color="000000" w:sz="10" w:space="0"/>
            </w:tcBorders>
            <w:vAlign w:val="top"/>
          </w:tcPr>
          <w:p w14:paraId="376EA085">
            <w:pPr>
              <w:rPr>
                <w:rFonts w:ascii="Arial"/>
                <w:sz w:val="21"/>
              </w:rPr>
            </w:pPr>
          </w:p>
        </w:tc>
        <w:tc>
          <w:tcPr>
            <w:tcW w:w="1318" w:type="dxa"/>
            <w:tcBorders>
              <w:bottom w:val="single" w:color="000000" w:sz="10" w:space="0"/>
            </w:tcBorders>
            <w:vAlign w:val="top"/>
          </w:tcPr>
          <w:p w14:paraId="028B084A">
            <w:pPr>
              <w:rPr>
                <w:rFonts w:ascii="Arial"/>
                <w:sz w:val="21"/>
              </w:rPr>
            </w:pPr>
          </w:p>
        </w:tc>
        <w:tc>
          <w:tcPr>
            <w:tcW w:w="1395" w:type="dxa"/>
            <w:tcBorders>
              <w:bottom w:val="single" w:color="000000" w:sz="10" w:space="0"/>
              <w:right w:val="single" w:color="000000" w:sz="10" w:space="0"/>
            </w:tcBorders>
            <w:vAlign w:val="top"/>
          </w:tcPr>
          <w:p w14:paraId="786AA0AC">
            <w:pPr>
              <w:spacing w:before="66" w:line="188" w:lineRule="auto"/>
              <w:ind w:left="654"/>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bl>
    <w:p w14:paraId="78C1592E">
      <w:pPr>
        <w:spacing w:before="152" w:line="222" w:lineRule="auto"/>
        <w:ind w:left="3022"/>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1"/>
          <w:sz w:val="20"/>
          <w:szCs w:val="20"/>
        </w:rPr>
        <w:t xml:space="preserve"> </w:t>
      </w:r>
      <w:r>
        <w:rPr>
          <w:rFonts w:ascii="Times New Roman" w:hAnsi="Times New Roman" w:eastAsia="Times New Roman" w:cs="Times New Roman"/>
          <w:b/>
          <w:bCs/>
          <w:spacing w:val="5"/>
          <w:sz w:val="20"/>
          <w:szCs w:val="20"/>
        </w:rPr>
        <w:t xml:space="preserve">7.1-6    </w:t>
      </w:r>
      <w:r>
        <w:rPr>
          <w:rFonts w:ascii="FangSong_GB2312" w:hAnsi="FangSong_GB2312" w:eastAsia="FangSong_GB2312" w:cs="FangSong_GB2312"/>
          <w:b/>
          <w:bCs/>
          <w:spacing w:val="5"/>
          <w:sz w:val="20"/>
          <w:szCs w:val="20"/>
        </w:rPr>
        <w:t>水土保持补偿费计算表</w:t>
      </w:r>
    </w:p>
    <w:tbl>
      <w:tblPr>
        <w:tblStyle w:val="6"/>
        <w:tblW w:w="90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9"/>
        <w:gridCol w:w="2585"/>
        <w:gridCol w:w="1472"/>
        <w:gridCol w:w="1720"/>
      </w:tblGrid>
      <w:tr w14:paraId="46502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249" w:type="dxa"/>
            <w:tcBorders>
              <w:top w:val="single" w:color="000000" w:sz="10" w:space="0"/>
              <w:left w:val="single" w:color="000000" w:sz="10" w:space="0"/>
            </w:tcBorders>
            <w:vAlign w:val="top"/>
          </w:tcPr>
          <w:p w14:paraId="3F3EE6EB">
            <w:pPr>
              <w:spacing w:before="99" w:line="217" w:lineRule="auto"/>
              <w:ind w:left="1439"/>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项目</w:t>
            </w:r>
          </w:p>
        </w:tc>
        <w:tc>
          <w:tcPr>
            <w:tcW w:w="2585" w:type="dxa"/>
            <w:tcBorders>
              <w:top w:val="single" w:color="000000" w:sz="10" w:space="0"/>
            </w:tcBorders>
            <w:vAlign w:val="top"/>
          </w:tcPr>
          <w:p w14:paraId="30DCFCC0">
            <w:pPr>
              <w:spacing w:before="99" w:line="217" w:lineRule="auto"/>
              <w:ind w:left="52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征占地面积（</w:t>
            </w:r>
            <w:r>
              <w:rPr>
                <w:rFonts w:ascii="Times New Roman" w:hAnsi="Times New Roman" w:eastAsia="Times New Roman" w:cs="Times New Roman"/>
                <w:spacing w:val="-1"/>
                <w:sz w:val="18"/>
                <w:szCs w:val="18"/>
              </w:rPr>
              <w:t>hm</w:t>
            </w:r>
            <w:r>
              <w:rPr>
                <w:rFonts w:ascii="Times New Roman" w:hAnsi="Times New Roman" w:eastAsia="Times New Roman" w:cs="Times New Roman"/>
                <w:spacing w:val="-1"/>
                <w:position w:val="6"/>
                <w:sz w:val="11"/>
                <w:szCs w:val="11"/>
              </w:rPr>
              <w:t>2</w:t>
            </w:r>
            <w:r>
              <w:rPr>
                <w:rFonts w:ascii="FangSong_GB2312" w:hAnsi="FangSong_GB2312" w:eastAsia="FangSong_GB2312" w:cs="FangSong_GB2312"/>
                <w:spacing w:val="-1"/>
                <w:sz w:val="18"/>
                <w:szCs w:val="18"/>
              </w:rPr>
              <w:t>）</w:t>
            </w:r>
          </w:p>
        </w:tc>
        <w:tc>
          <w:tcPr>
            <w:tcW w:w="1472" w:type="dxa"/>
            <w:tcBorders>
              <w:top w:val="single" w:color="000000" w:sz="10" w:space="0"/>
            </w:tcBorders>
            <w:vAlign w:val="top"/>
          </w:tcPr>
          <w:p w14:paraId="244E91E7">
            <w:pPr>
              <w:spacing w:before="99" w:line="215" w:lineRule="auto"/>
              <w:ind w:left="39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补偿标准</w:t>
            </w:r>
          </w:p>
        </w:tc>
        <w:tc>
          <w:tcPr>
            <w:tcW w:w="1720" w:type="dxa"/>
            <w:tcBorders>
              <w:top w:val="single" w:color="000000" w:sz="10" w:space="0"/>
              <w:right w:val="single" w:color="000000" w:sz="10" w:space="0"/>
            </w:tcBorders>
            <w:vAlign w:val="top"/>
          </w:tcPr>
          <w:p w14:paraId="26C12BBB">
            <w:pPr>
              <w:spacing w:before="99" w:line="216" w:lineRule="auto"/>
              <w:ind w:left="32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合计（万元）</w:t>
            </w:r>
          </w:p>
        </w:tc>
      </w:tr>
      <w:tr w14:paraId="0F33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3249" w:type="dxa"/>
            <w:tcBorders>
              <w:left w:val="single" w:color="000000" w:sz="10" w:space="0"/>
              <w:bottom w:val="single" w:color="000000" w:sz="10" w:space="0"/>
            </w:tcBorders>
            <w:vAlign w:val="top"/>
          </w:tcPr>
          <w:p w14:paraId="36D19BB5">
            <w:pPr>
              <w:spacing w:before="38" w:line="214" w:lineRule="auto"/>
              <w:ind w:left="18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剑阁县义兴镇干部职工周转房建设项</w:t>
            </w:r>
          </w:p>
          <w:p w14:paraId="1E5D05C9">
            <w:pPr>
              <w:spacing w:before="24" w:line="144" w:lineRule="exact"/>
              <w:ind w:left="1561"/>
              <w:rPr>
                <w:rFonts w:ascii="FangSong_GB2312" w:hAnsi="FangSong_GB2312" w:eastAsia="FangSong_GB2312" w:cs="FangSong_GB2312"/>
                <w:sz w:val="18"/>
                <w:szCs w:val="18"/>
              </w:rPr>
            </w:pPr>
            <w:r>
              <w:rPr>
                <w:rFonts w:ascii="FangSong_GB2312" w:hAnsi="FangSong_GB2312" w:eastAsia="FangSong_GB2312" w:cs="FangSong_GB2312"/>
                <w:position w:val="-1"/>
                <w:sz w:val="18"/>
                <w:szCs w:val="18"/>
              </w:rPr>
              <w:t>目</w:t>
            </w:r>
          </w:p>
        </w:tc>
        <w:tc>
          <w:tcPr>
            <w:tcW w:w="2585" w:type="dxa"/>
            <w:tcBorders>
              <w:bottom w:val="single" w:color="000000" w:sz="10" w:space="0"/>
            </w:tcBorders>
            <w:vAlign w:val="top"/>
          </w:tcPr>
          <w:p w14:paraId="44122D4C">
            <w:pPr>
              <w:spacing w:before="116" w:line="227" w:lineRule="auto"/>
              <w:ind w:left="468"/>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0.05hm</w:t>
            </w:r>
            <w:r>
              <w:rPr>
                <w:rFonts w:ascii="Times New Roman" w:hAnsi="Times New Roman" w:eastAsia="Times New Roman" w:cs="Times New Roman"/>
                <w:spacing w:val="-1"/>
                <w:position w:val="5"/>
                <w:sz w:val="11"/>
                <w:szCs w:val="11"/>
              </w:rPr>
              <w:t>2</w:t>
            </w:r>
            <w:r>
              <w:rPr>
                <w:rFonts w:ascii="FangSong_GB2312" w:hAnsi="FangSong_GB2312" w:eastAsia="FangSong_GB2312" w:cs="FangSong_GB2312"/>
                <w:sz w:val="18"/>
                <w:szCs w:val="18"/>
              </w:rPr>
              <w:t>（</w:t>
            </w:r>
            <w:r>
              <w:rPr>
                <w:rFonts w:ascii="Times New Roman" w:hAnsi="Times New Roman" w:eastAsia="Times New Roman" w:cs="Times New Roman"/>
                <w:sz w:val="18"/>
                <w:szCs w:val="18"/>
              </w:rPr>
              <w:t>493.23m</w:t>
            </w:r>
            <w:r>
              <w:rPr>
                <w:rFonts w:ascii="Times New Roman" w:hAnsi="Times New Roman" w:eastAsia="Times New Roman" w:cs="Times New Roman"/>
                <w:position w:val="5"/>
                <w:sz w:val="11"/>
                <w:szCs w:val="11"/>
              </w:rPr>
              <w:t>2</w:t>
            </w:r>
            <w:r>
              <w:rPr>
                <w:rFonts w:ascii="FangSong_GB2312" w:hAnsi="FangSong_GB2312" w:eastAsia="FangSong_GB2312" w:cs="FangSong_GB2312"/>
                <w:sz w:val="18"/>
                <w:szCs w:val="18"/>
              </w:rPr>
              <w:t>）</w:t>
            </w:r>
          </w:p>
        </w:tc>
        <w:tc>
          <w:tcPr>
            <w:tcW w:w="1472" w:type="dxa"/>
            <w:tcBorders>
              <w:bottom w:val="single" w:color="000000" w:sz="10" w:space="0"/>
            </w:tcBorders>
            <w:vAlign w:val="top"/>
          </w:tcPr>
          <w:p w14:paraId="7F3F5F8C">
            <w:pPr>
              <w:spacing w:before="116" w:line="217" w:lineRule="auto"/>
              <w:ind w:left="365"/>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1.30</w:t>
            </w:r>
            <w:r>
              <w:rPr>
                <w:rFonts w:ascii="Times New Roman" w:hAnsi="Times New Roman" w:eastAsia="Times New Roman" w:cs="Times New Roman"/>
                <w:spacing w:val="14"/>
                <w:sz w:val="18"/>
                <w:szCs w:val="18"/>
              </w:rPr>
              <w:t xml:space="preserve"> </w:t>
            </w:r>
            <w:r>
              <w:rPr>
                <w:rFonts w:ascii="FangSong_GB2312" w:hAnsi="FangSong_GB2312" w:eastAsia="FangSong_GB2312" w:cs="FangSong_GB2312"/>
                <w:spacing w:val="-4"/>
                <w:sz w:val="18"/>
                <w:szCs w:val="18"/>
              </w:rPr>
              <w:t>元</w:t>
            </w:r>
            <w:r>
              <w:rPr>
                <w:rFonts w:ascii="Times New Roman" w:hAnsi="Times New Roman" w:eastAsia="Times New Roman" w:cs="Times New Roman"/>
                <w:spacing w:val="-4"/>
                <w:sz w:val="18"/>
                <w:szCs w:val="18"/>
              </w:rPr>
              <w:t>/m</w:t>
            </w:r>
            <w:r>
              <w:rPr>
                <w:rFonts w:ascii="Times New Roman" w:hAnsi="Times New Roman" w:eastAsia="Times New Roman" w:cs="Times New Roman"/>
                <w:spacing w:val="-4"/>
                <w:position w:val="5"/>
                <w:sz w:val="11"/>
                <w:szCs w:val="11"/>
              </w:rPr>
              <w:t>2</w:t>
            </w:r>
          </w:p>
        </w:tc>
        <w:tc>
          <w:tcPr>
            <w:tcW w:w="1720" w:type="dxa"/>
            <w:tcBorders>
              <w:bottom w:val="single" w:color="000000" w:sz="10" w:space="0"/>
              <w:right w:val="single" w:color="000000" w:sz="10" w:space="0"/>
            </w:tcBorders>
            <w:vAlign w:val="top"/>
          </w:tcPr>
          <w:p w14:paraId="4B9E8EB6">
            <w:pPr>
              <w:spacing w:before="116" w:line="217" w:lineRule="auto"/>
              <w:ind w:left="124"/>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0.06</w:t>
            </w:r>
            <w:r>
              <w:rPr>
                <w:rFonts w:ascii="FangSong_GB2312" w:hAnsi="FangSong_GB2312" w:eastAsia="FangSong_GB2312" w:cs="FangSong_GB2312"/>
                <w:spacing w:val="-2"/>
                <w:sz w:val="18"/>
                <w:szCs w:val="18"/>
              </w:rPr>
              <w:t>（</w:t>
            </w:r>
            <w:r>
              <w:rPr>
                <w:rFonts w:ascii="Times New Roman" w:hAnsi="Times New Roman" w:eastAsia="Times New Roman" w:cs="Times New Roman"/>
                <w:spacing w:val="-2"/>
                <w:sz w:val="18"/>
                <w:szCs w:val="18"/>
              </w:rPr>
              <w:t>641.199</w:t>
            </w:r>
            <w:r>
              <w:rPr>
                <w:rFonts w:ascii="Times New Roman" w:hAnsi="Times New Roman" w:eastAsia="Times New Roman" w:cs="Times New Roman"/>
                <w:spacing w:val="21"/>
                <w:sz w:val="18"/>
                <w:szCs w:val="18"/>
              </w:rPr>
              <w:t xml:space="preserve"> </w:t>
            </w:r>
            <w:r>
              <w:rPr>
                <w:rFonts w:ascii="FangSong_GB2312" w:hAnsi="FangSong_GB2312" w:eastAsia="FangSong_GB2312" w:cs="FangSong_GB2312"/>
                <w:spacing w:val="-2"/>
                <w:sz w:val="18"/>
                <w:szCs w:val="18"/>
              </w:rPr>
              <w:t>元）</w:t>
            </w:r>
          </w:p>
        </w:tc>
      </w:tr>
    </w:tbl>
    <w:p w14:paraId="44D0D272">
      <w:pPr>
        <w:spacing w:before="8" w:line="223" w:lineRule="auto"/>
        <w:ind w:left="3744"/>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4"/>
          <w:sz w:val="20"/>
          <w:szCs w:val="20"/>
        </w:rPr>
        <w:t xml:space="preserve"> </w:t>
      </w:r>
      <w:r>
        <w:rPr>
          <w:rFonts w:ascii="Times New Roman" w:hAnsi="Times New Roman" w:eastAsia="Times New Roman" w:cs="Times New Roman"/>
          <w:b/>
          <w:bCs/>
          <w:spacing w:val="5"/>
          <w:sz w:val="20"/>
          <w:szCs w:val="20"/>
        </w:rPr>
        <w:t xml:space="preserve">7.1-4    </w:t>
      </w:r>
      <w:r>
        <w:rPr>
          <w:rFonts w:ascii="FangSong_GB2312" w:hAnsi="FangSong_GB2312" w:eastAsia="FangSong_GB2312" w:cs="FangSong_GB2312"/>
          <w:b/>
          <w:bCs/>
          <w:spacing w:val="5"/>
          <w:sz w:val="20"/>
          <w:szCs w:val="20"/>
        </w:rPr>
        <w:t>分年度投资</w:t>
      </w:r>
      <w:r>
        <w:rPr>
          <w:rFonts w:ascii="宋体" w:hAnsi="宋体" w:eastAsia="宋体" w:cs="宋体"/>
          <w:b/>
          <w:bCs/>
          <w:spacing w:val="5"/>
          <w:sz w:val="20"/>
          <w:szCs w:val="20"/>
        </w:rPr>
        <w:t>概</w:t>
      </w:r>
      <w:r>
        <w:rPr>
          <w:rFonts w:ascii="FangSong_GB2312" w:hAnsi="FangSong_GB2312" w:eastAsia="FangSong_GB2312" w:cs="FangSong_GB2312"/>
          <w:b/>
          <w:bCs/>
          <w:spacing w:val="5"/>
          <w:sz w:val="20"/>
          <w:szCs w:val="20"/>
        </w:rPr>
        <w:t>算表</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b/>
          <w:bCs/>
          <w:spacing w:val="5"/>
          <w:sz w:val="20"/>
          <w:szCs w:val="20"/>
        </w:rPr>
        <w:t>单位：万元</w:t>
      </w:r>
    </w:p>
    <w:tbl>
      <w:tblPr>
        <w:tblStyle w:val="6"/>
        <w:tblW w:w="8943"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5"/>
        <w:gridCol w:w="1247"/>
        <w:gridCol w:w="1697"/>
        <w:gridCol w:w="1785"/>
        <w:gridCol w:w="1229"/>
      </w:tblGrid>
      <w:tr w14:paraId="59168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985" w:type="dxa"/>
            <w:vMerge w:val="restart"/>
            <w:tcBorders>
              <w:top w:val="single" w:color="000000" w:sz="10" w:space="0"/>
              <w:left w:val="single" w:color="000000" w:sz="10" w:space="0"/>
              <w:bottom w:val="nil"/>
            </w:tcBorders>
            <w:vAlign w:val="top"/>
          </w:tcPr>
          <w:p w14:paraId="222EC5B4">
            <w:pPr>
              <w:spacing w:before="295" w:line="214" w:lineRule="auto"/>
              <w:ind w:left="86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工程或费用名称</w:t>
            </w:r>
          </w:p>
        </w:tc>
        <w:tc>
          <w:tcPr>
            <w:tcW w:w="1247" w:type="dxa"/>
            <w:tcBorders>
              <w:top w:val="single" w:color="000000" w:sz="10" w:space="0"/>
            </w:tcBorders>
            <w:vAlign w:val="top"/>
          </w:tcPr>
          <w:p w14:paraId="5DE3C851">
            <w:pPr>
              <w:rPr>
                <w:rFonts w:ascii="Arial"/>
                <w:sz w:val="21"/>
              </w:rPr>
            </w:pPr>
          </w:p>
        </w:tc>
        <w:tc>
          <w:tcPr>
            <w:tcW w:w="4711" w:type="dxa"/>
            <w:gridSpan w:val="3"/>
            <w:tcBorders>
              <w:top w:val="single" w:color="000000" w:sz="10" w:space="0"/>
              <w:right w:val="single" w:color="000000" w:sz="10" w:space="0"/>
            </w:tcBorders>
            <w:vAlign w:val="top"/>
          </w:tcPr>
          <w:p w14:paraId="4F6CB11A">
            <w:pPr>
              <w:spacing w:before="106" w:line="216" w:lineRule="auto"/>
              <w:ind w:left="1842"/>
              <w:rPr>
                <w:rFonts w:ascii="Times New Roman" w:hAnsi="Times New Roman" w:eastAsia="Times New Roman" w:cs="Times New Roman"/>
                <w:sz w:val="18"/>
                <w:szCs w:val="18"/>
              </w:rPr>
            </w:pPr>
            <w:r>
              <w:rPr>
                <w:rFonts w:ascii="FangSong_GB2312" w:hAnsi="FangSong_GB2312" w:eastAsia="FangSong_GB2312" w:cs="FangSong_GB2312"/>
                <w:spacing w:val="-1"/>
                <w:sz w:val="18"/>
                <w:szCs w:val="18"/>
              </w:rPr>
              <w:t>建设工期</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年</w:t>
            </w:r>
            <w:r>
              <w:rPr>
                <w:rFonts w:ascii="Times New Roman" w:hAnsi="Times New Roman" w:eastAsia="Times New Roman" w:cs="Times New Roman"/>
                <w:spacing w:val="-1"/>
                <w:sz w:val="18"/>
                <w:szCs w:val="18"/>
              </w:rPr>
              <w:t>)</w:t>
            </w:r>
          </w:p>
        </w:tc>
      </w:tr>
      <w:tr w14:paraId="70A8B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2985" w:type="dxa"/>
            <w:vMerge w:val="continue"/>
            <w:tcBorders>
              <w:top w:val="nil"/>
              <w:left w:val="single" w:color="000000" w:sz="10" w:space="0"/>
            </w:tcBorders>
            <w:vAlign w:val="top"/>
          </w:tcPr>
          <w:p w14:paraId="14680436">
            <w:pPr>
              <w:rPr>
                <w:rFonts w:ascii="Arial"/>
                <w:sz w:val="21"/>
              </w:rPr>
            </w:pPr>
          </w:p>
        </w:tc>
        <w:tc>
          <w:tcPr>
            <w:tcW w:w="1247" w:type="dxa"/>
            <w:vAlign w:val="top"/>
          </w:tcPr>
          <w:p w14:paraId="206B2757">
            <w:pPr>
              <w:spacing w:before="95" w:line="216" w:lineRule="auto"/>
              <w:ind w:left="44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697" w:type="dxa"/>
            <w:vAlign w:val="top"/>
          </w:tcPr>
          <w:p w14:paraId="764E7A7D">
            <w:pPr>
              <w:spacing w:before="96" w:line="215" w:lineRule="auto"/>
              <w:ind w:left="81"/>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 xml:space="preserve">2022 </w:t>
            </w:r>
            <w:r>
              <w:rPr>
                <w:rFonts w:ascii="FangSong_GB2312" w:hAnsi="FangSong_GB2312" w:eastAsia="FangSong_GB2312" w:cs="FangSong_GB2312"/>
                <w:spacing w:val="-4"/>
                <w:sz w:val="18"/>
                <w:szCs w:val="18"/>
              </w:rPr>
              <w:t>年（</w:t>
            </w:r>
            <w:r>
              <w:rPr>
                <w:rFonts w:ascii="Times New Roman" w:hAnsi="Times New Roman" w:eastAsia="Times New Roman" w:cs="Times New Roman"/>
                <w:spacing w:val="-4"/>
                <w:sz w:val="18"/>
                <w:szCs w:val="18"/>
              </w:rPr>
              <w:t>7~</w:t>
            </w:r>
            <w:r>
              <w:rPr>
                <w:rFonts w:ascii="Times New Roman" w:hAnsi="Times New Roman" w:eastAsia="Times New Roman" w:cs="Times New Roman"/>
                <w:spacing w:val="-13"/>
                <w:sz w:val="18"/>
                <w:szCs w:val="18"/>
              </w:rPr>
              <w:t xml:space="preserve"> </w:t>
            </w:r>
            <w:r>
              <w:rPr>
                <w:rFonts w:ascii="Times New Roman" w:hAnsi="Times New Roman" w:eastAsia="Times New Roman" w:cs="Times New Roman"/>
                <w:spacing w:val="-4"/>
                <w:sz w:val="18"/>
                <w:szCs w:val="18"/>
              </w:rPr>
              <w:t>12</w:t>
            </w:r>
            <w:r>
              <w:rPr>
                <w:rFonts w:ascii="Times New Roman" w:hAnsi="Times New Roman" w:eastAsia="Times New Roman" w:cs="Times New Roman"/>
                <w:spacing w:val="16"/>
                <w:sz w:val="18"/>
                <w:szCs w:val="18"/>
              </w:rPr>
              <w:t xml:space="preserve"> </w:t>
            </w:r>
            <w:r>
              <w:rPr>
                <w:rFonts w:ascii="FangSong_GB2312" w:hAnsi="FangSong_GB2312" w:eastAsia="FangSong_GB2312" w:cs="FangSong_GB2312"/>
                <w:spacing w:val="-4"/>
                <w:sz w:val="18"/>
                <w:szCs w:val="18"/>
              </w:rPr>
              <w:t>月）</w:t>
            </w:r>
          </w:p>
        </w:tc>
        <w:tc>
          <w:tcPr>
            <w:tcW w:w="1785" w:type="dxa"/>
            <w:vAlign w:val="top"/>
          </w:tcPr>
          <w:p w14:paraId="39C36364">
            <w:pPr>
              <w:spacing w:before="96" w:line="215" w:lineRule="auto"/>
              <w:ind w:left="271"/>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 xml:space="preserve">2023 </w:t>
            </w:r>
            <w:r>
              <w:rPr>
                <w:rFonts w:ascii="FangSong_GB2312" w:hAnsi="FangSong_GB2312" w:eastAsia="FangSong_GB2312" w:cs="FangSong_GB2312"/>
                <w:spacing w:val="-2"/>
                <w:sz w:val="18"/>
                <w:szCs w:val="18"/>
              </w:rPr>
              <w:t>年（</w:t>
            </w:r>
            <w:r>
              <w:rPr>
                <w:rFonts w:ascii="Times New Roman" w:hAnsi="Times New Roman" w:eastAsia="Times New Roman" w:cs="Times New Roman"/>
                <w:spacing w:val="-2"/>
                <w:sz w:val="18"/>
                <w:szCs w:val="18"/>
              </w:rPr>
              <w:t>1</w:t>
            </w:r>
            <w:r>
              <w:rPr>
                <w:rFonts w:ascii="Times New Roman" w:hAnsi="Times New Roman" w:eastAsia="Times New Roman" w:cs="Times New Roman"/>
                <w:spacing w:val="15"/>
                <w:w w:val="101"/>
                <w:sz w:val="18"/>
                <w:szCs w:val="18"/>
              </w:rPr>
              <w:t xml:space="preserve"> </w:t>
            </w:r>
            <w:r>
              <w:rPr>
                <w:rFonts w:ascii="FangSong_GB2312" w:hAnsi="FangSong_GB2312" w:eastAsia="FangSong_GB2312" w:cs="FangSong_GB2312"/>
                <w:spacing w:val="-2"/>
                <w:sz w:val="18"/>
                <w:szCs w:val="18"/>
              </w:rPr>
              <w:t>月）</w:t>
            </w:r>
          </w:p>
        </w:tc>
        <w:tc>
          <w:tcPr>
            <w:tcW w:w="1229" w:type="dxa"/>
            <w:tcBorders>
              <w:right w:val="single" w:color="000000" w:sz="10" w:space="0"/>
            </w:tcBorders>
            <w:vAlign w:val="top"/>
          </w:tcPr>
          <w:p w14:paraId="58304064">
            <w:pPr>
              <w:spacing w:before="95" w:line="216" w:lineRule="auto"/>
              <w:ind w:left="322"/>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2025</w:t>
            </w:r>
            <w:r>
              <w:rPr>
                <w:rFonts w:ascii="Times New Roman" w:hAnsi="Times New Roman" w:eastAsia="Times New Roman" w:cs="Times New Roman"/>
                <w:spacing w:val="10"/>
                <w:sz w:val="18"/>
                <w:szCs w:val="18"/>
              </w:rPr>
              <w:t xml:space="preserve"> </w:t>
            </w:r>
            <w:r>
              <w:rPr>
                <w:rFonts w:ascii="FangSong_GB2312" w:hAnsi="FangSong_GB2312" w:eastAsia="FangSong_GB2312" w:cs="FangSong_GB2312"/>
                <w:spacing w:val="-1"/>
                <w:sz w:val="18"/>
                <w:szCs w:val="18"/>
              </w:rPr>
              <w:t>年</w:t>
            </w:r>
          </w:p>
        </w:tc>
      </w:tr>
      <w:tr w14:paraId="3A94D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985" w:type="dxa"/>
            <w:tcBorders>
              <w:left w:val="single" w:color="000000" w:sz="10" w:space="0"/>
            </w:tcBorders>
            <w:vAlign w:val="top"/>
          </w:tcPr>
          <w:p w14:paraId="552C6B1A">
            <w:pPr>
              <w:spacing w:before="87" w:line="214" w:lineRule="auto"/>
              <w:ind w:left="96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一、工程措施</w:t>
            </w:r>
          </w:p>
        </w:tc>
        <w:tc>
          <w:tcPr>
            <w:tcW w:w="1247" w:type="dxa"/>
            <w:vAlign w:val="top"/>
          </w:tcPr>
          <w:p w14:paraId="34523487">
            <w:pPr>
              <w:spacing w:before="118"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3.54</w:t>
            </w:r>
          </w:p>
        </w:tc>
        <w:tc>
          <w:tcPr>
            <w:tcW w:w="1697" w:type="dxa"/>
            <w:vAlign w:val="top"/>
          </w:tcPr>
          <w:p w14:paraId="31F04C9B">
            <w:pPr>
              <w:spacing w:before="118" w:line="188" w:lineRule="auto"/>
              <w:ind w:left="6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3.54</w:t>
            </w:r>
          </w:p>
        </w:tc>
        <w:tc>
          <w:tcPr>
            <w:tcW w:w="1785" w:type="dxa"/>
            <w:vAlign w:val="top"/>
          </w:tcPr>
          <w:p w14:paraId="57CFE666">
            <w:pPr>
              <w:rPr>
                <w:rFonts w:ascii="Arial"/>
                <w:sz w:val="21"/>
              </w:rPr>
            </w:pPr>
          </w:p>
        </w:tc>
        <w:tc>
          <w:tcPr>
            <w:tcW w:w="1229" w:type="dxa"/>
            <w:tcBorders>
              <w:right w:val="single" w:color="000000" w:sz="10" w:space="0"/>
            </w:tcBorders>
            <w:vAlign w:val="top"/>
          </w:tcPr>
          <w:p w14:paraId="22F76184">
            <w:pPr>
              <w:rPr>
                <w:rFonts w:ascii="Arial"/>
                <w:sz w:val="21"/>
              </w:rPr>
            </w:pPr>
          </w:p>
        </w:tc>
      </w:tr>
      <w:tr w14:paraId="0C7EB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7E457F0F">
            <w:pPr>
              <w:spacing w:before="93" w:line="216" w:lineRule="auto"/>
              <w:ind w:left="709"/>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一</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建构筑物工程区</w:t>
            </w:r>
          </w:p>
        </w:tc>
        <w:tc>
          <w:tcPr>
            <w:tcW w:w="1247" w:type="dxa"/>
            <w:vAlign w:val="top"/>
          </w:tcPr>
          <w:p w14:paraId="032ADBA5">
            <w:pPr>
              <w:spacing w:before="124"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697" w:type="dxa"/>
            <w:vAlign w:val="top"/>
          </w:tcPr>
          <w:p w14:paraId="09887B28">
            <w:pPr>
              <w:spacing w:before="124"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785" w:type="dxa"/>
            <w:vAlign w:val="top"/>
          </w:tcPr>
          <w:p w14:paraId="5CCCF7B8">
            <w:pPr>
              <w:rPr>
                <w:rFonts w:ascii="Arial"/>
                <w:sz w:val="21"/>
              </w:rPr>
            </w:pPr>
          </w:p>
        </w:tc>
        <w:tc>
          <w:tcPr>
            <w:tcW w:w="1229" w:type="dxa"/>
            <w:tcBorders>
              <w:right w:val="single" w:color="000000" w:sz="10" w:space="0"/>
            </w:tcBorders>
            <w:vAlign w:val="top"/>
          </w:tcPr>
          <w:p w14:paraId="2476249E">
            <w:pPr>
              <w:rPr>
                <w:rFonts w:ascii="Arial"/>
                <w:sz w:val="21"/>
              </w:rPr>
            </w:pPr>
          </w:p>
        </w:tc>
      </w:tr>
      <w:tr w14:paraId="5D79D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4E41FE4A">
            <w:pPr>
              <w:spacing w:before="95" w:line="216" w:lineRule="auto"/>
              <w:ind w:left="94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247" w:type="dxa"/>
            <w:vAlign w:val="top"/>
          </w:tcPr>
          <w:p w14:paraId="266E9243">
            <w:pPr>
              <w:spacing w:before="125"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697" w:type="dxa"/>
            <w:vAlign w:val="top"/>
          </w:tcPr>
          <w:p w14:paraId="30482BBE">
            <w:pPr>
              <w:spacing w:before="125"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785" w:type="dxa"/>
            <w:vAlign w:val="top"/>
          </w:tcPr>
          <w:p w14:paraId="1C3CD856">
            <w:pPr>
              <w:rPr>
                <w:rFonts w:ascii="Arial"/>
                <w:sz w:val="21"/>
              </w:rPr>
            </w:pPr>
          </w:p>
        </w:tc>
        <w:tc>
          <w:tcPr>
            <w:tcW w:w="1229" w:type="dxa"/>
            <w:tcBorders>
              <w:right w:val="single" w:color="000000" w:sz="10" w:space="0"/>
            </w:tcBorders>
            <w:vAlign w:val="top"/>
          </w:tcPr>
          <w:p w14:paraId="158EC575">
            <w:pPr>
              <w:rPr>
                <w:rFonts w:ascii="Arial"/>
                <w:sz w:val="21"/>
              </w:rPr>
            </w:pPr>
          </w:p>
        </w:tc>
      </w:tr>
      <w:tr w14:paraId="49439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7B1892A9">
            <w:pPr>
              <w:spacing w:before="93" w:line="216" w:lineRule="auto"/>
              <w:ind w:left="7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（二）硬化工程区</w:t>
            </w:r>
          </w:p>
        </w:tc>
        <w:tc>
          <w:tcPr>
            <w:tcW w:w="1247" w:type="dxa"/>
            <w:vAlign w:val="top"/>
          </w:tcPr>
          <w:p w14:paraId="12BA7145">
            <w:pPr>
              <w:spacing w:before="124"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39164422">
            <w:pPr>
              <w:rPr>
                <w:rFonts w:ascii="Arial"/>
                <w:sz w:val="21"/>
              </w:rPr>
            </w:pPr>
          </w:p>
        </w:tc>
        <w:tc>
          <w:tcPr>
            <w:tcW w:w="1785" w:type="dxa"/>
            <w:vAlign w:val="top"/>
          </w:tcPr>
          <w:p w14:paraId="3C0FC0F7">
            <w:pPr>
              <w:rPr>
                <w:rFonts w:ascii="Arial"/>
                <w:sz w:val="21"/>
              </w:rPr>
            </w:pPr>
          </w:p>
        </w:tc>
        <w:tc>
          <w:tcPr>
            <w:tcW w:w="1229" w:type="dxa"/>
            <w:tcBorders>
              <w:right w:val="single" w:color="000000" w:sz="10" w:space="0"/>
            </w:tcBorders>
            <w:vAlign w:val="top"/>
          </w:tcPr>
          <w:p w14:paraId="64D053B0">
            <w:pPr>
              <w:rPr>
                <w:rFonts w:ascii="Arial"/>
                <w:sz w:val="21"/>
              </w:rPr>
            </w:pPr>
          </w:p>
        </w:tc>
      </w:tr>
      <w:tr w14:paraId="22F39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262FF66A">
            <w:pPr>
              <w:spacing w:before="95" w:line="216" w:lineRule="auto"/>
              <w:ind w:left="7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（三）绿化工程区</w:t>
            </w:r>
          </w:p>
        </w:tc>
        <w:tc>
          <w:tcPr>
            <w:tcW w:w="1247" w:type="dxa"/>
            <w:vAlign w:val="top"/>
          </w:tcPr>
          <w:p w14:paraId="438EE608">
            <w:pPr>
              <w:spacing w:before="126"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w:t>
            </w:r>
          </w:p>
        </w:tc>
        <w:tc>
          <w:tcPr>
            <w:tcW w:w="1697" w:type="dxa"/>
            <w:vAlign w:val="top"/>
          </w:tcPr>
          <w:p w14:paraId="4DBA0182">
            <w:pPr>
              <w:spacing w:before="126" w:line="188" w:lineRule="auto"/>
              <w:ind w:left="6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3.52</w:t>
            </w:r>
          </w:p>
        </w:tc>
        <w:tc>
          <w:tcPr>
            <w:tcW w:w="1785" w:type="dxa"/>
            <w:vAlign w:val="top"/>
          </w:tcPr>
          <w:p w14:paraId="20F207CE">
            <w:pPr>
              <w:rPr>
                <w:rFonts w:ascii="Arial"/>
                <w:sz w:val="21"/>
              </w:rPr>
            </w:pPr>
          </w:p>
        </w:tc>
        <w:tc>
          <w:tcPr>
            <w:tcW w:w="1229" w:type="dxa"/>
            <w:tcBorders>
              <w:right w:val="single" w:color="000000" w:sz="10" w:space="0"/>
            </w:tcBorders>
            <w:vAlign w:val="top"/>
          </w:tcPr>
          <w:p w14:paraId="15ABFDB9">
            <w:pPr>
              <w:rPr>
                <w:rFonts w:ascii="Arial"/>
                <w:sz w:val="21"/>
              </w:rPr>
            </w:pPr>
          </w:p>
        </w:tc>
      </w:tr>
      <w:tr w14:paraId="2FFA2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68995650">
            <w:pPr>
              <w:spacing w:before="97" w:line="216" w:lineRule="auto"/>
              <w:ind w:left="94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表土保护工程</w:t>
            </w:r>
          </w:p>
        </w:tc>
        <w:tc>
          <w:tcPr>
            <w:tcW w:w="1247" w:type="dxa"/>
            <w:vAlign w:val="top"/>
          </w:tcPr>
          <w:p w14:paraId="06A4DE4C">
            <w:pPr>
              <w:spacing w:before="128"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697" w:type="dxa"/>
            <w:vAlign w:val="top"/>
          </w:tcPr>
          <w:p w14:paraId="5F8A5D9A">
            <w:pPr>
              <w:spacing w:before="128"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w:t>
            </w:r>
          </w:p>
        </w:tc>
        <w:tc>
          <w:tcPr>
            <w:tcW w:w="1785" w:type="dxa"/>
            <w:vAlign w:val="top"/>
          </w:tcPr>
          <w:p w14:paraId="518CA03B">
            <w:pPr>
              <w:rPr>
                <w:rFonts w:ascii="Arial"/>
                <w:sz w:val="21"/>
              </w:rPr>
            </w:pPr>
          </w:p>
        </w:tc>
        <w:tc>
          <w:tcPr>
            <w:tcW w:w="1229" w:type="dxa"/>
            <w:tcBorders>
              <w:right w:val="single" w:color="000000" w:sz="10" w:space="0"/>
            </w:tcBorders>
            <w:vAlign w:val="top"/>
          </w:tcPr>
          <w:p w14:paraId="73E128A9">
            <w:pPr>
              <w:rPr>
                <w:rFonts w:ascii="Arial"/>
                <w:sz w:val="21"/>
              </w:rPr>
            </w:pPr>
          </w:p>
        </w:tc>
      </w:tr>
      <w:tr w14:paraId="26AE1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377253E0">
            <w:pPr>
              <w:spacing w:before="98" w:line="216" w:lineRule="auto"/>
              <w:ind w:left="965"/>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防洪排导工程</w:t>
            </w:r>
          </w:p>
        </w:tc>
        <w:tc>
          <w:tcPr>
            <w:tcW w:w="1247" w:type="dxa"/>
            <w:vAlign w:val="top"/>
          </w:tcPr>
          <w:p w14:paraId="0E60AEA9">
            <w:pPr>
              <w:spacing w:before="129"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c>
          <w:tcPr>
            <w:tcW w:w="1697" w:type="dxa"/>
            <w:vAlign w:val="top"/>
          </w:tcPr>
          <w:p w14:paraId="667E7A2D">
            <w:pPr>
              <w:spacing w:before="129" w:line="188" w:lineRule="auto"/>
              <w:ind w:left="6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3.49</w:t>
            </w:r>
          </w:p>
        </w:tc>
        <w:tc>
          <w:tcPr>
            <w:tcW w:w="1785" w:type="dxa"/>
            <w:vAlign w:val="top"/>
          </w:tcPr>
          <w:p w14:paraId="415CA5CE">
            <w:pPr>
              <w:rPr>
                <w:rFonts w:ascii="Arial"/>
                <w:sz w:val="21"/>
              </w:rPr>
            </w:pPr>
          </w:p>
        </w:tc>
        <w:tc>
          <w:tcPr>
            <w:tcW w:w="1229" w:type="dxa"/>
            <w:tcBorders>
              <w:right w:val="single" w:color="000000" w:sz="10" w:space="0"/>
            </w:tcBorders>
            <w:vAlign w:val="top"/>
          </w:tcPr>
          <w:p w14:paraId="2BB7A3D2">
            <w:pPr>
              <w:rPr>
                <w:rFonts w:ascii="Arial"/>
                <w:sz w:val="21"/>
              </w:rPr>
            </w:pPr>
          </w:p>
        </w:tc>
      </w:tr>
      <w:tr w14:paraId="38EAF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985" w:type="dxa"/>
            <w:tcBorders>
              <w:left w:val="single" w:color="000000" w:sz="10" w:space="0"/>
            </w:tcBorders>
            <w:vAlign w:val="top"/>
          </w:tcPr>
          <w:p w14:paraId="6DD80DB4">
            <w:pPr>
              <w:spacing w:before="93" w:line="214" w:lineRule="auto"/>
              <w:ind w:left="95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二、植物措施</w:t>
            </w:r>
          </w:p>
        </w:tc>
        <w:tc>
          <w:tcPr>
            <w:tcW w:w="1247" w:type="dxa"/>
            <w:vAlign w:val="top"/>
          </w:tcPr>
          <w:p w14:paraId="2A8DBAC0">
            <w:pPr>
              <w:spacing w:before="124"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697" w:type="dxa"/>
            <w:vAlign w:val="top"/>
          </w:tcPr>
          <w:p w14:paraId="0A09B874">
            <w:pPr>
              <w:spacing w:before="124"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785" w:type="dxa"/>
            <w:vAlign w:val="top"/>
          </w:tcPr>
          <w:p w14:paraId="2352655D">
            <w:pPr>
              <w:rPr>
                <w:rFonts w:ascii="Arial"/>
                <w:sz w:val="21"/>
              </w:rPr>
            </w:pPr>
          </w:p>
        </w:tc>
        <w:tc>
          <w:tcPr>
            <w:tcW w:w="1229" w:type="dxa"/>
            <w:tcBorders>
              <w:right w:val="single" w:color="000000" w:sz="10" w:space="0"/>
            </w:tcBorders>
            <w:vAlign w:val="top"/>
          </w:tcPr>
          <w:p w14:paraId="6B486064">
            <w:pPr>
              <w:rPr>
                <w:rFonts w:ascii="Arial"/>
                <w:sz w:val="21"/>
              </w:rPr>
            </w:pPr>
          </w:p>
        </w:tc>
      </w:tr>
      <w:tr w14:paraId="6628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63F0C96A">
            <w:pPr>
              <w:spacing w:before="100" w:line="216" w:lineRule="auto"/>
              <w:ind w:left="709"/>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一</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建构筑物工程区</w:t>
            </w:r>
          </w:p>
        </w:tc>
        <w:tc>
          <w:tcPr>
            <w:tcW w:w="1247" w:type="dxa"/>
            <w:vAlign w:val="top"/>
          </w:tcPr>
          <w:p w14:paraId="331E074C">
            <w:pPr>
              <w:spacing w:before="130"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3B34D4AC">
            <w:pPr>
              <w:rPr>
                <w:rFonts w:ascii="Arial"/>
                <w:sz w:val="21"/>
              </w:rPr>
            </w:pPr>
          </w:p>
        </w:tc>
        <w:tc>
          <w:tcPr>
            <w:tcW w:w="1785" w:type="dxa"/>
            <w:vAlign w:val="top"/>
          </w:tcPr>
          <w:p w14:paraId="4C06EEDD">
            <w:pPr>
              <w:rPr>
                <w:rFonts w:ascii="Arial"/>
                <w:sz w:val="21"/>
              </w:rPr>
            </w:pPr>
          </w:p>
        </w:tc>
        <w:tc>
          <w:tcPr>
            <w:tcW w:w="1229" w:type="dxa"/>
            <w:tcBorders>
              <w:right w:val="single" w:color="000000" w:sz="10" w:space="0"/>
            </w:tcBorders>
            <w:vAlign w:val="top"/>
          </w:tcPr>
          <w:p w14:paraId="03A80803">
            <w:pPr>
              <w:rPr>
                <w:rFonts w:ascii="Arial"/>
                <w:sz w:val="21"/>
              </w:rPr>
            </w:pPr>
          </w:p>
        </w:tc>
      </w:tr>
      <w:tr w14:paraId="73AA2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985" w:type="dxa"/>
            <w:tcBorders>
              <w:left w:val="single" w:color="000000" w:sz="10" w:space="0"/>
            </w:tcBorders>
            <w:vAlign w:val="top"/>
          </w:tcPr>
          <w:p w14:paraId="660E7503">
            <w:pPr>
              <w:spacing w:before="96" w:line="216" w:lineRule="auto"/>
              <w:ind w:left="7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（二）硬化工程区</w:t>
            </w:r>
          </w:p>
        </w:tc>
        <w:tc>
          <w:tcPr>
            <w:tcW w:w="1247" w:type="dxa"/>
            <w:vAlign w:val="top"/>
          </w:tcPr>
          <w:p w14:paraId="60F650BA">
            <w:pPr>
              <w:spacing w:before="127"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700E89DF">
            <w:pPr>
              <w:rPr>
                <w:rFonts w:ascii="Arial"/>
                <w:sz w:val="21"/>
              </w:rPr>
            </w:pPr>
          </w:p>
        </w:tc>
        <w:tc>
          <w:tcPr>
            <w:tcW w:w="1785" w:type="dxa"/>
            <w:vAlign w:val="top"/>
          </w:tcPr>
          <w:p w14:paraId="578C96B3">
            <w:pPr>
              <w:rPr>
                <w:rFonts w:ascii="Arial"/>
                <w:sz w:val="21"/>
              </w:rPr>
            </w:pPr>
          </w:p>
        </w:tc>
        <w:tc>
          <w:tcPr>
            <w:tcW w:w="1229" w:type="dxa"/>
            <w:tcBorders>
              <w:right w:val="single" w:color="000000" w:sz="10" w:space="0"/>
            </w:tcBorders>
            <w:vAlign w:val="top"/>
          </w:tcPr>
          <w:p w14:paraId="69EBF659">
            <w:pPr>
              <w:rPr>
                <w:rFonts w:ascii="Arial"/>
                <w:sz w:val="21"/>
              </w:rPr>
            </w:pPr>
          </w:p>
        </w:tc>
      </w:tr>
      <w:tr w14:paraId="57A8B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985" w:type="dxa"/>
            <w:tcBorders>
              <w:left w:val="single" w:color="000000" w:sz="10" w:space="0"/>
            </w:tcBorders>
            <w:vAlign w:val="top"/>
          </w:tcPr>
          <w:p w14:paraId="072E6923">
            <w:pPr>
              <w:spacing w:before="97" w:line="216" w:lineRule="auto"/>
              <w:ind w:left="7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（三）绿化工程区</w:t>
            </w:r>
          </w:p>
        </w:tc>
        <w:tc>
          <w:tcPr>
            <w:tcW w:w="1247" w:type="dxa"/>
            <w:vAlign w:val="top"/>
          </w:tcPr>
          <w:p w14:paraId="2B121AF8">
            <w:pPr>
              <w:spacing w:before="128"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697" w:type="dxa"/>
            <w:vAlign w:val="top"/>
          </w:tcPr>
          <w:p w14:paraId="347A70DB">
            <w:pPr>
              <w:spacing w:before="128"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785" w:type="dxa"/>
            <w:vAlign w:val="top"/>
          </w:tcPr>
          <w:p w14:paraId="6DA8B277">
            <w:pPr>
              <w:rPr>
                <w:rFonts w:ascii="Arial"/>
                <w:sz w:val="21"/>
              </w:rPr>
            </w:pPr>
          </w:p>
        </w:tc>
        <w:tc>
          <w:tcPr>
            <w:tcW w:w="1229" w:type="dxa"/>
            <w:tcBorders>
              <w:right w:val="single" w:color="000000" w:sz="10" w:space="0"/>
            </w:tcBorders>
            <w:vAlign w:val="top"/>
          </w:tcPr>
          <w:p w14:paraId="585CF8A7">
            <w:pPr>
              <w:rPr>
                <w:rFonts w:ascii="Arial"/>
                <w:sz w:val="21"/>
              </w:rPr>
            </w:pPr>
          </w:p>
        </w:tc>
      </w:tr>
      <w:tr w14:paraId="3BD6C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985" w:type="dxa"/>
            <w:tcBorders>
              <w:left w:val="single" w:color="000000" w:sz="10" w:space="0"/>
            </w:tcBorders>
            <w:vAlign w:val="top"/>
          </w:tcPr>
          <w:p w14:paraId="76B6A00D">
            <w:pPr>
              <w:spacing w:before="98" w:line="214" w:lineRule="auto"/>
              <w:ind w:left="67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植被恢复与建设工程</w:t>
            </w:r>
          </w:p>
        </w:tc>
        <w:tc>
          <w:tcPr>
            <w:tcW w:w="1247" w:type="dxa"/>
            <w:vAlign w:val="top"/>
          </w:tcPr>
          <w:p w14:paraId="50AA163C">
            <w:pPr>
              <w:spacing w:before="129"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697" w:type="dxa"/>
            <w:vAlign w:val="top"/>
          </w:tcPr>
          <w:p w14:paraId="2F7AD527">
            <w:pPr>
              <w:spacing w:before="129"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785" w:type="dxa"/>
            <w:vAlign w:val="top"/>
          </w:tcPr>
          <w:p w14:paraId="04256440">
            <w:pPr>
              <w:rPr>
                <w:rFonts w:ascii="Arial"/>
                <w:sz w:val="21"/>
              </w:rPr>
            </w:pPr>
          </w:p>
        </w:tc>
        <w:tc>
          <w:tcPr>
            <w:tcW w:w="1229" w:type="dxa"/>
            <w:tcBorders>
              <w:right w:val="single" w:color="000000" w:sz="10" w:space="0"/>
            </w:tcBorders>
            <w:vAlign w:val="top"/>
          </w:tcPr>
          <w:p w14:paraId="2C457FDE">
            <w:pPr>
              <w:rPr>
                <w:rFonts w:ascii="Arial"/>
                <w:sz w:val="21"/>
              </w:rPr>
            </w:pPr>
          </w:p>
        </w:tc>
      </w:tr>
      <w:tr w14:paraId="2ABFA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985" w:type="dxa"/>
            <w:tcBorders>
              <w:left w:val="single" w:color="000000" w:sz="10" w:space="0"/>
            </w:tcBorders>
            <w:vAlign w:val="top"/>
          </w:tcPr>
          <w:p w14:paraId="26C252F2">
            <w:pPr>
              <w:spacing w:before="99" w:line="214" w:lineRule="auto"/>
              <w:ind w:left="96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三、监测措施</w:t>
            </w:r>
          </w:p>
        </w:tc>
        <w:tc>
          <w:tcPr>
            <w:tcW w:w="1247" w:type="dxa"/>
            <w:vAlign w:val="top"/>
          </w:tcPr>
          <w:p w14:paraId="6B0B4EA6">
            <w:pPr>
              <w:spacing w:before="130"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38C36587">
            <w:pPr>
              <w:rPr>
                <w:rFonts w:ascii="Arial"/>
                <w:sz w:val="21"/>
              </w:rPr>
            </w:pPr>
          </w:p>
        </w:tc>
        <w:tc>
          <w:tcPr>
            <w:tcW w:w="1785" w:type="dxa"/>
            <w:vAlign w:val="top"/>
          </w:tcPr>
          <w:p w14:paraId="42AF1FB2">
            <w:pPr>
              <w:rPr>
                <w:rFonts w:ascii="Arial"/>
                <w:sz w:val="21"/>
              </w:rPr>
            </w:pPr>
          </w:p>
        </w:tc>
        <w:tc>
          <w:tcPr>
            <w:tcW w:w="1229" w:type="dxa"/>
            <w:tcBorders>
              <w:right w:val="single" w:color="000000" w:sz="10" w:space="0"/>
            </w:tcBorders>
            <w:vAlign w:val="top"/>
          </w:tcPr>
          <w:p w14:paraId="783C6007">
            <w:pPr>
              <w:rPr>
                <w:rFonts w:ascii="Arial"/>
                <w:sz w:val="21"/>
              </w:rPr>
            </w:pPr>
          </w:p>
        </w:tc>
      </w:tr>
      <w:tr w14:paraId="38773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499FFBF1">
            <w:pPr>
              <w:spacing w:before="104" w:line="216" w:lineRule="auto"/>
              <w:ind w:left="801"/>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一</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水土保持监测</w:t>
            </w:r>
          </w:p>
        </w:tc>
        <w:tc>
          <w:tcPr>
            <w:tcW w:w="1247" w:type="dxa"/>
            <w:vAlign w:val="top"/>
          </w:tcPr>
          <w:p w14:paraId="3E93ACEC">
            <w:pPr>
              <w:spacing w:before="135"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0A19A9EE">
            <w:pPr>
              <w:rPr>
                <w:rFonts w:ascii="Arial"/>
                <w:sz w:val="21"/>
              </w:rPr>
            </w:pPr>
          </w:p>
        </w:tc>
        <w:tc>
          <w:tcPr>
            <w:tcW w:w="1785" w:type="dxa"/>
            <w:vAlign w:val="top"/>
          </w:tcPr>
          <w:p w14:paraId="47945238">
            <w:pPr>
              <w:rPr>
                <w:rFonts w:ascii="Arial"/>
                <w:sz w:val="21"/>
              </w:rPr>
            </w:pPr>
          </w:p>
        </w:tc>
        <w:tc>
          <w:tcPr>
            <w:tcW w:w="1229" w:type="dxa"/>
            <w:tcBorders>
              <w:right w:val="single" w:color="000000" w:sz="10" w:space="0"/>
            </w:tcBorders>
            <w:vAlign w:val="top"/>
          </w:tcPr>
          <w:p w14:paraId="2C622129">
            <w:pPr>
              <w:rPr>
                <w:rFonts w:ascii="Arial"/>
                <w:sz w:val="21"/>
              </w:rPr>
            </w:pPr>
          </w:p>
        </w:tc>
      </w:tr>
      <w:tr w14:paraId="01D0F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456E04E7">
            <w:pPr>
              <w:spacing w:before="106" w:line="216" w:lineRule="auto"/>
              <w:ind w:left="709"/>
              <w:rPr>
                <w:rFonts w:ascii="FangSong_GB2312" w:hAnsi="FangSong_GB2312" w:eastAsia="FangSong_GB2312" w:cs="FangSong_GB2312"/>
                <w:sz w:val="18"/>
                <w:szCs w:val="18"/>
              </w:rPr>
            </w:pP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二</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弃渣场稳定监测</w:t>
            </w:r>
          </w:p>
        </w:tc>
        <w:tc>
          <w:tcPr>
            <w:tcW w:w="1247" w:type="dxa"/>
            <w:vAlign w:val="top"/>
          </w:tcPr>
          <w:p w14:paraId="34D57EB8">
            <w:pPr>
              <w:spacing w:before="136"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2D0A96C8">
            <w:pPr>
              <w:rPr>
                <w:rFonts w:ascii="Arial"/>
                <w:sz w:val="21"/>
              </w:rPr>
            </w:pPr>
          </w:p>
        </w:tc>
        <w:tc>
          <w:tcPr>
            <w:tcW w:w="1785" w:type="dxa"/>
            <w:vAlign w:val="top"/>
          </w:tcPr>
          <w:p w14:paraId="4B65AB01">
            <w:pPr>
              <w:rPr>
                <w:rFonts w:ascii="Arial"/>
                <w:sz w:val="21"/>
              </w:rPr>
            </w:pPr>
          </w:p>
        </w:tc>
        <w:tc>
          <w:tcPr>
            <w:tcW w:w="1229" w:type="dxa"/>
            <w:tcBorders>
              <w:right w:val="single" w:color="000000" w:sz="10" w:space="0"/>
            </w:tcBorders>
            <w:vAlign w:val="top"/>
          </w:tcPr>
          <w:p w14:paraId="58093D76">
            <w:pPr>
              <w:rPr>
                <w:rFonts w:ascii="Arial"/>
                <w:sz w:val="21"/>
              </w:rPr>
            </w:pPr>
          </w:p>
        </w:tc>
      </w:tr>
      <w:tr w14:paraId="51619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2985" w:type="dxa"/>
            <w:tcBorders>
              <w:left w:val="single" w:color="000000" w:sz="10" w:space="0"/>
            </w:tcBorders>
            <w:vAlign w:val="top"/>
          </w:tcPr>
          <w:p w14:paraId="630E5908">
            <w:pPr>
              <w:spacing w:before="103" w:line="216" w:lineRule="auto"/>
              <w:ind w:left="801"/>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三</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建设期观测费</w:t>
            </w:r>
          </w:p>
        </w:tc>
        <w:tc>
          <w:tcPr>
            <w:tcW w:w="1247" w:type="dxa"/>
            <w:vAlign w:val="top"/>
          </w:tcPr>
          <w:p w14:paraId="13F38BA5">
            <w:pPr>
              <w:spacing w:before="133"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15B29A13">
            <w:pPr>
              <w:rPr>
                <w:rFonts w:ascii="Arial"/>
                <w:sz w:val="21"/>
              </w:rPr>
            </w:pPr>
          </w:p>
        </w:tc>
        <w:tc>
          <w:tcPr>
            <w:tcW w:w="1785" w:type="dxa"/>
            <w:vAlign w:val="top"/>
          </w:tcPr>
          <w:p w14:paraId="35B937D5">
            <w:pPr>
              <w:rPr>
                <w:rFonts w:ascii="Arial"/>
                <w:sz w:val="21"/>
              </w:rPr>
            </w:pPr>
          </w:p>
        </w:tc>
        <w:tc>
          <w:tcPr>
            <w:tcW w:w="1229" w:type="dxa"/>
            <w:tcBorders>
              <w:right w:val="single" w:color="000000" w:sz="10" w:space="0"/>
            </w:tcBorders>
            <w:vAlign w:val="top"/>
          </w:tcPr>
          <w:p w14:paraId="0C8E2A88">
            <w:pPr>
              <w:rPr>
                <w:rFonts w:ascii="Arial"/>
                <w:sz w:val="21"/>
              </w:rPr>
            </w:pPr>
          </w:p>
        </w:tc>
      </w:tr>
      <w:tr w14:paraId="2A0E6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985" w:type="dxa"/>
            <w:tcBorders>
              <w:left w:val="single" w:color="000000" w:sz="10" w:space="0"/>
            </w:tcBorders>
            <w:vAlign w:val="top"/>
          </w:tcPr>
          <w:p w14:paraId="2251D614">
            <w:pPr>
              <w:spacing w:before="108" w:line="215" w:lineRule="auto"/>
              <w:ind w:left="79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四、施工临时工程</w:t>
            </w:r>
          </w:p>
        </w:tc>
        <w:tc>
          <w:tcPr>
            <w:tcW w:w="1247" w:type="dxa"/>
            <w:vAlign w:val="top"/>
          </w:tcPr>
          <w:p w14:paraId="44F2725C">
            <w:pPr>
              <w:spacing w:before="139"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697" w:type="dxa"/>
            <w:vAlign w:val="top"/>
          </w:tcPr>
          <w:p w14:paraId="33A33FAE">
            <w:pPr>
              <w:spacing w:before="139"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785" w:type="dxa"/>
            <w:vAlign w:val="top"/>
          </w:tcPr>
          <w:p w14:paraId="0501287E">
            <w:pPr>
              <w:rPr>
                <w:rFonts w:ascii="Arial"/>
                <w:sz w:val="21"/>
              </w:rPr>
            </w:pPr>
          </w:p>
        </w:tc>
        <w:tc>
          <w:tcPr>
            <w:tcW w:w="1229" w:type="dxa"/>
            <w:tcBorders>
              <w:right w:val="single" w:color="000000" w:sz="10" w:space="0"/>
            </w:tcBorders>
            <w:vAlign w:val="top"/>
          </w:tcPr>
          <w:p w14:paraId="60F95063">
            <w:pPr>
              <w:rPr>
                <w:rFonts w:ascii="Arial"/>
                <w:sz w:val="21"/>
              </w:rPr>
            </w:pPr>
          </w:p>
        </w:tc>
      </w:tr>
      <w:tr w14:paraId="52981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985" w:type="dxa"/>
            <w:tcBorders>
              <w:left w:val="single" w:color="000000" w:sz="10" w:space="0"/>
            </w:tcBorders>
            <w:vAlign w:val="top"/>
          </w:tcPr>
          <w:p w14:paraId="3EAA2F05">
            <w:pPr>
              <w:spacing w:before="108" w:line="216" w:lineRule="auto"/>
              <w:ind w:left="801"/>
              <w:rPr>
                <w:rFonts w:ascii="FangSong_GB2312" w:hAnsi="FangSong_GB2312" w:eastAsia="FangSong_GB2312" w:cs="FangSong_GB2312"/>
                <w:sz w:val="18"/>
                <w:szCs w:val="18"/>
              </w:rPr>
            </w:pP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一</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临时防护工程</w:t>
            </w:r>
          </w:p>
        </w:tc>
        <w:tc>
          <w:tcPr>
            <w:tcW w:w="1247" w:type="dxa"/>
            <w:vAlign w:val="top"/>
          </w:tcPr>
          <w:p w14:paraId="5E288B31">
            <w:pPr>
              <w:spacing w:before="136"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473B3ED4">
            <w:pPr>
              <w:rPr>
                <w:rFonts w:ascii="Arial"/>
                <w:sz w:val="21"/>
              </w:rPr>
            </w:pPr>
          </w:p>
        </w:tc>
        <w:tc>
          <w:tcPr>
            <w:tcW w:w="1785" w:type="dxa"/>
            <w:vAlign w:val="top"/>
          </w:tcPr>
          <w:p w14:paraId="1AE641D2">
            <w:pPr>
              <w:rPr>
                <w:rFonts w:ascii="Arial"/>
                <w:sz w:val="21"/>
              </w:rPr>
            </w:pPr>
          </w:p>
        </w:tc>
        <w:tc>
          <w:tcPr>
            <w:tcW w:w="1229" w:type="dxa"/>
            <w:tcBorders>
              <w:right w:val="single" w:color="000000" w:sz="10" w:space="0"/>
            </w:tcBorders>
            <w:vAlign w:val="top"/>
          </w:tcPr>
          <w:p w14:paraId="0A369B69">
            <w:pPr>
              <w:rPr>
                <w:rFonts w:ascii="Arial"/>
                <w:sz w:val="21"/>
              </w:rPr>
            </w:pPr>
          </w:p>
        </w:tc>
      </w:tr>
      <w:tr w14:paraId="66C7F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85" w:type="dxa"/>
            <w:tcBorders>
              <w:left w:val="single" w:color="000000" w:sz="10" w:space="0"/>
            </w:tcBorders>
            <w:vAlign w:val="top"/>
          </w:tcPr>
          <w:p w14:paraId="38368B70">
            <w:pPr>
              <w:spacing w:before="118" w:line="214" w:lineRule="auto"/>
              <w:ind w:left="85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建构筑物工程区</w:t>
            </w:r>
          </w:p>
        </w:tc>
        <w:tc>
          <w:tcPr>
            <w:tcW w:w="1247" w:type="dxa"/>
            <w:vAlign w:val="top"/>
          </w:tcPr>
          <w:p w14:paraId="29F98C77">
            <w:pPr>
              <w:spacing w:before="149"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26981751">
            <w:pPr>
              <w:rPr>
                <w:rFonts w:ascii="Arial"/>
                <w:sz w:val="21"/>
              </w:rPr>
            </w:pPr>
          </w:p>
        </w:tc>
        <w:tc>
          <w:tcPr>
            <w:tcW w:w="1785" w:type="dxa"/>
            <w:vAlign w:val="top"/>
          </w:tcPr>
          <w:p w14:paraId="4728680B">
            <w:pPr>
              <w:rPr>
                <w:rFonts w:ascii="Arial"/>
                <w:sz w:val="21"/>
              </w:rPr>
            </w:pPr>
          </w:p>
        </w:tc>
        <w:tc>
          <w:tcPr>
            <w:tcW w:w="1229" w:type="dxa"/>
            <w:tcBorders>
              <w:right w:val="single" w:color="000000" w:sz="10" w:space="0"/>
            </w:tcBorders>
            <w:vAlign w:val="top"/>
          </w:tcPr>
          <w:p w14:paraId="50879F02">
            <w:pPr>
              <w:rPr>
                <w:rFonts w:ascii="Arial"/>
                <w:sz w:val="21"/>
              </w:rPr>
            </w:pPr>
          </w:p>
        </w:tc>
      </w:tr>
      <w:tr w14:paraId="4D442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85" w:type="dxa"/>
            <w:tcBorders>
              <w:left w:val="single" w:color="000000" w:sz="10" w:space="0"/>
            </w:tcBorders>
            <w:vAlign w:val="top"/>
          </w:tcPr>
          <w:p w14:paraId="1B572073">
            <w:pPr>
              <w:spacing w:before="119" w:line="216" w:lineRule="auto"/>
              <w:ind w:left="103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硬化工程区</w:t>
            </w:r>
          </w:p>
        </w:tc>
        <w:tc>
          <w:tcPr>
            <w:tcW w:w="1247" w:type="dxa"/>
            <w:vAlign w:val="top"/>
          </w:tcPr>
          <w:p w14:paraId="2D880CAC">
            <w:pPr>
              <w:spacing w:before="150"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6350915C">
            <w:pPr>
              <w:rPr>
                <w:rFonts w:ascii="Arial"/>
                <w:sz w:val="21"/>
              </w:rPr>
            </w:pPr>
          </w:p>
        </w:tc>
        <w:tc>
          <w:tcPr>
            <w:tcW w:w="1785" w:type="dxa"/>
            <w:vAlign w:val="top"/>
          </w:tcPr>
          <w:p w14:paraId="0262829F">
            <w:pPr>
              <w:rPr>
                <w:rFonts w:ascii="Arial"/>
                <w:sz w:val="21"/>
              </w:rPr>
            </w:pPr>
          </w:p>
        </w:tc>
        <w:tc>
          <w:tcPr>
            <w:tcW w:w="1229" w:type="dxa"/>
            <w:tcBorders>
              <w:right w:val="single" w:color="000000" w:sz="10" w:space="0"/>
            </w:tcBorders>
            <w:vAlign w:val="top"/>
          </w:tcPr>
          <w:p w14:paraId="074E1BA0">
            <w:pPr>
              <w:rPr>
                <w:rFonts w:ascii="Arial"/>
                <w:sz w:val="21"/>
              </w:rPr>
            </w:pPr>
          </w:p>
        </w:tc>
      </w:tr>
      <w:tr w14:paraId="6DFE0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85" w:type="dxa"/>
            <w:tcBorders>
              <w:left w:val="single" w:color="000000" w:sz="10" w:space="0"/>
            </w:tcBorders>
            <w:vAlign w:val="top"/>
          </w:tcPr>
          <w:p w14:paraId="68FD48F6">
            <w:pPr>
              <w:spacing w:before="120" w:line="216" w:lineRule="auto"/>
              <w:ind w:left="104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绿化工程区</w:t>
            </w:r>
          </w:p>
        </w:tc>
        <w:tc>
          <w:tcPr>
            <w:tcW w:w="1247" w:type="dxa"/>
            <w:vAlign w:val="top"/>
          </w:tcPr>
          <w:p w14:paraId="31B15A72">
            <w:pPr>
              <w:spacing w:before="151"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7A878E9B">
            <w:pPr>
              <w:rPr>
                <w:rFonts w:ascii="Arial"/>
                <w:sz w:val="21"/>
              </w:rPr>
            </w:pPr>
          </w:p>
        </w:tc>
        <w:tc>
          <w:tcPr>
            <w:tcW w:w="1785" w:type="dxa"/>
            <w:vAlign w:val="top"/>
          </w:tcPr>
          <w:p w14:paraId="6E11D34F">
            <w:pPr>
              <w:rPr>
                <w:rFonts w:ascii="Arial"/>
                <w:sz w:val="21"/>
              </w:rPr>
            </w:pPr>
          </w:p>
        </w:tc>
        <w:tc>
          <w:tcPr>
            <w:tcW w:w="1229" w:type="dxa"/>
            <w:tcBorders>
              <w:right w:val="single" w:color="000000" w:sz="10" w:space="0"/>
            </w:tcBorders>
            <w:vAlign w:val="top"/>
          </w:tcPr>
          <w:p w14:paraId="031ADF1E">
            <w:pPr>
              <w:rPr>
                <w:rFonts w:ascii="Arial"/>
                <w:sz w:val="21"/>
              </w:rPr>
            </w:pPr>
          </w:p>
        </w:tc>
      </w:tr>
      <w:tr w14:paraId="0E80A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2985" w:type="dxa"/>
            <w:tcBorders>
              <w:left w:val="single" w:color="000000" w:sz="10" w:space="0"/>
            </w:tcBorders>
            <w:vAlign w:val="top"/>
          </w:tcPr>
          <w:p w14:paraId="0F5B2DA9">
            <w:pPr>
              <w:spacing w:before="124" w:line="215" w:lineRule="auto"/>
              <w:ind w:left="67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（二）其他临时工程</w:t>
            </w:r>
          </w:p>
        </w:tc>
        <w:tc>
          <w:tcPr>
            <w:tcW w:w="1247" w:type="dxa"/>
            <w:vAlign w:val="top"/>
          </w:tcPr>
          <w:p w14:paraId="6222D92D">
            <w:pPr>
              <w:spacing w:before="154"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697" w:type="dxa"/>
            <w:vAlign w:val="top"/>
          </w:tcPr>
          <w:p w14:paraId="1CDCCBC7">
            <w:pPr>
              <w:spacing w:before="154"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785" w:type="dxa"/>
            <w:vAlign w:val="top"/>
          </w:tcPr>
          <w:p w14:paraId="1751AC5D">
            <w:pPr>
              <w:rPr>
                <w:rFonts w:ascii="Arial"/>
                <w:sz w:val="21"/>
              </w:rPr>
            </w:pPr>
          </w:p>
        </w:tc>
        <w:tc>
          <w:tcPr>
            <w:tcW w:w="1229" w:type="dxa"/>
            <w:tcBorders>
              <w:right w:val="single" w:color="000000" w:sz="10" w:space="0"/>
            </w:tcBorders>
            <w:vAlign w:val="top"/>
          </w:tcPr>
          <w:p w14:paraId="07A0BCA7">
            <w:pPr>
              <w:rPr>
                <w:rFonts w:ascii="Arial"/>
                <w:sz w:val="21"/>
              </w:rPr>
            </w:pPr>
          </w:p>
        </w:tc>
      </w:tr>
      <w:tr w14:paraId="61A40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985" w:type="dxa"/>
            <w:tcBorders>
              <w:left w:val="single" w:color="000000" w:sz="10" w:space="0"/>
              <w:bottom w:val="single" w:color="000000" w:sz="10" w:space="0"/>
            </w:tcBorders>
            <w:vAlign w:val="top"/>
          </w:tcPr>
          <w:p w14:paraId="76B0F4B3">
            <w:pPr>
              <w:spacing w:before="124" w:line="214" w:lineRule="auto"/>
              <w:ind w:left="95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五、独立费用</w:t>
            </w:r>
          </w:p>
        </w:tc>
        <w:tc>
          <w:tcPr>
            <w:tcW w:w="1247" w:type="dxa"/>
            <w:tcBorders>
              <w:bottom w:val="single" w:color="000000" w:sz="10" w:space="0"/>
            </w:tcBorders>
            <w:vAlign w:val="top"/>
          </w:tcPr>
          <w:p w14:paraId="03B3129B">
            <w:pPr>
              <w:spacing w:before="155" w:line="188" w:lineRule="auto"/>
              <w:ind w:left="4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2.57</w:t>
            </w:r>
          </w:p>
        </w:tc>
        <w:tc>
          <w:tcPr>
            <w:tcW w:w="1697" w:type="dxa"/>
            <w:tcBorders>
              <w:bottom w:val="single" w:color="000000" w:sz="10" w:space="0"/>
            </w:tcBorders>
            <w:vAlign w:val="top"/>
          </w:tcPr>
          <w:p w14:paraId="34330C97">
            <w:pPr>
              <w:spacing w:before="155"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1.72</w:t>
            </w:r>
          </w:p>
        </w:tc>
        <w:tc>
          <w:tcPr>
            <w:tcW w:w="1785" w:type="dxa"/>
            <w:tcBorders>
              <w:bottom w:val="single" w:color="000000" w:sz="10" w:space="0"/>
            </w:tcBorders>
            <w:vAlign w:val="top"/>
          </w:tcPr>
          <w:p w14:paraId="5ADAF91B">
            <w:pPr>
              <w:rPr>
                <w:rFonts w:ascii="Arial"/>
                <w:sz w:val="21"/>
              </w:rPr>
            </w:pPr>
          </w:p>
        </w:tc>
        <w:tc>
          <w:tcPr>
            <w:tcW w:w="1229" w:type="dxa"/>
            <w:tcBorders>
              <w:bottom w:val="single" w:color="000000" w:sz="10" w:space="0"/>
              <w:right w:val="single" w:color="000000" w:sz="10" w:space="0"/>
            </w:tcBorders>
            <w:vAlign w:val="top"/>
          </w:tcPr>
          <w:p w14:paraId="4F1BF8AF">
            <w:pPr>
              <w:spacing w:before="155"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r>
    </w:tbl>
    <w:p w14:paraId="64F43995">
      <w:pPr>
        <w:pStyle w:val="2"/>
        <w:spacing w:line="249" w:lineRule="auto"/>
      </w:pPr>
    </w:p>
    <w:p w14:paraId="43F68A07">
      <w:pPr>
        <w:spacing w:before="65" w:line="229" w:lineRule="auto"/>
        <w:ind w:left="5472"/>
        <w:rPr>
          <w:rFonts w:ascii="FangSong_GB2312" w:hAnsi="FangSong_GB2312" w:eastAsia="FangSong_GB2312" w:cs="FangSong_GB2312"/>
          <w:sz w:val="20"/>
          <w:szCs w:val="20"/>
        </w:rPr>
      </w:pPr>
      <w:r>
        <w:pict>
          <v:shape id="_x0000_s1094" o:spid="_x0000_s1094" o:spt="202" type="#_x0000_t202" style="position:absolute;left:0pt;margin-left:221.25pt;margin-top:3pt;height:10.15pt;width:10.65pt;z-index:251768832;mso-width-relative:page;mso-height-relative:page;" filled="f" stroked="f" coordsize="21600,21600">
            <v:path/>
            <v:fill on="f" focussize="0,0"/>
            <v:stroke on="f"/>
            <v:imagedata o:title=""/>
            <o:lock v:ext="edit" aspectratio="f"/>
            <v:textbox inset="0mm,0mm,0mm,0mm">
              <w:txbxContent>
                <w:p w14:paraId="22DAA876">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txbxContent>
            </v:textbox>
          </v:shape>
        </w:pict>
      </w:r>
      <w:r>
        <w:rPr>
          <w:rFonts w:ascii="FangSong_GB2312" w:hAnsi="FangSong_GB2312" w:eastAsia="FangSong_GB2312" w:cs="FangSong_GB2312"/>
          <w:spacing w:val="8"/>
          <w:sz w:val="20"/>
          <w:szCs w:val="20"/>
        </w:rPr>
        <w:t>剑阁县绿森林业勘察设计有限公司</w:t>
      </w:r>
    </w:p>
    <w:p w14:paraId="42E18D17">
      <w:pPr>
        <w:spacing w:line="229" w:lineRule="auto"/>
        <w:rPr>
          <w:rFonts w:ascii="FangSong_GB2312" w:hAnsi="FangSong_GB2312" w:eastAsia="FangSong_GB2312" w:cs="FangSong_GB2312"/>
          <w:sz w:val="20"/>
          <w:szCs w:val="20"/>
        </w:rPr>
        <w:sectPr>
          <w:headerReference r:id="rId70" w:type="default"/>
          <w:pgSz w:w="11906" w:h="16839"/>
          <w:pgMar w:top="1159" w:right="1416" w:bottom="400" w:left="1426" w:header="831" w:footer="0" w:gutter="0"/>
          <w:cols w:space="720" w:num="1"/>
        </w:sectPr>
      </w:pPr>
    </w:p>
    <w:p w14:paraId="6937C71D">
      <w:pPr>
        <w:spacing w:line="167" w:lineRule="exact"/>
      </w:pPr>
    </w:p>
    <w:tbl>
      <w:tblPr>
        <w:tblStyle w:val="6"/>
        <w:tblW w:w="8943"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5"/>
        <w:gridCol w:w="1247"/>
        <w:gridCol w:w="1697"/>
        <w:gridCol w:w="1785"/>
        <w:gridCol w:w="1229"/>
      </w:tblGrid>
      <w:tr w14:paraId="74930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985" w:type="dxa"/>
            <w:tcBorders>
              <w:top w:val="single" w:color="000000" w:sz="10" w:space="0"/>
              <w:left w:val="single" w:color="000000" w:sz="10" w:space="0"/>
            </w:tcBorders>
            <w:vAlign w:val="top"/>
          </w:tcPr>
          <w:p w14:paraId="1051E54B">
            <w:pPr>
              <w:spacing w:before="105" w:line="214" w:lineRule="auto"/>
              <w:ind w:left="76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（一）建设管理费</w:t>
            </w:r>
          </w:p>
        </w:tc>
        <w:tc>
          <w:tcPr>
            <w:tcW w:w="1247" w:type="dxa"/>
            <w:tcBorders>
              <w:top w:val="single" w:color="000000" w:sz="10" w:space="0"/>
            </w:tcBorders>
            <w:vAlign w:val="top"/>
          </w:tcPr>
          <w:p w14:paraId="441A0522">
            <w:pPr>
              <w:spacing w:before="136"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0.07</w:t>
            </w:r>
          </w:p>
        </w:tc>
        <w:tc>
          <w:tcPr>
            <w:tcW w:w="1697" w:type="dxa"/>
            <w:tcBorders>
              <w:top w:val="single" w:color="000000" w:sz="10" w:space="0"/>
            </w:tcBorders>
            <w:vAlign w:val="top"/>
          </w:tcPr>
          <w:p w14:paraId="725AC218">
            <w:pPr>
              <w:spacing w:before="136" w:line="188" w:lineRule="auto"/>
              <w:ind w:left="6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w:t>
            </w:r>
          </w:p>
        </w:tc>
        <w:tc>
          <w:tcPr>
            <w:tcW w:w="1785" w:type="dxa"/>
            <w:tcBorders>
              <w:top w:val="single" w:color="000000" w:sz="10" w:space="0"/>
            </w:tcBorders>
            <w:vAlign w:val="top"/>
          </w:tcPr>
          <w:p w14:paraId="5BD4A798">
            <w:pPr>
              <w:rPr>
                <w:rFonts w:ascii="Arial"/>
                <w:sz w:val="21"/>
              </w:rPr>
            </w:pPr>
          </w:p>
        </w:tc>
        <w:tc>
          <w:tcPr>
            <w:tcW w:w="1229" w:type="dxa"/>
            <w:tcBorders>
              <w:top w:val="single" w:color="000000" w:sz="10" w:space="0"/>
              <w:right w:val="single" w:color="000000" w:sz="10" w:space="0"/>
            </w:tcBorders>
            <w:vAlign w:val="top"/>
          </w:tcPr>
          <w:p w14:paraId="15179DA0">
            <w:pPr>
              <w:spacing w:before="136"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r>
      <w:tr w14:paraId="13E44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2985" w:type="dxa"/>
            <w:tcBorders>
              <w:left w:val="single" w:color="000000" w:sz="10" w:space="0"/>
            </w:tcBorders>
            <w:vAlign w:val="top"/>
          </w:tcPr>
          <w:p w14:paraId="0C93F244">
            <w:pPr>
              <w:spacing w:before="103" w:line="214" w:lineRule="auto"/>
              <w:ind w:left="58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（二）科研勘测设计费</w:t>
            </w:r>
          </w:p>
        </w:tc>
        <w:tc>
          <w:tcPr>
            <w:tcW w:w="1247" w:type="dxa"/>
            <w:vAlign w:val="top"/>
          </w:tcPr>
          <w:p w14:paraId="3CD66CA0">
            <w:pPr>
              <w:spacing w:before="134" w:line="188" w:lineRule="auto"/>
              <w:ind w:left="4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2.50</w:t>
            </w:r>
          </w:p>
        </w:tc>
        <w:tc>
          <w:tcPr>
            <w:tcW w:w="1697" w:type="dxa"/>
            <w:vAlign w:val="top"/>
          </w:tcPr>
          <w:p w14:paraId="54591256">
            <w:pPr>
              <w:spacing w:before="134" w:line="188" w:lineRule="auto"/>
              <w:ind w:left="71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1.70</w:t>
            </w:r>
          </w:p>
        </w:tc>
        <w:tc>
          <w:tcPr>
            <w:tcW w:w="1785" w:type="dxa"/>
            <w:vAlign w:val="top"/>
          </w:tcPr>
          <w:p w14:paraId="379466C0">
            <w:pPr>
              <w:rPr>
                <w:rFonts w:ascii="Arial"/>
                <w:sz w:val="21"/>
              </w:rPr>
            </w:pPr>
          </w:p>
        </w:tc>
        <w:tc>
          <w:tcPr>
            <w:tcW w:w="1229" w:type="dxa"/>
            <w:tcBorders>
              <w:right w:val="single" w:color="000000" w:sz="10" w:space="0"/>
            </w:tcBorders>
            <w:vAlign w:val="top"/>
          </w:tcPr>
          <w:p w14:paraId="61871FBF">
            <w:pPr>
              <w:spacing w:before="134"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w:t>
            </w:r>
          </w:p>
        </w:tc>
      </w:tr>
      <w:tr w14:paraId="3C70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985" w:type="dxa"/>
            <w:tcBorders>
              <w:left w:val="single" w:color="000000" w:sz="10" w:space="0"/>
            </w:tcBorders>
            <w:vAlign w:val="top"/>
          </w:tcPr>
          <w:p w14:paraId="045107DC">
            <w:pPr>
              <w:spacing w:before="107" w:line="214" w:lineRule="auto"/>
              <w:ind w:left="58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（三）水土保持监理费</w:t>
            </w:r>
          </w:p>
        </w:tc>
        <w:tc>
          <w:tcPr>
            <w:tcW w:w="1247" w:type="dxa"/>
            <w:vAlign w:val="top"/>
          </w:tcPr>
          <w:p w14:paraId="0A3C330E">
            <w:pPr>
              <w:spacing w:before="138"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64F4D2F7">
            <w:pPr>
              <w:rPr>
                <w:rFonts w:ascii="Arial"/>
                <w:sz w:val="21"/>
              </w:rPr>
            </w:pPr>
          </w:p>
        </w:tc>
        <w:tc>
          <w:tcPr>
            <w:tcW w:w="1785" w:type="dxa"/>
            <w:vAlign w:val="top"/>
          </w:tcPr>
          <w:p w14:paraId="328DD93E">
            <w:pPr>
              <w:rPr>
                <w:rFonts w:ascii="Arial"/>
                <w:sz w:val="21"/>
              </w:rPr>
            </w:pPr>
          </w:p>
        </w:tc>
        <w:tc>
          <w:tcPr>
            <w:tcW w:w="1229" w:type="dxa"/>
            <w:tcBorders>
              <w:right w:val="single" w:color="000000" w:sz="10" w:space="0"/>
            </w:tcBorders>
            <w:vAlign w:val="top"/>
          </w:tcPr>
          <w:p w14:paraId="73831D59">
            <w:pPr>
              <w:rPr>
                <w:rFonts w:ascii="Arial"/>
                <w:sz w:val="21"/>
              </w:rPr>
            </w:pPr>
          </w:p>
        </w:tc>
      </w:tr>
      <w:tr w14:paraId="73165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2985" w:type="dxa"/>
            <w:tcBorders>
              <w:left w:val="single" w:color="000000" w:sz="10" w:space="0"/>
            </w:tcBorders>
            <w:vAlign w:val="top"/>
          </w:tcPr>
          <w:p w14:paraId="16EF7B21">
            <w:pPr>
              <w:spacing w:before="115" w:line="216" w:lineRule="auto"/>
              <w:ind w:left="87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一至五部分合计</w:t>
            </w:r>
          </w:p>
        </w:tc>
        <w:tc>
          <w:tcPr>
            <w:tcW w:w="1247" w:type="dxa"/>
            <w:vAlign w:val="top"/>
          </w:tcPr>
          <w:p w14:paraId="315752C2">
            <w:pPr>
              <w:spacing w:before="146"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6.23</w:t>
            </w:r>
          </w:p>
        </w:tc>
        <w:tc>
          <w:tcPr>
            <w:tcW w:w="1697" w:type="dxa"/>
            <w:vAlign w:val="top"/>
          </w:tcPr>
          <w:p w14:paraId="7245147C">
            <w:pPr>
              <w:spacing w:before="146" w:line="188" w:lineRule="auto"/>
              <w:ind w:left="6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5.38</w:t>
            </w:r>
          </w:p>
        </w:tc>
        <w:tc>
          <w:tcPr>
            <w:tcW w:w="1785" w:type="dxa"/>
            <w:vAlign w:val="top"/>
          </w:tcPr>
          <w:p w14:paraId="1E9A9A8F">
            <w:pPr>
              <w:spacing w:before="146" w:line="188" w:lineRule="auto"/>
              <w:ind w:left="85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229" w:type="dxa"/>
            <w:tcBorders>
              <w:right w:val="single" w:color="000000" w:sz="10" w:space="0"/>
            </w:tcBorders>
            <w:vAlign w:val="top"/>
          </w:tcPr>
          <w:p w14:paraId="056DD120">
            <w:pPr>
              <w:spacing w:before="146"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r>
      <w:tr w14:paraId="20B2E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985" w:type="dxa"/>
            <w:tcBorders>
              <w:left w:val="single" w:color="000000" w:sz="10" w:space="0"/>
            </w:tcBorders>
            <w:vAlign w:val="top"/>
          </w:tcPr>
          <w:p w14:paraId="1803DA14">
            <w:pPr>
              <w:spacing w:before="110" w:line="214" w:lineRule="auto"/>
              <w:ind w:left="122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预备费</w:t>
            </w:r>
          </w:p>
        </w:tc>
        <w:tc>
          <w:tcPr>
            <w:tcW w:w="1247" w:type="dxa"/>
            <w:vAlign w:val="top"/>
          </w:tcPr>
          <w:p w14:paraId="5A65CCC0">
            <w:pPr>
              <w:spacing w:before="141" w:line="188" w:lineRule="auto"/>
              <w:ind w:left="5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697" w:type="dxa"/>
            <w:vAlign w:val="top"/>
          </w:tcPr>
          <w:p w14:paraId="5A970802">
            <w:pPr>
              <w:rPr>
                <w:rFonts w:ascii="Arial"/>
                <w:sz w:val="21"/>
              </w:rPr>
            </w:pPr>
          </w:p>
        </w:tc>
        <w:tc>
          <w:tcPr>
            <w:tcW w:w="1785" w:type="dxa"/>
            <w:vAlign w:val="top"/>
          </w:tcPr>
          <w:p w14:paraId="452D7F4D">
            <w:pPr>
              <w:rPr>
                <w:rFonts w:ascii="Arial"/>
                <w:sz w:val="21"/>
              </w:rPr>
            </w:pPr>
          </w:p>
        </w:tc>
        <w:tc>
          <w:tcPr>
            <w:tcW w:w="1229" w:type="dxa"/>
            <w:tcBorders>
              <w:right w:val="single" w:color="000000" w:sz="10" w:space="0"/>
            </w:tcBorders>
            <w:vAlign w:val="top"/>
          </w:tcPr>
          <w:p w14:paraId="01E524C6">
            <w:pPr>
              <w:rPr>
                <w:rFonts w:ascii="Arial"/>
                <w:sz w:val="21"/>
              </w:rPr>
            </w:pPr>
          </w:p>
        </w:tc>
      </w:tr>
      <w:tr w14:paraId="36A77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2985" w:type="dxa"/>
            <w:tcBorders>
              <w:left w:val="single" w:color="000000" w:sz="10" w:space="0"/>
            </w:tcBorders>
            <w:vAlign w:val="top"/>
          </w:tcPr>
          <w:p w14:paraId="7C9FA1C1">
            <w:pPr>
              <w:spacing w:before="122" w:line="214" w:lineRule="auto"/>
              <w:ind w:left="86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水土保持补偿费</w:t>
            </w:r>
          </w:p>
        </w:tc>
        <w:tc>
          <w:tcPr>
            <w:tcW w:w="1247" w:type="dxa"/>
            <w:vAlign w:val="top"/>
          </w:tcPr>
          <w:p w14:paraId="22CC88BC">
            <w:pPr>
              <w:spacing w:before="153" w:line="188" w:lineRule="auto"/>
              <w:ind w:left="4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c>
          <w:tcPr>
            <w:tcW w:w="1697" w:type="dxa"/>
            <w:vAlign w:val="top"/>
          </w:tcPr>
          <w:p w14:paraId="2CDDE9FB">
            <w:pPr>
              <w:rPr>
                <w:rFonts w:ascii="Arial"/>
                <w:sz w:val="21"/>
              </w:rPr>
            </w:pPr>
          </w:p>
        </w:tc>
        <w:tc>
          <w:tcPr>
            <w:tcW w:w="1785" w:type="dxa"/>
            <w:vAlign w:val="top"/>
          </w:tcPr>
          <w:p w14:paraId="387DED0F">
            <w:pPr>
              <w:rPr>
                <w:rFonts w:ascii="Arial"/>
                <w:sz w:val="21"/>
              </w:rPr>
            </w:pPr>
          </w:p>
        </w:tc>
        <w:tc>
          <w:tcPr>
            <w:tcW w:w="1229" w:type="dxa"/>
            <w:tcBorders>
              <w:right w:val="single" w:color="000000" w:sz="10" w:space="0"/>
            </w:tcBorders>
            <w:vAlign w:val="top"/>
          </w:tcPr>
          <w:p w14:paraId="2A663B22">
            <w:pPr>
              <w:spacing w:before="153"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0.06</w:t>
            </w:r>
          </w:p>
        </w:tc>
      </w:tr>
      <w:tr w14:paraId="2D645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2985" w:type="dxa"/>
            <w:tcBorders>
              <w:left w:val="single" w:color="000000" w:sz="10" w:space="0"/>
              <w:bottom w:val="single" w:color="000000" w:sz="10" w:space="0"/>
            </w:tcBorders>
            <w:vAlign w:val="top"/>
          </w:tcPr>
          <w:p w14:paraId="03E20870">
            <w:pPr>
              <w:spacing w:before="119" w:line="214" w:lineRule="auto"/>
              <w:ind w:left="860"/>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水土保持总投资</w:t>
            </w:r>
          </w:p>
        </w:tc>
        <w:tc>
          <w:tcPr>
            <w:tcW w:w="1247" w:type="dxa"/>
            <w:tcBorders>
              <w:bottom w:val="single" w:color="000000" w:sz="10" w:space="0"/>
            </w:tcBorders>
            <w:vAlign w:val="top"/>
          </w:tcPr>
          <w:p w14:paraId="1479911B">
            <w:pPr>
              <w:spacing w:before="150" w:line="188" w:lineRule="auto"/>
              <w:ind w:left="46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6.29</w:t>
            </w:r>
          </w:p>
        </w:tc>
        <w:tc>
          <w:tcPr>
            <w:tcW w:w="1697" w:type="dxa"/>
            <w:tcBorders>
              <w:bottom w:val="single" w:color="000000" w:sz="10" w:space="0"/>
            </w:tcBorders>
            <w:vAlign w:val="top"/>
          </w:tcPr>
          <w:p w14:paraId="7FC6845B">
            <w:pPr>
              <w:spacing w:before="150" w:line="188" w:lineRule="auto"/>
              <w:ind w:left="69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5.38</w:t>
            </w:r>
          </w:p>
        </w:tc>
        <w:tc>
          <w:tcPr>
            <w:tcW w:w="1785" w:type="dxa"/>
            <w:tcBorders>
              <w:bottom w:val="single" w:color="000000" w:sz="10" w:space="0"/>
            </w:tcBorders>
            <w:vAlign w:val="top"/>
          </w:tcPr>
          <w:p w14:paraId="52FAEB77">
            <w:pPr>
              <w:spacing w:before="150" w:line="188" w:lineRule="auto"/>
              <w:ind w:left="85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229" w:type="dxa"/>
            <w:tcBorders>
              <w:bottom w:val="single" w:color="000000" w:sz="10" w:space="0"/>
              <w:right w:val="single" w:color="000000" w:sz="10" w:space="0"/>
            </w:tcBorders>
            <w:vAlign w:val="top"/>
          </w:tcPr>
          <w:p w14:paraId="1413C0E1">
            <w:pPr>
              <w:spacing w:before="150"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0.91</w:t>
            </w:r>
          </w:p>
        </w:tc>
      </w:tr>
    </w:tbl>
    <w:p w14:paraId="3CAEE397">
      <w:pPr>
        <w:spacing w:before="152" w:line="222" w:lineRule="auto"/>
        <w:ind w:left="3374"/>
        <w:rPr>
          <w:rFonts w:ascii="FangSong_GB2312" w:hAnsi="FangSong_GB2312" w:eastAsia="FangSong_GB2312" w:cs="FangSong_GB2312"/>
          <w:sz w:val="20"/>
          <w:szCs w:val="20"/>
        </w:rPr>
      </w:pPr>
      <w:r>
        <w:rPr>
          <w:rFonts w:ascii="FangSong_GB2312" w:hAnsi="FangSong_GB2312" w:eastAsia="FangSong_GB2312" w:cs="FangSong_GB2312"/>
          <w:b/>
          <w:bCs/>
          <w:spacing w:val="4"/>
          <w:sz w:val="20"/>
          <w:szCs w:val="20"/>
        </w:rPr>
        <w:t>表</w:t>
      </w:r>
      <w:r>
        <w:rPr>
          <w:rFonts w:ascii="FangSong_GB2312" w:hAnsi="FangSong_GB2312" w:eastAsia="FangSong_GB2312" w:cs="FangSong_GB2312"/>
          <w:spacing w:val="-26"/>
          <w:sz w:val="20"/>
          <w:szCs w:val="20"/>
        </w:rPr>
        <w:t xml:space="preserve"> </w:t>
      </w:r>
      <w:r>
        <w:rPr>
          <w:rFonts w:ascii="Times New Roman" w:hAnsi="Times New Roman" w:eastAsia="Times New Roman" w:cs="Times New Roman"/>
          <w:b/>
          <w:bCs/>
          <w:spacing w:val="4"/>
          <w:sz w:val="20"/>
          <w:szCs w:val="20"/>
        </w:rPr>
        <w:t xml:space="preserve">7.1-7    </w:t>
      </w:r>
      <w:r>
        <w:rPr>
          <w:rFonts w:ascii="FangSong_GB2312" w:hAnsi="FangSong_GB2312" w:eastAsia="FangSong_GB2312" w:cs="FangSong_GB2312"/>
          <w:b/>
          <w:bCs/>
          <w:spacing w:val="4"/>
          <w:sz w:val="20"/>
          <w:szCs w:val="20"/>
        </w:rPr>
        <w:t>工程单价汇总表</w:t>
      </w:r>
    </w:p>
    <w:tbl>
      <w:tblPr>
        <w:tblStyle w:val="6"/>
        <w:tblW w:w="909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9"/>
        <w:gridCol w:w="713"/>
        <w:gridCol w:w="777"/>
        <w:gridCol w:w="888"/>
        <w:gridCol w:w="709"/>
        <w:gridCol w:w="799"/>
        <w:gridCol w:w="709"/>
        <w:gridCol w:w="619"/>
        <w:gridCol w:w="709"/>
        <w:gridCol w:w="709"/>
        <w:gridCol w:w="799"/>
        <w:gridCol w:w="709"/>
        <w:gridCol w:w="544"/>
      </w:tblGrid>
      <w:tr w14:paraId="2C64C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09" w:type="dxa"/>
            <w:vMerge w:val="restart"/>
            <w:tcBorders>
              <w:top w:val="single" w:color="000000" w:sz="10" w:space="0"/>
              <w:left w:val="single" w:color="000000" w:sz="10" w:space="0"/>
              <w:bottom w:val="nil"/>
            </w:tcBorders>
            <w:textDirection w:val="tbRlV"/>
            <w:vAlign w:val="top"/>
          </w:tcPr>
          <w:p w14:paraId="164F6592">
            <w:pPr>
              <w:spacing w:before="116" w:line="206" w:lineRule="auto"/>
              <w:ind w:left="435"/>
              <w:rPr>
                <w:rFonts w:ascii="FangSong_GB2312" w:hAnsi="FangSong_GB2312" w:eastAsia="FangSong_GB2312" w:cs="FangSong_GB2312"/>
                <w:sz w:val="18"/>
                <w:szCs w:val="18"/>
              </w:rPr>
            </w:pPr>
            <w:r>
              <w:rPr>
                <w:rFonts w:ascii="FangSong_GB2312" w:hAnsi="FangSong_GB2312" w:eastAsia="FangSong_GB2312" w:cs="FangSong_GB2312"/>
                <w:spacing w:val="26"/>
                <w:sz w:val="18"/>
                <w:szCs w:val="18"/>
              </w:rPr>
              <w:t>序号</w:t>
            </w:r>
          </w:p>
        </w:tc>
        <w:tc>
          <w:tcPr>
            <w:tcW w:w="713" w:type="dxa"/>
            <w:vMerge w:val="restart"/>
            <w:tcBorders>
              <w:top w:val="single" w:color="000000" w:sz="10" w:space="0"/>
              <w:bottom w:val="nil"/>
            </w:tcBorders>
            <w:vAlign w:val="top"/>
          </w:tcPr>
          <w:p w14:paraId="6FDF9892">
            <w:pPr>
              <w:spacing w:line="375" w:lineRule="auto"/>
              <w:rPr>
                <w:rFonts w:ascii="Arial"/>
                <w:sz w:val="21"/>
              </w:rPr>
            </w:pPr>
          </w:p>
          <w:p w14:paraId="7AB4B01F">
            <w:pPr>
              <w:spacing w:before="59" w:line="239" w:lineRule="auto"/>
              <w:ind w:left="168" w:right="183" w:firstLine="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工程</w:t>
            </w:r>
            <w:r>
              <w:rPr>
                <w:rFonts w:ascii="FangSong_GB2312" w:hAnsi="FangSong_GB2312" w:eastAsia="FangSong_GB2312" w:cs="FangSong_GB2312"/>
                <w:spacing w:val="-3"/>
                <w:sz w:val="18"/>
                <w:szCs w:val="18"/>
              </w:rPr>
              <w:t>名称</w:t>
            </w:r>
          </w:p>
        </w:tc>
        <w:tc>
          <w:tcPr>
            <w:tcW w:w="777" w:type="dxa"/>
            <w:vMerge w:val="restart"/>
            <w:tcBorders>
              <w:top w:val="single" w:color="000000" w:sz="10" w:space="0"/>
              <w:bottom w:val="nil"/>
            </w:tcBorders>
            <w:vAlign w:val="top"/>
          </w:tcPr>
          <w:p w14:paraId="0CA2CA08">
            <w:pPr>
              <w:spacing w:line="244" w:lineRule="auto"/>
              <w:rPr>
                <w:rFonts w:ascii="Arial"/>
                <w:sz w:val="21"/>
              </w:rPr>
            </w:pPr>
          </w:p>
          <w:p w14:paraId="3A751A8B">
            <w:pPr>
              <w:spacing w:line="244" w:lineRule="auto"/>
              <w:rPr>
                <w:rFonts w:ascii="Arial"/>
                <w:sz w:val="21"/>
              </w:rPr>
            </w:pPr>
          </w:p>
          <w:p w14:paraId="51F2AD84">
            <w:pPr>
              <w:spacing w:before="59" w:line="214" w:lineRule="auto"/>
              <w:ind w:left="20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888" w:type="dxa"/>
            <w:vMerge w:val="restart"/>
            <w:tcBorders>
              <w:top w:val="single" w:color="000000" w:sz="10" w:space="0"/>
              <w:bottom w:val="nil"/>
            </w:tcBorders>
            <w:vAlign w:val="top"/>
          </w:tcPr>
          <w:p w14:paraId="761AB222">
            <w:pPr>
              <w:spacing w:line="244" w:lineRule="auto"/>
              <w:rPr>
                <w:rFonts w:ascii="Arial"/>
                <w:sz w:val="21"/>
              </w:rPr>
            </w:pPr>
          </w:p>
          <w:p w14:paraId="0F5B915B">
            <w:pPr>
              <w:spacing w:line="245" w:lineRule="auto"/>
              <w:rPr>
                <w:rFonts w:ascii="Arial"/>
                <w:sz w:val="21"/>
              </w:rPr>
            </w:pPr>
          </w:p>
          <w:p w14:paraId="2E85D279">
            <w:pPr>
              <w:spacing w:before="58" w:line="216" w:lineRule="auto"/>
              <w:ind w:left="26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单价</w:t>
            </w:r>
          </w:p>
        </w:tc>
        <w:tc>
          <w:tcPr>
            <w:tcW w:w="6306" w:type="dxa"/>
            <w:gridSpan w:val="9"/>
            <w:tcBorders>
              <w:top w:val="single" w:color="000000" w:sz="10" w:space="0"/>
              <w:right w:val="single" w:color="000000" w:sz="10" w:space="0"/>
            </w:tcBorders>
            <w:vAlign w:val="top"/>
          </w:tcPr>
          <w:p w14:paraId="02483367">
            <w:pPr>
              <w:spacing w:before="80" w:line="214" w:lineRule="auto"/>
              <w:ind w:left="2795"/>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其</w:t>
            </w:r>
            <w:r>
              <w:rPr>
                <w:rFonts w:ascii="FangSong_GB2312" w:hAnsi="FangSong_GB2312" w:eastAsia="FangSong_GB2312" w:cs="FangSong_GB2312"/>
                <w:spacing w:val="7"/>
                <w:sz w:val="18"/>
                <w:szCs w:val="18"/>
              </w:rPr>
              <w:t xml:space="preserve">    </w:t>
            </w:r>
            <w:r>
              <w:rPr>
                <w:rFonts w:ascii="FangSong_GB2312" w:hAnsi="FangSong_GB2312" w:eastAsia="FangSong_GB2312" w:cs="FangSong_GB2312"/>
                <w:spacing w:val="-4"/>
                <w:sz w:val="18"/>
                <w:szCs w:val="18"/>
              </w:rPr>
              <w:t>中</w:t>
            </w:r>
          </w:p>
        </w:tc>
      </w:tr>
      <w:tr w14:paraId="63530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409" w:type="dxa"/>
            <w:vMerge w:val="continue"/>
            <w:tcBorders>
              <w:top w:val="nil"/>
              <w:left w:val="single" w:color="000000" w:sz="10" w:space="0"/>
            </w:tcBorders>
            <w:textDirection w:val="tbRlV"/>
            <w:vAlign w:val="top"/>
          </w:tcPr>
          <w:p w14:paraId="2C0FDE6D">
            <w:pPr>
              <w:rPr>
                <w:rFonts w:ascii="Arial"/>
                <w:sz w:val="21"/>
              </w:rPr>
            </w:pPr>
          </w:p>
        </w:tc>
        <w:tc>
          <w:tcPr>
            <w:tcW w:w="713" w:type="dxa"/>
            <w:vMerge w:val="continue"/>
            <w:tcBorders>
              <w:top w:val="nil"/>
            </w:tcBorders>
            <w:vAlign w:val="top"/>
          </w:tcPr>
          <w:p w14:paraId="5BFF0BA3">
            <w:pPr>
              <w:rPr>
                <w:rFonts w:ascii="Arial"/>
                <w:sz w:val="21"/>
              </w:rPr>
            </w:pPr>
          </w:p>
        </w:tc>
        <w:tc>
          <w:tcPr>
            <w:tcW w:w="777" w:type="dxa"/>
            <w:vMerge w:val="continue"/>
            <w:tcBorders>
              <w:top w:val="nil"/>
            </w:tcBorders>
            <w:vAlign w:val="top"/>
          </w:tcPr>
          <w:p w14:paraId="255EA2FA">
            <w:pPr>
              <w:rPr>
                <w:rFonts w:ascii="Arial"/>
                <w:sz w:val="21"/>
              </w:rPr>
            </w:pPr>
          </w:p>
        </w:tc>
        <w:tc>
          <w:tcPr>
            <w:tcW w:w="888" w:type="dxa"/>
            <w:vMerge w:val="continue"/>
            <w:tcBorders>
              <w:top w:val="nil"/>
            </w:tcBorders>
            <w:vAlign w:val="top"/>
          </w:tcPr>
          <w:p w14:paraId="0B10EC60">
            <w:pPr>
              <w:rPr>
                <w:rFonts w:ascii="Arial"/>
                <w:sz w:val="21"/>
              </w:rPr>
            </w:pPr>
          </w:p>
        </w:tc>
        <w:tc>
          <w:tcPr>
            <w:tcW w:w="709" w:type="dxa"/>
            <w:vAlign w:val="top"/>
          </w:tcPr>
          <w:p w14:paraId="7DF65064">
            <w:pPr>
              <w:spacing w:before="264" w:line="238" w:lineRule="auto"/>
              <w:ind w:left="276" w:right="176" w:hanging="10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人工</w:t>
            </w:r>
            <w:r>
              <w:rPr>
                <w:rFonts w:ascii="FangSong_GB2312" w:hAnsi="FangSong_GB2312" w:eastAsia="FangSong_GB2312" w:cs="FangSong_GB2312"/>
                <w:sz w:val="18"/>
                <w:szCs w:val="18"/>
              </w:rPr>
              <w:t>费</w:t>
            </w:r>
          </w:p>
        </w:tc>
        <w:tc>
          <w:tcPr>
            <w:tcW w:w="799" w:type="dxa"/>
            <w:vAlign w:val="top"/>
          </w:tcPr>
          <w:p w14:paraId="05591D94">
            <w:pPr>
              <w:spacing w:line="318" w:lineRule="auto"/>
              <w:rPr>
                <w:rFonts w:ascii="Arial"/>
                <w:sz w:val="21"/>
              </w:rPr>
            </w:pPr>
          </w:p>
          <w:p w14:paraId="0E4FC7C6">
            <w:pPr>
              <w:spacing w:before="58" w:line="214" w:lineRule="auto"/>
              <w:ind w:left="13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材料费</w:t>
            </w:r>
          </w:p>
        </w:tc>
        <w:tc>
          <w:tcPr>
            <w:tcW w:w="709" w:type="dxa"/>
            <w:vAlign w:val="top"/>
          </w:tcPr>
          <w:p w14:paraId="15259161">
            <w:pPr>
              <w:spacing w:before="146" w:line="214" w:lineRule="auto"/>
              <w:ind w:left="17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机械</w:t>
            </w:r>
          </w:p>
          <w:p w14:paraId="0C5F2621">
            <w:pPr>
              <w:spacing w:before="24" w:line="238" w:lineRule="auto"/>
              <w:ind w:left="281" w:right="172" w:hanging="10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使用</w:t>
            </w:r>
            <w:r>
              <w:rPr>
                <w:rFonts w:ascii="FangSong_GB2312" w:hAnsi="FangSong_GB2312" w:eastAsia="FangSong_GB2312" w:cs="FangSong_GB2312"/>
                <w:sz w:val="18"/>
                <w:szCs w:val="18"/>
              </w:rPr>
              <w:t>费</w:t>
            </w:r>
          </w:p>
        </w:tc>
        <w:tc>
          <w:tcPr>
            <w:tcW w:w="619" w:type="dxa"/>
            <w:vAlign w:val="top"/>
          </w:tcPr>
          <w:p w14:paraId="24AE9CDD">
            <w:pPr>
              <w:spacing w:before="146" w:line="216" w:lineRule="auto"/>
              <w:ind w:left="13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其他</w:t>
            </w:r>
          </w:p>
          <w:p w14:paraId="57CCF2BD">
            <w:pPr>
              <w:spacing w:before="23" w:line="238" w:lineRule="auto"/>
              <w:ind w:left="236" w:right="124" w:hanging="93"/>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直接</w:t>
            </w:r>
            <w:r>
              <w:rPr>
                <w:rFonts w:ascii="FangSong_GB2312" w:hAnsi="FangSong_GB2312" w:eastAsia="FangSong_GB2312" w:cs="FangSong_GB2312"/>
                <w:sz w:val="18"/>
                <w:szCs w:val="18"/>
              </w:rPr>
              <w:t>费</w:t>
            </w:r>
          </w:p>
        </w:tc>
        <w:tc>
          <w:tcPr>
            <w:tcW w:w="709" w:type="dxa"/>
            <w:vAlign w:val="top"/>
          </w:tcPr>
          <w:p w14:paraId="659FDC92">
            <w:pPr>
              <w:spacing w:before="264" w:line="238" w:lineRule="auto"/>
              <w:ind w:left="284" w:right="168" w:hanging="83"/>
              <w:rPr>
                <w:rFonts w:ascii="FangSong_GB2312" w:hAnsi="FangSong_GB2312" w:eastAsia="FangSong_GB2312" w:cs="FangSong_GB2312"/>
                <w:sz w:val="18"/>
                <w:szCs w:val="18"/>
              </w:rPr>
            </w:pPr>
            <w:r>
              <w:rPr>
                <w:rFonts w:ascii="FangSong_GB2312" w:hAnsi="FangSong_GB2312" w:eastAsia="FangSong_GB2312" w:cs="FangSong_GB2312"/>
                <w:spacing w:val="-14"/>
                <w:sz w:val="18"/>
                <w:szCs w:val="18"/>
              </w:rPr>
              <w:t>间接</w:t>
            </w:r>
            <w:r>
              <w:rPr>
                <w:rFonts w:ascii="FangSong_GB2312" w:hAnsi="FangSong_GB2312" w:eastAsia="FangSong_GB2312" w:cs="FangSong_GB2312"/>
                <w:sz w:val="18"/>
                <w:szCs w:val="18"/>
              </w:rPr>
              <w:t>费</w:t>
            </w:r>
          </w:p>
        </w:tc>
        <w:tc>
          <w:tcPr>
            <w:tcW w:w="709" w:type="dxa"/>
            <w:vAlign w:val="top"/>
          </w:tcPr>
          <w:p w14:paraId="2BC81E8F">
            <w:pPr>
              <w:spacing w:line="318" w:lineRule="auto"/>
              <w:rPr>
                <w:rFonts w:ascii="Arial"/>
                <w:sz w:val="21"/>
              </w:rPr>
            </w:pPr>
          </w:p>
          <w:p w14:paraId="095554C7">
            <w:pPr>
              <w:spacing w:before="59" w:line="217" w:lineRule="auto"/>
              <w:ind w:left="18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利润</w:t>
            </w:r>
          </w:p>
        </w:tc>
        <w:tc>
          <w:tcPr>
            <w:tcW w:w="799" w:type="dxa"/>
            <w:vAlign w:val="top"/>
          </w:tcPr>
          <w:p w14:paraId="4E54B981">
            <w:pPr>
              <w:spacing w:before="263" w:line="245" w:lineRule="auto"/>
              <w:ind w:left="326" w:right="119" w:hanging="183"/>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材料补</w:t>
            </w:r>
            <w:r>
              <w:rPr>
                <w:rFonts w:ascii="FangSong_GB2312" w:hAnsi="FangSong_GB2312" w:eastAsia="FangSong_GB2312" w:cs="FangSong_GB2312"/>
                <w:sz w:val="18"/>
                <w:szCs w:val="18"/>
              </w:rPr>
              <w:t>差</w:t>
            </w:r>
          </w:p>
        </w:tc>
        <w:tc>
          <w:tcPr>
            <w:tcW w:w="709" w:type="dxa"/>
            <w:vAlign w:val="top"/>
          </w:tcPr>
          <w:p w14:paraId="0AD72704">
            <w:pPr>
              <w:spacing w:line="319" w:lineRule="auto"/>
              <w:rPr>
                <w:rFonts w:ascii="Arial"/>
                <w:sz w:val="21"/>
              </w:rPr>
            </w:pPr>
          </w:p>
          <w:p w14:paraId="4074D915">
            <w:pPr>
              <w:spacing w:before="58" w:line="219" w:lineRule="auto"/>
              <w:ind w:left="18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税金</w:t>
            </w:r>
          </w:p>
        </w:tc>
        <w:tc>
          <w:tcPr>
            <w:tcW w:w="544" w:type="dxa"/>
            <w:tcBorders>
              <w:right w:val="single" w:color="000000" w:sz="10" w:space="0"/>
            </w:tcBorders>
            <w:textDirection w:val="tbRlV"/>
            <w:vAlign w:val="top"/>
          </w:tcPr>
          <w:p w14:paraId="7C43EBF0">
            <w:pPr>
              <w:spacing w:before="164" w:line="199" w:lineRule="auto"/>
              <w:ind w:left="31"/>
              <w:rPr>
                <w:rFonts w:ascii="FangSong_GB2312" w:hAnsi="FangSong_GB2312" w:eastAsia="FangSong_GB2312" w:cs="FangSong_GB2312"/>
                <w:sz w:val="18"/>
                <w:szCs w:val="18"/>
              </w:rPr>
            </w:pPr>
            <w:r>
              <w:rPr>
                <w:rFonts w:ascii="FangSong_GB2312" w:hAnsi="FangSong_GB2312" w:eastAsia="FangSong_GB2312" w:cs="FangSong_GB2312"/>
                <w:spacing w:val="40"/>
                <w:sz w:val="18"/>
                <w:szCs w:val="18"/>
              </w:rPr>
              <w:t>扩大系数</w:t>
            </w:r>
          </w:p>
        </w:tc>
      </w:tr>
      <w:tr w14:paraId="2C386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09" w:type="dxa"/>
            <w:tcBorders>
              <w:left w:val="single" w:color="000000" w:sz="10" w:space="0"/>
            </w:tcBorders>
            <w:vAlign w:val="top"/>
          </w:tcPr>
          <w:p w14:paraId="7058AB1E">
            <w:pPr>
              <w:spacing w:before="183" w:line="188" w:lineRule="auto"/>
              <w:ind w:left="16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713" w:type="dxa"/>
            <w:vAlign w:val="top"/>
          </w:tcPr>
          <w:p w14:paraId="13E03857">
            <w:pPr>
              <w:spacing w:before="37" w:line="216" w:lineRule="auto"/>
              <w:ind w:left="16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表土</w:t>
            </w:r>
          </w:p>
          <w:p w14:paraId="22C8B657">
            <w:pPr>
              <w:spacing w:before="21" w:line="193" w:lineRule="auto"/>
              <w:ind w:left="175"/>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剥离</w:t>
            </w:r>
          </w:p>
        </w:tc>
        <w:tc>
          <w:tcPr>
            <w:tcW w:w="777" w:type="dxa"/>
            <w:vAlign w:val="top"/>
          </w:tcPr>
          <w:p w14:paraId="3F09EE12">
            <w:pPr>
              <w:spacing w:before="167" w:line="206" w:lineRule="auto"/>
              <w:ind w:left="163"/>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2</w:t>
            </w:r>
          </w:p>
        </w:tc>
        <w:tc>
          <w:tcPr>
            <w:tcW w:w="888" w:type="dxa"/>
            <w:vAlign w:val="top"/>
          </w:tcPr>
          <w:p w14:paraId="24E881D7">
            <w:pPr>
              <w:spacing w:before="183" w:line="188"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75.99</w:t>
            </w:r>
          </w:p>
        </w:tc>
        <w:tc>
          <w:tcPr>
            <w:tcW w:w="709" w:type="dxa"/>
            <w:vAlign w:val="top"/>
          </w:tcPr>
          <w:p w14:paraId="56D146FB">
            <w:pPr>
              <w:spacing w:before="183" w:line="188" w:lineRule="auto"/>
              <w:ind w:left="19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w:t>
            </w:r>
          </w:p>
        </w:tc>
        <w:tc>
          <w:tcPr>
            <w:tcW w:w="799" w:type="dxa"/>
            <w:vAlign w:val="top"/>
          </w:tcPr>
          <w:p w14:paraId="6C0D36F2">
            <w:pPr>
              <w:spacing w:before="183" w:line="188"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w:t>
            </w:r>
          </w:p>
        </w:tc>
        <w:tc>
          <w:tcPr>
            <w:tcW w:w="709" w:type="dxa"/>
            <w:vAlign w:val="top"/>
          </w:tcPr>
          <w:p w14:paraId="108376D9">
            <w:pPr>
              <w:spacing w:before="183"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32.05</w:t>
            </w:r>
          </w:p>
        </w:tc>
        <w:tc>
          <w:tcPr>
            <w:tcW w:w="619" w:type="dxa"/>
            <w:vAlign w:val="top"/>
          </w:tcPr>
          <w:p w14:paraId="579BFFA8">
            <w:pPr>
              <w:spacing w:before="183" w:line="188"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c>
          <w:tcPr>
            <w:tcW w:w="709" w:type="dxa"/>
            <w:vAlign w:val="top"/>
          </w:tcPr>
          <w:p w14:paraId="2F02155C">
            <w:pPr>
              <w:spacing w:before="183" w:line="188" w:lineRule="auto"/>
              <w:ind w:left="20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w:t>
            </w:r>
          </w:p>
        </w:tc>
        <w:tc>
          <w:tcPr>
            <w:tcW w:w="709" w:type="dxa"/>
            <w:vAlign w:val="top"/>
          </w:tcPr>
          <w:p w14:paraId="7D370187">
            <w:pPr>
              <w:spacing w:before="183" w:line="188" w:lineRule="auto"/>
              <w:ind w:left="20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w:t>
            </w:r>
          </w:p>
        </w:tc>
        <w:tc>
          <w:tcPr>
            <w:tcW w:w="799" w:type="dxa"/>
            <w:vAlign w:val="top"/>
          </w:tcPr>
          <w:p w14:paraId="2D1C3E85">
            <w:pPr>
              <w:spacing w:before="183"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20.75</w:t>
            </w:r>
          </w:p>
        </w:tc>
        <w:tc>
          <w:tcPr>
            <w:tcW w:w="709" w:type="dxa"/>
            <w:vAlign w:val="top"/>
          </w:tcPr>
          <w:p w14:paraId="0E9F5954">
            <w:pPr>
              <w:spacing w:before="183" w:line="188" w:lineRule="auto"/>
              <w:ind w:left="21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6.27</w:t>
            </w:r>
          </w:p>
        </w:tc>
        <w:tc>
          <w:tcPr>
            <w:tcW w:w="544" w:type="dxa"/>
            <w:tcBorders>
              <w:right w:val="single" w:color="000000" w:sz="10" w:space="0"/>
            </w:tcBorders>
            <w:vAlign w:val="top"/>
          </w:tcPr>
          <w:p w14:paraId="72EBDC8C">
            <w:pPr>
              <w:spacing w:before="183"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14:paraId="34E84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09" w:type="dxa"/>
            <w:tcBorders>
              <w:left w:val="single" w:color="000000" w:sz="10" w:space="0"/>
            </w:tcBorders>
            <w:vAlign w:val="top"/>
          </w:tcPr>
          <w:p w14:paraId="11B4B4BF">
            <w:pPr>
              <w:spacing w:before="185" w:line="188" w:lineRule="auto"/>
              <w:ind w:left="14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713" w:type="dxa"/>
            <w:vAlign w:val="top"/>
          </w:tcPr>
          <w:p w14:paraId="5C05C2D1">
            <w:pPr>
              <w:spacing w:before="42" w:line="216" w:lineRule="auto"/>
              <w:ind w:left="16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表土</w:t>
            </w:r>
          </w:p>
          <w:p w14:paraId="66B65E18">
            <w:pPr>
              <w:spacing w:before="21" w:line="188" w:lineRule="auto"/>
              <w:ind w:left="186"/>
              <w:rPr>
                <w:rFonts w:ascii="FangSong_GB2312" w:hAnsi="FangSong_GB2312" w:eastAsia="FangSong_GB2312" w:cs="FangSong_GB2312"/>
                <w:sz w:val="18"/>
                <w:szCs w:val="18"/>
              </w:rPr>
            </w:pPr>
            <w:r>
              <w:rPr>
                <w:rFonts w:ascii="FangSong_GB2312" w:hAnsi="FangSong_GB2312" w:eastAsia="FangSong_GB2312" w:cs="FangSong_GB2312"/>
                <w:spacing w:val="-12"/>
                <w:sz w:val="18"/>
                <w:szCs w:val="18"/>
              </w:rPr>
              <w:t>回覆</w:t>
            </w:r>
          </w:p>
        </w:tc>
        <w:tc>
          <w:tcPr>
            <w:tcW w:w="777" w:type="dxa"/>
            <w:vAlign w:val="top"/>
          </w:tcPr>
          <w:p w14:paraId="67DEDA7E">
            <w:pPr>
              <w:spacing w:before="55" w:line="219" w:lineRule="auto"/>
              <w:ind w:left="206" w:right="161" w:hanging="43"/>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3</w:t>
            </w:r>
            <w:r>
              <w:rPr>
                <w:rFonts w:ascii="FangSong_GB2312" w:hAnsi="FangSong_GB2312" w:eastAsia="FangSong_GB2312" w:cs="FangSong_GB2312"/>
                <w:spacing w:val="-5"/>
                <w:sz w:val="18"/>
                <w:szCs w:val="18"/>
              </w:rPr>
              <w:t>堆方</w:t>
            </w:r>
          </w:p>
        </w:tc>
        <w:tc>
          <w:tcPr>
            <w:tcW w:w="888" w:type="dxa"/>
            <w:vAlign w:val="top"/>
          </w:tcPr>
          <w:p w14:paraId="60D57CB6">
            <w:pPr>
              <w:spacing w:before="185"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332.21</w:t>
            </w:r>
          </w:p>
        </w:tc>
        <w:tc>
          <w:tcPr>
            <w:tcW w:w="709" w:type="dxa"/>
            <w:vAlign w:val="top"/>
          </w:tcPr>
          <w:p w14:paraId="038296AD">
            <w:pPr>
              <w:spacing w:before="185" w:line="188" w:lineRule="auto"/>
              <w:ind w:left="15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31.90</w:t>
            </w:r>
          </w:p>
        </w:tc>
        <w:tc>
          <w:tcPr>
            <w:tcW w:w="799" w:type="dxa"/>
            <w:vAlign w:val="top"/>
          </w:tcPr>
          <w:p w14:paraId="59C4CCF7">
            <w:pPr>
              <w:spacing w:before="185" w:line="188" w:lineRule="auto"/>
              <w:ind w:left="1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37.25</w:t>
            </w:r>
          </w:p>
        </w:tc>
        <w:tc>
          <w:tcPr>
            <w:tcW w:w="709" w:type="dxa"/>
            <w:vAlign w:val="top"/>
          </w:tcPr>
          <w:p w14:paraId="47B8A5B1">
            <w:pPr>
              <w:spacing w:before="185" w:line="188" w:lineRule="auto"/>
              <w:ind w:left="1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130.06</w:t>
            </w:r>
          </w:p>
        </w:tc>
        <w:tc>
          <w:tcPr>
            <w:tcW w:w="619" w:type="dxa"/>
            <w:vAlign w:val="top"/>
          </w:tcPr>
          <w:p w14:paraId="4A4DBF1F">
            <w:pPr>
              <w:spacing w:before="185"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3.98</w:t>
            </w:r>
          </w:p>
        </w:tc>
        <w:tc>
          <w:tcPr>
            <w:tcW w:w="709" w:type="dxa"/>
            <w:vAlign w:val="top"/>
          </w:tcPr>
          <w:p w14:paraId="51676E6C">
            <w:pPr>
              <w:spacing w:before="185" w:line="188" w:lineRule="auto"/>
              <w:ind w:left="17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10.16</w:t>
            </w:r>
          </w:p>
        </w:tc>
        <w:tc>
          <w:tcPr>
            <w:tcW w:w="709" w:type="dxa"/>
            <w:vAlign w:val="top"/>
          </w:tcPr>
          <w:p w14:paraId="465CE9F7">
            <w:pPr>
              <w:spacing w:before="185" w:line="188" w:lineRule="auto"/>
              <w:ind w:left="17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14.94</w:t>
            </w:r>
          </w:p>
        </w:tc>
        <w:tc>
          <w:tcPr>
            <w:tcW w:w="799" w:type="dxa"/>
            <w:vAlign w:val="top"/>
          </w:tcPr>
          <w:p w14:paraId="560A2EEB">
            <w:pPr>
              <w:spacing w:before="185"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76.49</w:t>
            </w:r>
          </w:p>
        </w:tc>
        <w:tc>
          <w:tcPr>
            <w:tcW w:w="709" w:type="dxa"/>
            <w:vAlign w:val="top"/>
          </w:tcPr>
          <w:p w14:paraId="368C728F">
            <w:pPr>
              <w:spacing w:before="185" w:line="188" w:lineRule="auto"/>
              <w:ind w:left="16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27.43</w:t>
            </w:r>
          </w:p>
        </w:tc>
        <w:tc>
          <w:tcPr>
            <w:tcW w:w="544" w:type="dxa"/>
            <w:tcBorders>
              <w:right w:val="single" w:color="000000" w:sz="10" w:space="0"/>
            </w:tcBorders>
            <w:vAlign w:val="top"/>
          </w:tcPr>
          <w:p w14:paraId="5ADE31CC">
            <w:pPr>
              <w:spacing w:before="185"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14:paraId="126F9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409" w:type="dxa"/>
            <w:tcBorders>
              <w:left w:val="single" w:color="000000" w:sz="10" w:space="0"/>
            </w:tcBorders>
            <w:vAlign w:val="top"/>
          </w:tcPr>
          <w:p w14:paraId="23BDF3AD">
            <w:pPr>
              <w:spacing w:before="19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13" w:type="dxa"/>
            <w:vAlign w:val="top"/>
          </w:tcPr>
          <w:p w14:paraId="3E9834BA">
            <w:pPr>
              <w:spacing w:before="44" w:line="216" w:lineRule="auto"/>
              <w:ind w:left="16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栽植</w:t>
            </w:r>
          </w:p>
          <w:p w14:paraId="445C7960">
            <w:pPr>
              <w:spacing w:before="22" w:line="186" w:lineRule="auto"/>
              <w:ind w:left="175"/>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灌木</w:t>
            </w:r>
          </w:p>
        </w:tc>
        <w:tc>
          <w:tcPr>
            <w:tcW w:w="777" w:type="dxa"/>
            <w:vAlign w:val="top"/>
          </w:tcPr>
          <w:p w14:paraId="481A9FBE">
            <w:pPr>
              <w:spacing w:before="161" w:line="214" w:lineRule="auto"/>
              <w:ind w:left="151"/>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FangSong_GB2312" w:hAnsi="FangSong_GB2312" w:eastAsia="FangSong_GB2312" w:cs="FangSong_GB2312"/>
                <w:spacing w:val="-6"/>
                <w:sz w:val="18"/>
                <w:szCs w:val="18"/>
              </w:rPr>
              <w:t>株</w:t>
            </w:r>
          </w:p>
        </w:tc>
        <w:tc>
          <w:tcPr>
            <w:tcW w:w="888" w:type="dxa"/>
            <w:vAlign w:val="top"/>
          </w:tcPr>
          <w:p w14:paraId="66B89DD1">
            <w:pPr>
              <w:spacing w:before="190" w:line="188" w:lineRule="auto"/>
              <w:ind w:left="15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3479.61</w:t>
            </w:r>
          </w:p>
        </w:tc>
        <w:tc>
          <w:tcPr>
            <w:tcW w:w="709" w:type="dxa"/>
            <w:vAlign w:val="top"/>
          </w:tcPr>
          <w:p w14:paraId="1E59B4B9">
            <w:pPr>
              <w:spacing w:before="190" w:line="188" w:lineRule="auto"/>
              <w:ind w:left="10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447.88</w:t>
            </w:r>
          </w:p>
        </w:tc>
        <w:tc>
          <w:tcPr>
            <w:tcW w:w="799" w:type="dxa"/>
            <w:vAlign w:val="top"/>
          </w:tcPr>
          <w:p w14:paraId="14EBAFD9">
            <w:pPr>
              <w:spacing w:before="190"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535.56</w:t>
            </w:r>
          </w:p>
        </w:tc>
        <w:tc>
          <w:tcPr>
            <w:tcW w:w="709" w:type="dxa"/>
            <w:vAlign w:val="top"/>
          </w:tcPr>
          <w:p w14:paraId="54AACDCD">
            <w:pPr>
              <w:rPr>
                <w:rFonts w:ascii="Arial"/>
                <w:sz w:val="21"/>
              </w:rPr>
            </w:pPr>
          </w:p>
        </w:tc>
        <w:tc>
          <w:tcPr>
            <w:tcW w:w="619" w:type="dxa"/>
            <w:vAlign w:val="top"/>
          </w:tcPr>
          <w:p w14:paraId="2DBFC205">
            <w:pPr>
              <w:spacing w:before="190"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9.83</w:t>
            </w:r>
          </w:p>
        </w:tc>
        <w:tc>
          <w:tcPr>
            <w:tcW w:w="709" w:type="dxa"/>
            <w:vAlign w:val="top"/>
          </w:tcPr>
          <w:p w14:paraId="4A462453">
            <w:pPr>
              <w:spacing w:before="190" w:line="188" w:lineRule="auto"/>
              <w:ind w:left="16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59.60</w:t>
            </w:r>
          </w:p>
        </w:tc>
        <w:tc>
          <w:tcPr>
            <w:tcW w:w="709" w:type="dxa"/>
            <w:vAlign w:val="top"/>
          </w:tcPr>
          <w:p w14:paraId="0DA9B26E">
            <w:pPr>
              <w:spacing w:before="190"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73.70</w:t>
            </w:r>
          </w:p>
        </w:tc>
        <w:tc>
          <w:tcPr>
            <w:tcW w:w="799" w:type="dxa"/>
            <w:vAlign w:val="top"/>
          </w:tcPr>
          <w:p w14:paraId="1CD1CD3E">
            <w:pPr>
              <w:spacing w:before="190" w:line="188"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2065.73</w:t>
            </w:r>
          </w:p>
        </w:tc>
        <w:tc>
          <w:tcPr>
            <w:tcW w:w="709" w:type="dxa"/>
            <w:vAlign w:val="top"/>
          </w:tcPr>
          <w:p w14:paraId="4FF048E0">
            <w:pPr>
              <w:spacing w:before="190" w:line="188" w:lineRule="auto"/>
              <w:ind w:left="11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287.31</w:t>
            </w:r>
          </w:p>
        </w:tc>
        <w:tc>
          <w:tcPr>
            <w:tcW w:w="544" w:type="dxa"/>
            <w:tcBorders>
              <w:right w:val="single" w:color="000000" w:sz="10" w:space="0"/>
            </w:tcBorders>
            <w:vAlign w:val="top"/>
          </w:tcPr>
          <w:p w14:paraId="43BA2D3F">
            <w:pPr>
              <w:spacing w:before="190"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r w14:paraId="26C95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409" w:type="dxa"/>
            <w:tcBorders>
              <w:left w:val="single" w:color="000000" w:sz="10" w:space="0"/>
              <w:bottom w:val="single" w:color="000000" w:sz="10" w:space="0"/>
            </w:tcBorders>
            <w:vAlign w:val="top"/>
          </w:tcPr>
          <w:p w14:paraId="3244E4DB">
            <w:pPr>
              <w:spacing w:before="194" w:line="188" w:lineRule="auto"/>
              <w:ind w:left="14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713" w:type="dxa"/>
            <w:tcBorders>
              <w:bottom w:val="single" w:color="000000" w:sz="10" w:space="0"/>
            </w:tcBorders>
            <w:vAlign w:val="top"/>
          </w:tcPr>
          <w:p w14:paraId="02B38A6B">
            <w:pPr>
              <w:spacing w:before="48" w:line="216" w:lineRule="auto"/>
              <w:ind w:left="17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撒播</w:t>
            </w:r>
          </w:p>
          <w:p w14:paraId="3A8B5F43">
            <w:pPr>
              <w:spacing w:before="19" w:line="208" w:lineRule="auto"/>
              <w:ind w:left="175"/>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草籽</w:t>
            </w:r>
          </w:p>
        </w:tc>
        <w:tc>
          <w:tcPr>
            <w:tcW w:w="777" w:type="dxa"/>
            <w:tcBorders>
              <w:bottom w:val="single" w:color="000000" w:sz="10" w:space="0"/>
            </w:tcBorders>
            <w:vAlign w:val="top"/>
          </w:tcPr>
          <w:p w14:paraId="7A47BB87">
            <w:pPr>
              <w:spacing w:before="179" w:line="206" w:lineRule="auto"/>
              <w:ind w:left="209"/>
              <w:rPr>
                <w:rFonts w:ascii="Times New Roman" w:hAnsi="Times New Roman" w:eastAsia="Times New Roman" w:cs="Times New Roman"/>
                <w:sz w:val="11"/>
                <w:szCs w:val="11"/>
              </w:rPr>
            </w:pPr>
            <w:r>
              <w:rPr>
                <w:rFonts w:ascii="Times New Roman" w:hAnsi="Times New Roman" w:eastAsia="Times New Roman" w:cs="Times New Roman"/>
                <w:spacing w:val="-8"/>
                <w:sz w:val="18"/>
                <w:szCs w:val="18"/>
              </w:rPr>
              <w:t>1hm</w:t>
            </w:r>
            <w:r>
              <w:rPr>
                <w:rFonts w:ascii="Times New Roman" w:hAnsi="Times New Roman" w:eastAsia="Times New Roman" w:cs="Times New Roman"/>
                <w:spacing w:val="3"/>
                <w:position w:val="5"/>
                <w:sz w:val="11"/>
                <w:szCs w:val="11"/>
              </w:rPr>
              <w:t>2</w:t>
            </w:r>
          </w:p>
        </w:tc>
        <w:tc>
          <w:tcPr>
            <w:tcW w:w="888" w:type="dxa"/>
            <w:tcBorders>
              <w:bottom w:val="single" w:color="000000" w:sz="10" w:space="0"/>
            </w:tcBorders>
            <w:vAlign w:val="top"/>
          </w:tcPr>
          <w:p w14:paraId="705EF5F9">
            <w:pPr>
              <w:spacing w:before="194"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10700.89</w:t>
            </w:r>
          </w:p>
        </w:tc>
        <w:tc>
          <w:tcPr>
            <w:tcW w:w="709" w:type="dxa"/>
            <w:tcBorders>
              <w:bottom w:val="single" w:color="000000" w:sz="10" w:space="0"/>
            </w:tcBorders>
            <w:vAlign w:val="top"/>
          </w:tcPr>
          <w:p w14:paraId="6CBF033B">
            <w:pPr>
              <w:spacing w:before="194"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88.68</w:t>
            </w:r>
          </w:p>
        </w:tc>
        <w:tc>
          <w:tcPr>
            <w:tcW w:w="799" w:type="dxa"/>
            <w:tcBorders>
              <w:bottom w:val="single" w:color="000000" w:sz="10" w:space="0"/>
            </w:tcBorders>
            <w:vAlign w:val="top"/>
          </w:tcPr>
          <w:p w14:paraId="130A2468">
            <w:pPr>
              <w:spacing w:before="194" w:line="188" w:lineRule="auto"/>
              <w:ind w:left="11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6180.00</w:t>
            </w:r>
          </w:p>
        </w:tc>
        <w:tc>
          <w:tcPr>
            <w:tcW w:w="709" w:type="dxa"/>
            <w:tcBorders>
              <w:bottom w:val="single" w:color="000000" w:sz="10" w:space="0"/>
            </w:tcBorders>
            <w:vAlign w:val="top"/>
          </w:tcPr>
          <w:p w14:paraId="7E241B39">
            <w:pPr>
              <w:rPr>
                <w:rFonts w:ascii="Arial"/>
                <w:sz w:val="21"/>
              </w:rPr>
            </w:pPr>
          </w:p>
        </w:tc>
        <w:tc>
          <w:tcPr>
            <w:tcW w:w="619" w:type="dxa"/>
            <w:tcBorders>
              <w:bottom w:val="single" w:color="000000" w:sz="10" w:space="0"/>
            </w:tcBorders>
            <w:vAlign w:val="top"/>
          </w:tcPr>
          <w:p w14:paraId="2EF5FB51">
            <w:pPr>
              <w:spacing w:before="194" w:line="188" w:lineRule="auto"/>
              <w:ind w:left="1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62.69</w:t>
            </w:r>
          </w:p>
        </w:tc>
        <w:tc>
          <w:tcPr>
            <w:tcW w:w="709" w:type="dxa"/>
            <w:tcBorders>
              <w:bottom w:val="single" w:color="000000" w:sz="10" w:space="0"/>
            </w:tcBorders>
            <w:vAlign w:val="top"/>
          </w:tcPr>
          <w:p w14:paraId="3820384C">
            <w:pPr>
              <w:spacing w:before="194"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379.88</w:t>
            </w:r>
          </w:p>
        </w:tc>
        <w:tc>
          <w:tcPr>
            <w:tcW w:w="709" w:type="dxa"/>
            <w:tcBorders>
              <w:bottom w:val="single" w:color="000000" w:sz="10" w:space="0"/>
            </w:tcBorders>
            <w:vAlign w:val="top"/>
          </w:tcPr>
          <w:p w14:paraId="2D166709">
            <w:pPr>
              <w:spacing w:before="194" w:line="188" w:lineRule="auto"/>
              <w:ind w:left="11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469.79</w:t>
            </w:r>
          </w:p>
        </w:tc>
        <w:tc>
          <w:tcPr>
            <w:tcW w:w="799" w:type="dxa"/>
            <w:tcBorders>
              <w:bottom w:val="single" w:color="000000" w:sz="10" w:space="0"/>
            </w:tcBorders>
            <w:vAlign w:val="top"/>
          </w:tcPr>
          <w:p w14:paraId="65DD7E78">
            <w:pPr>
              <w:spacing w:before="194" w:line="188" w:lineRule="auto"/>
              <w:ind w:left="116"/>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2639.29</w:t>
            </w:r>
          </w:p>
        </w:tc>
        <w:tc>
          <w:tcPr>
            <w:tcW w:w="709" w:type="dxa"/>
            <w:tcBorders>
              <w:bottom w:val="single" w:color="000000" w:sz="10" w:space="0"/>
            </w:tcBorders>
            <w:vAlign w:val="top"/>
          </w:tcPr>
          <w:p w14:paraId="6A213577">
            <w:pPr>
              <w:spacing w:before="194" w:line="188" w:lineRule="auto"/>
              <w:ind w:left="12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883.36</w:t>
            </w:r>
          </w:p>
        </w:tc>
        <w:tc>
          <w:tcPr>
            <w:tcW w:w="544" w:type="dxa"/>
            <w:tcBorders>
              <w:bottom w:val="single" w:color="000000" w:sz="10" w:space="0"/>
              <w:right w:val="single" w:color="000000" w:sz="10" w:space="0"/>
            </w:tcBorders>
            <w:vAlign w:val="top"/>
          </w:tcPr>
          <w:p w14:paraId="3884D08A">
            <w:pPr>
              <w:spacing w:before="194"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w:t>
            </w:r>
          </w:p>
        </w:tc>
      </w:tr>
    </w:tbl>
    <w:p w14:paraId="5B1E4960">
      <w:pPr>
        <w:spacing w:before="151" w:line="223" w:lineRule="auto"/>
        <w:ind w:left="3585"/>
        <w:rPr>
          <w:rFonts w:ascii="FangSong_GB2312" w:hAnsi="FangSong_GB2312" w:eastAsia="FangSong_GB2312" w:cs="FangSong_GB2312"/>
          <w:sz w:val="20"/>
          <w:szCs w:val="20"/>
        </w:rPr>
      </w:pPr>
      <w:r>
        <w:rPr>
          <w:rFonts w:ascii="FangSong_GB2312" w:hAnsi="FangSong_GB2312" w:eastAsia="FangSong_GB2312" w:cs="FangSong_GB2312"/>
          <w:b/>
          <w:bCs/>
          <w:spacing w:val="4"/>
          <w:sz w:val="20"/>
          <w:szCs w:val="20"/>
        </w:rPr>
        <w:t>表</w:t>
      </w:r>
      <w:r>
        <w:rPr>
          <w:rFonts w:ascii="FangSong_GB2312" w:hAnsi="FangSong_GB2312" w:eastAsia="FangSong_GB2312" w:cs="FangSong_GB2312"/>
          <w:spacing w:val="-36"/>
          <w:sz w:val="20"/>
          <w:szCs w:val="20"/>
        </w:rPr>
        <w:t xml:space="preserve"> </w:t>
      </w:r>
      <w:r>
        <w:rPr>
          <w:rFonts w:ascii="Times New Roman" w:hAnsi="Times New Roman" w:eastAsia="Times New Roman" w:cs="Times New Roman"/>
          <w:b/>
          <w:bCs/>
          <w:spacing w:val="4"/>
          <w:sz w:val="20"/>
          <w:szCs w:val="20"/>
        </w:rPr>
        <w:t xml:space="preserve">7.1-8    </w:t>
      </w:r>
      <w:r>
        <w:rPr>
          <w:rFonts w:ascii="FangSong_GB2312" w:hAnsi="FangSong_GB2312" w:eastAsia="FangSong_GB2312" w:cs="FangSong_GB2312"/>
          <w:b/>
          <w:bCs/>
          <w:spacing w:val="4"/>
          <w:sz w:val="20"/>
          <w:szCs w:val="20"/>
        </w:rPr>
        <w:t>单价分析表</w:t>
      </w:r>
    </w:p>
    <w:tbl>
      <w:tblPr>
        <w:tblStyle w:val="6"/>
        <w:tblW w:w="909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1162"/>
        <w:gridCol w:w="1162"/>
        <w:gridCol w:w="1162"/>
        <w:gridCol w:w="1254"/>
        <w:gridCol w:w="1590"/>
        <w:gridCol w:w="1616"/>
      </w:tblGrid>
      <w:tr w14:paraId="4C6E8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147" w:type="dxa"/>
            <w:tcBorders>
              <w:top w:val="single" w:color="000000" w:sz="10" w:space="0"/>
              <w:left w:val="single" w:color="000000" w:sz="10" w:space="0"/>
            </w:tcBorders>
            <w:vAlign w:val="top"/>
          </w:tcPr>
          <w:p w14:paraId="707C98FB">
            <w:pPr>
              <w:spacing w:before="96" w:line="216" w:lineRule="auto"/>
              <w:ind w:left="20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工程名称</w:t>
            </w:r>
          </w:p>
        </w:tc>
        <w:tc>
          <w:tcPr>
            <w:tcW w:w="4740" w:type="dxa"/>
            <w:gridSpan w:val="4"/>
            <w:tcBorders>
              <w:top w:val="single" w:color="000000" w:sz="10" w:space="0"/>
            </w:tcBorders>
            <w:vAlign w:val="top"/>
          </w:tcPr>
          <w:p w14:paraId="0F2DB047">
            <w:pPr>
              <w:spacing w:before="96" w:line="216" w:lineRule="auto"/>
              <w:ind w:left="20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表土剥离</w:t>
            </w:r>
          </w:p>
        </w:tc>
        <w:tc>
          <w:tcPr>
            <w:tcW w:w="1590" w:type="dxa"/>
            <w:tcBorders>
              <w:top w:val="single" w:color="000000" w:sz="10" w:space="0"/>
            </w:tcBorders>
            <w:vAlign w:val="top"/>
          </w:tcPr>
          <w:p w14:paraId="54E41BFD">
            <w:pPr>
              <w:spacing w:before="97" w:line="214" w:lineRule="auto"/>
              <w:ind w:left="45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单价编号</w:t>
            </w:r>
          </w:p>
        </w:tc>
        <w:tc>
          <w:tcPr>
            <w:tcW w:w="1616" w:type="dxa"/>
            <w:tcBorders>
              <w:top w:val="single" w:color="000000" w:sz="10" w:space="0"/>
              <w:right w:val="single" w:color="000000" w:sz="10" w:space="0"/>
            </w:tcBorders>
            <w:vAlign w:val="top"/>
          </w:tcPr>
          <w:p w14:paraId="7B234AC1">
            <w:pPr>
              <w:spacing w:before="127" w:line="188" w:lineRule="auto"/>
              <w:ind w:left="78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r>
      <w:tr w14:paraId="0A397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2C8A169A">
            <w:pPr>
              <w:spacing w:before="105" w:line="214" w:lineRule="auto"/>
              <w:ind w:left="20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定额编号</w:t>
            </w:r>
          </w:p>
        </w:tc>
        <w:tc>
          <w:tcPr>
            <w:tcW w:w="4740" w:type="dxa"/>
            <w:gridSpan w:val="4"/>
            <w:vAlign w:val="top"/>
          </w:tcPr>
          <w:p w14:paraId="5F3C7535">
            <w:pPr>
              <w:spacing w:before="136" w:line="188" w:lineRule="auto"/>
              <w:ind w:left="21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01163</w:t>
            </w:r>
          </w:p>
        </w:tc>
        <w:tc>
          <w:tcPr>
            <w:tcW w:w="1590" w:type="dxa"/>
            <w:vAlign w:val="top"/>
          </w:tcPr>
          <w:p w14:paraId="707E4B66">
            <w:pPr>
              <w:spacing w:before="105" w:line="214" w:lineRule="auto"/>
              <w:ind w:left="44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定额单位</w:t>
            </w:r>
          </w:p>
        </w:tc>
        <w:tc>
          <w:tcPr>
            <w:tcW w:w="1616" w:type="dxa"/>
            <w:tcBorders>
              <w:right w:val="single" w:color="000000" w:sz="10" w:space="0"/>
            </w:tcBorders>
            <w:vAlign w:val="top"/>
          </w:tcPr>
          <w:p w14:paraId="22E467D6">
            <w:pPr>
              <w:spacing w:before="120" w:line="206" w:lineRule="auto"/>
              <w:ind w:left="595"/>
              <w:rPr>
                <w:rFonts w:ascii="Times New Roman" w:hAnsi="Times New Roman" w:eastAsia="Times New Roman" w:cs="Times New Roman"/>
                <w:sz w:val="11"/>
                <w:szCs w:val="11"/>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2</w:t>
            </w:r>
          </w:p>
        </w:tc>
      </w:tr>
      <w:tr w14:paraId="7E33A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right w:val="nil"/>
            </w:tcBorders>
            <w:vAlign w:val="top"/>
          </w:tcPr>
          <w:p w14:paraId="1F7E0EBE">
            <w:pPr>
              <w:rPr>
                <w:rFonts w:ascii="Arial"/>
                <w:sz w:val="21"/>
              </w:rPr>
            </w:pPr>
          </w:p>
        </w:tc>
        <w:tc>
          <w:tcPr>
            <w:tcW w:w="4740" w:type="dxa"/>
            <w:gridSpan w:val="4"/>
            <w:tcBorders>
              <w:left w:val="nil"/>
              <w:right w:val="nil"/>
            </w:tcBorders>
            <w:vAlign w:val="top"/>
          </w:tcPr>
          <w:p w14:paraId="1391BF94">
            <w:pPr>
              <w:spacing w:before="105" w:line="216" w:lineRule="auto"/>
              <w:ind w:left="242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工作内容：表土层剥离。</w:t>
            </w:r>
          </w:p>
        </w:tc>
        <w:tc>
          <w:tcPr>
            <w:tcW w:w="1590" w:type="dxa"/>
            <w:tcBorders>
              <w:left w:val="nil"/>
              <w:right w:val="nil"/>
            </w:tcBorders>
            <w:vAlign w:val="top"/>
          </w:tcPr>
          <w:p w14:paraId="303BF84B">
            <w:pPr>
              <w:rPr>
                <w:rFonts w:ascii="Arial"/>
                <w:sz w:val="21"/>
              </w:rPr>
            </w:pPr>
          </w:p>
        </w:tc>
        <w:tc>
          <w:tcPr>
            <w:tcW w:w="1616" w:type="dxa"/>
            <w:tcBorders>
              <w:left w:val="nil"/>
              <w:right w:val="single" w:color="000000" w:sz="10" w:space="0"/>
            </w:tcBorders>
            <w:vAlign w:val="top"/>
          </w:tcPr>
          <w:p w14:paraId="240F04B8">
            <w:pPr>
              <w:rPr>
                <w:rFonts w:ascii="Arial"/>
                <w:sz w:val="21"/>
              </w:rPr>
            </w:pPr>
          </w:p>
        </w:tc>
      </w:tr>
      <w:tr w14:paraId="4EB7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378361F7">
            <w:pPr>
              <w:spacing w:before="107" w:line="216" w:lineRule="auto"/>
              <w:ind w:left="38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324" w:type="dxa"/>
            <w:gridSpan w:val="2"/>
            <w:vAlign w:val="top"/>
          </w:tcPr>
          <w:p w14:paraId="23313F92">
            <w:pPr>
              <w:spacing w:before="107" w:line="214" w:lineRule="auto"/>
              <w:ind w:left="7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名称及规格</w:t>
            </w:r>
          </w:p>
        </w:tc>
        <w:tc>
          <w:tcPr>
            <w:tcW w:w="1162" w:type="dxa"/>
            <w:vAlign w:val="top"/>
          </w:tcPr>
          <w:p w14:paraId="364D5D09">
            <w:pPr>
              <w:spacing w:before="107" w:line="214" w:lineRule="auto"/>
              <w:ind w:left="406"/>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254" w:type="dxa"/>
            <w:vAlign w:val="top"/>
          </w:tcPr>
          <w:p w14:paraId="51591D40">
            <w:pPr>
              <w:spacing w:before="108" w:line="217" w:lineRule="auto"/>
              <w:ind w:left="45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590" w:type="dxa"/>
            <w:vAlign w:val="top"/>
          </w:tcPr>
          <w:p w14:paraId="15FEEDB4">
            <w:pPr>
              <w:spacing w:before="107" w:line="216" w:lineRule="auto"/>
              <w:ind w:left="35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单价（元）</w:t>
            </w:r>
          </w:p>
        </w:tc>
        <w:tc>
          <w:tcPr>
            <w:tcW w:w="1616" w:type="dxa"/>
            <w:tcBorders>
              <w:right w:val="single" w:color="000000" w:sz="10" w:space="0"/>
            </w:tcBorders>
            <w:vAlign w:val="top"/>
          </w:tcPr>
          <w:p w14:paraId="5BAE8BB8">
            <w:pPr>
              <w:spacing w:before="107" w:line="216" w:lineRule="auto"/>
              <w:ind w:left="36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合计（元）</w:t>
            </w:r>
          </w:p>
        </w:tc>
      </w:tr>
      <w:tr w14:paraId="21A1F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7F54BD66">
            <w:pPr>
              <w:spacing w:before="184" w:line="130" w:lineRule="exact"/>
              <w:ind w:left="485"/>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324" w:type="dxa"/>
            <w:gridSpan w:val="2"/>
            <w:vAlign w:val="top"/>
          </w:tcPr>
          <w:p w14:paraId="554E5690">
            <w:pPr>
              <w:spacing w:before="107" w:line="214" w:lineRule="auto"/>
              <w:ind w:left="89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直接费</w:t>
            </w:r>
          </w:p>
        </w:tc>
        <w:tc>
          <w:tcPr>
            <w:tcW w:w="1162" w:type="dxa"/>
            <w:vAlign w:val="top"/>
          </w:tcPr>
          <w:p w14:paraId="5207922F">
            <w:pPr>
              <w:rPr>
                <w:rFonts w:ascii="Arial"/>
                <w:sz w:val="21"/>
              </w:rPr>
            </w:pPr>
          </w:p>
        </w:tc>
        <w:tc>
          <w:tcPr>
            <w:tcW w:w="1254" w:type="dxa"/>
            <w:vAlign w:val="top"/>
          </w:tcPr>
          <w:p w14:paraId="62B2F23E">
            <w:pPr>
              <w:rPr>
                <w:rFonts w:ascii="Arial"/>
                <w:sz w:val="21"/>
              </w:rPr>
            </w:pPr>
          </w:p>
        </w:tc>
        <w:tc>
          <w:tcPr>
            <w:tcW w:w="1590" w:type="dxa"/>
            <w:vAlign w:val="top"/>
          </w:tcPr>
          <w:p w14:paraId="14971C60">
            <w:pPr>
              <w:rPr>
                <w:rFonts w:ascii="Arial"/>
                <w:sz w:val="21"/>
              </w:rPr>
            </w:pPr>
          </w:p>
        </w:tc>
        <w:tc>
          <w:tcPr>
            <w:tcW w:w="1616" w:type="dxa"/>
            <w:tcBorders>
              <w:right w:val="single" w:color="000000" w:sz="10" w:space="0"/>
            </w:tcBorders>
            <w:vAlign w:val="top"/>
          </w:tcPr>
          <w:p w14:paraId="28C83901">
            <w:pPr>
              <w:spacing w:before="138" w:line="188" w:lineRule="auto"/>
              <w:ind w:left="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43.58</w:t>
            </w:r>
          </w:p>
        </w:tc>
      </w:tr>
      <w:tr w14:paraId="4D19F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720CF7AF">
            <w:pPr>
              <w:spacing w:before="109" w:line="227" w:lineRule="auto"/>
              <w:ind w:left="2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324" w:type="dxa"/>
            <w:gridSpan w:val="2"/>
            <w:vAlign w:val="top"/>
          </w:tcPr>
          <w:p w14:paraId="4324164C">
            <w:pPr>
              <w:spacing w:before="108" w:line="214" w:lineRule="auto"/>
              <w:ind w:left="7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基本直接费</w:t>
            </w:r>
          </w:p>
        </w:tc>
        <w:tc>
          <w:tcPr>
            <w:tcW w:w="1162" w:type="dxa"/>
            <w:vAlign w:val="top"/>
          </w:tcPr>
          <w:p w14:paraId="19327728">
            <w:pPr>
              <w:rPr>
                <w:rFonts w:ascii="Arial"/>
                <w:sz w:val="21"/>
              </w:rPr>
            </w:pPr>
          </w:p>
        </w:tc>
        <w:tc>
          <w:tcPr>
            <w:tcW w:w="1254" w:type="dxa"/>
            <w:vAlign w:val="top"/>
          </w:tcPr>
          <w:p w14:paraId="431CB074">
            <w:pPr>
              <w:rPr>
                <w:rFonts w:ascii="Arial"/>
                <w:sz w:val="21"/>
              </w:rPr>
            </w:pPr>
          </w:p>
        </w:tc>
        <w:tc>
          <w:tcPr>
            <w:tcW w:w="1590" w:type="dxa"/>
            <w:vAlign w:val="top"/>
          </w:tcPr>
          <w:p w14:paraId="7EEC803D">
            <w:pPr>
              <w:rPr>
                <w:rFonts w:ascii="Arial"/>
                <w:sz w:val="21"/>
              </w:rPr>
            </w:pPr>
          </w:p>
        </w:tc>
        <w:tc>
          <w:tcPr>
            <w:tcW w:w="1616" w:type="dxa"/>
            <w:tcBorders>
              <w:right w:val="single" w:color="000000" w:sz="10" w:space="0"/>
            </w:tcBorders>
            <w:vAlign w:val="top"/>
          </w:tcPr>
          <w:p w14:paraId="63966261">
            <w:pPr>
              <w:spacing w:before="139" w:line="188" w:lineRule="auto"/>
              <w:ind w:left="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42.73</w:t>
            </w:r>
          </w:p>
        </w:tc>
      </w:tr>
      <w:tr w14:paraId="5FB2B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37216D7B">
            <w:pPr>
              <w:spacing w:before="143" w:line="188" w:lineRule="auto"/>
              <w:ind w:left="53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324" w:type="dxa"/>
            <w:gridSpan w:val="2"/>
            <w:vAlign w:val="top"/>
          </w:tcPr>
          <w:p w14:paraId="6CADDF12">
            <w:pPr>
              <w:spacing w:before="112" w:line="214" w:lineRule="auto"/>
              <w:ind w:left="8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人工费</w:t>
            </w:r>
          </w:p>
        </w:tc>
        <w:tc>
          <w:tcPr>
            <w:tcW w:w="1162" w:type="dxa"/>
            <w:vAlign w:val="top"/>
          </w:tcPr>
          <w:p w14:paraId="068CE2DE">
            <w:pPr>
              <w:spacing w:before="112" w:line="215" w:lineRule="auto"/>
              <w:ind w:left="406"/>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工时</w:t>
            </w:r>
          </w:p>
        </w:tc>
        <w:tc>
          <w:tcPr>
            <w:tcW w:w="1254" w:type="dxa"/>
            <w:vAlign w:val="top"/>
          </w:tcPr>
          <w:p w14:paraId="6FB4A28B">
            <w:pPr>
              <w:spacing w:before="143" w:line="188" w:lineRule="auto"/>
              <w:ind w:left="4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0.70</w:t>
            </w:r>
          </w:p>
        </w:tc>
        <w:tc>
          <w:tcPr>
            <w:tcW w:w="1590" w:type="dxa"/>
            <w:vAlign w:val="top"/>
          </w:tcPr>
          <w:p w14:paraId="7877581C">
            <w:pPr>
              <w:spacing w:before="143" w:line="188" w:lineRule="auto"/>
              <w:ind w:left="6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6.38</w:t>
            </w:r>
          </w:p>
        </w:tc>
        <w:tc>
          <w:tcPr>
            <w:tcW w:w="1616" w:type="dxa"/>
            <w:tcBorders>
              <w:right w:val="single" w:color="000000" w:sz="10" w:space="0"/>
            </w:tcBorders>
            <w:vAlign w:val="top"/>
          </w:tcPr>
          <w:p w14:paraId="73F06E9D">
            <w:pPr>
              <w:spacing w:before="143" w:line="188" w:lineRule="auto"/>
              <w:ind w:left="6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w:t>
            </w:r>
          </w:p>
        </w:tc>
      </w:tr>
      <w:tr w14:paraId="6C871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3D125095">
            <w:pPr>
              <w:spacing w:before="143" w:line="188" w:lineRule="auto"/>
              <w:ind w:left="51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324" w:type="dxa"/>
            <w:gridSpan w:val="2"/>
            <w:vAlign w:val="top"/>
          </w:tcPr>
          <w:p w14:paraId="01FFDC51">
            <w:pPr>
              <w:spacing w:before="112" w:line="214" w:lineRule="auto"/>
              <w:ind w:left="89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材料费</w:t>
            </w:r>
          </w:p>
        </w:tc>
        <w:tc>
          <w:tcPr>
            <w:tcW w:w="1162" w:type="dxa"/>
            <w:vAlign w:val="top"/>
          </w:tcPr>
          <w:p w14:paraId="413F6952">
            <w:pPr>
              <w:rPr>
                <w:rFonts w:ascii="Arial"/>
                <w:sz w:val="21"/>
              </w:rPr>
            </w:pPr>
          </w:p>
        </w:tc>
        <w:tc>
          <w:tcPr>
            <w:tcW w:w="1254" w:type="dxa"/>
            <w:vAlign w:val="top"/>
          </w:tcPr>
          <w:p w14:paraId="209945B1">
            <w:pPr>
              <w:rPr>
                <w:rFonts w:ascii="Arial"/>
                <w:sz w:val="21"/>
              </w:rPr>
            </w:pPr>
          </w:p>
        </w:tc>
        <w:tc>
          <w:tcPr>
            <w:tcW w:w="1590" w:type="dxa"/>
            <w:vAlign w:val="top"/>
          </w:tcPr>
          <w:p w14:paraId="60CA89BB">
            <w:pPr>
              <w:rPr>
                <w:rFonts w:ascii="Arial"/>
                <w:sz w:val="21"/>
              </w:rPr>
            </w:pPr>
          </w:p>
        </w:tc>
        <w:tc>
          <w:tcPr>
            <w:tcW w:w="1616" w:type="dxa"/>
            <w:tcBorders>
              <w:right w:val="single" w:color="000000" w:sz="10" w:space="0"/>
            </w:tcBorders>
            <w:vAlign w:val="top"/>
          </w:tcPr>
          <w:p w14:paraId="370DB3C9">
            <w:pPr>
              <w:spacing w:before="143" w:line="188" w:lineRule="auto"/>
              <w:ind w:left="6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w:t>
            </w:r>
          </w:p>
        </w:tc>
      </w:tr>
      <w:tr w14:paraId="66AE2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46D7F5CA">
            <w:pPr>
              <w:rPr>
                <w:rFonts w:ascii="Arial"/>
                <w:sz w:val="21"/>
              </w:rPr>
            </w:pPr>
          </w:p>
        </w:tc>
        <w:tc>
          <w:tcPr>
            <w:tcW w:w="2324" w:type="dxa"/>
            <w:gridSpan w:val="2"/>
            <w:vAlign w:val="top"/>
          </w:tcPr>
          <w:p w14:paraId="71651EB3">
            <w:pPr>
              <w:spacing w:before="115" w:line="214" w:lineRule="auto"/>
              <w:ind w:left="7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零星材料费</w:t>
            </w:r>
          </w:p>
        </w:tc>
        <w:tc>
          <w:tcPr>
            <w:tcW w:w="1162" w:type="dxa"/>
            <w:vAlign w:val="top"/>
          </w:tcPr>
          <w:p w14:paraId="59AB26A8">
            <w:pPr>
              <w:spacing w:before="146"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0652B525">
            <w:pPr>
              <w:spacing w:before="146" w:line="188" w:lineRule="auto"/>
              <w:ind w:left="44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17.00</w:t>
            </w:r>
          </w:p>
        </w:tc>
        <w:tc>
          <w:tcPr>
            <w:tcW w:w="1590" w:type="dxa"/>
            <w:vAlign w:val="top"/>
          </w:tcPr>
          <w:p w14:paraId="5A85721D">
            <w:pPr>
              <w:spacing w:before="146" w:line="188" w:lineRule="auto"/>
              <w:ind w:left="6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36.52</w:t>
            </w:r>
          </w:p>
        </w:tc>
        <w:tc>
          <w:tcPr>
            <w:tcW w:w="1616" w:type="dxa"/>
            <w:tcBorders>
              <w:right w:val="single" w:color="000000" w:sz="10" w:space="0"/>
            </w:tcBorders>
            <w:vAlign w:val="top"/>
          </w:tcPr>
          <w:p w14:paraId="52D900A3">
            <w:pPr>
              <w:spacing w:before="146" w:line="188" w:lineRule="auto"/>
              <w:ind w:left="6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6.21</w:t>
            </w:r>
          </w:p>
        </w:tc>
      </w:tr>
      <w:tr w14:paraId="5C510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015DBADC">
            <w:pPr>
              <w:spacing w:before="146" w:line="188" w:lineRule="auto"/>
              <w:ind w:left="52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324" w:type="dxa"/>
            <w:gridSpan w:val="2"/>
            <w:vAlign w:val="top"/>
          </w:tcPr>
          <w:p w14:paraId="323811D6">
            <w:pPr>
              <w:spacing w:before="115" w:line="214" w:lineRule="auto"/>
              <w:ind w:left="70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机械使用费</w:t>
            </w:r>
          </w:p>
        </w:tc>
        <w:tc>
          <w:tcPr>
            <w:tcW w:w="1162" w:type="dxa"/>
            <w:vAlign w:val="top"/>
          </w:tcPr>
          <w:p w14:paraId="0F1A3596">
            <w:pPr>
              <w:rPr>
                <w:rFonts w:ascii="Arial"/>
                <w:sz w:val="21"/>
              </w:rPr>
            </w:pPr>
          </w:p>
        </w:tc>
        <w:tc>
          <w:tcPr>
            <w:tcW w:w="1254" w:type="dxa"/>
            <w:vAlign w:val="top"/>
          </w:tcPr>
          <w:p w14:paraId="2A2B09BE">
            <w:pPr>
              <w:rPr>
                <w:rFonts w:ascii="Arial"/>
                <w:sz w:val="21"/>
              </w:rPr>
            </w:pPr>
          </w:p>
        </w:tc>
        <w:tc>
          <w:tcPr>
            <w:tcW w:w="1590" w:type="dxa"/>
            <w:vAlign w:val="top"/>
          </w:tcPr>
          <w:p w14:paraId="4DBB5A3D">
            <w:pPr>
              <w:rPr>
                <w:rFonts w:ascii="Arial"/>
                <w:sz w:val="21"/>
              </w:rPr>
            </w:pPr>
          </w:p>
        </w:tc>
        <w:tc>
          <w:tcPr>
            <w:tcW w:w="1616" w:type="dxa"/>
            <w:tcBorders>
              <w:right w:val="single" w:color="000000" w:sz="10" w:space="0"/>
            </w:tcBorders>
            <w:vAlign w:val="top"/>
          </w:tcPr>
          <w:p w14:paraId="3D72474A">
            <w:pPr>
              <w:spacing w:before="146"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32.05</w:t>
            </w:r>
          </w:p>
        </w:tc>
      </w:tr>
      <w:tr w14:paraId="5AC85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477D410D">
            <w:pPr>
              <w:rPr>
                <w:rFonts w:ascii="Arial"/>
                <w:sz w:val="21"/>
              </w:rPr>
            </w:pPr>
          </w:p>
        </w:tc>
        <w:tc>
          <w:tcPr>
            <w:tcW w:w="2324" w:type="dxa"/>
            <w:gridSpan w:val="2"/>
            <w:vAlign w:val="top"/>
          </w:tcPr>
          <w:p w14:paraId="5FE99F9E">
            <w:pPr>
              <w:spacing w:before="117" w:line="214" w:lineRule="auto"/>
              <w:ind w:left="647"/>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推土机</w:t>
            </w:r>
            <w:r>
              <w:rPr>
                <w:rFonts w:ascii="FangSong_GB2312" w:hAnsi="FangSong_GB2312" w:eastAsia="FangSong_GB2312" w:cs="FangSong_GB2312"/>
                <w:spacing w:val="-31"/>
                <w:sz w:val="18"/>
                <w:szCs w:val="18"/>
              </w:rPr>
              <w:t xml:space="preserve"> </w:t>
            </w:r>
            <w:r>
              <w:rPr>
                <w:rFonts w:ascii="Times New Roman" w:hAnsi="Times New Roman" w:eastAsia="Times New Roman" w:cs="Times New Roman"/>
                <w:spacing w:val="-3"/>
                <w:sz w:val="18"/>
                <w:szCs w:val="18"/>
              </w:rPr>
              <w:t>59kW</w:t>
            </w:r>
          </w:p>
        </w:tc>
        <w:tc>
          <w:tcPr>
            <w:tcW w:w="1162" w:type="dxa"/>
            <w:vAlign w:val="top"/>
          </w:tcPr>
          <w:p w14:paraId="69D4BB46">
            <w:pPr>
              <w:spacing w:before="116" w:line="215" w:lineRule="auto"/>
              <w:ind w:left="423"/>
              <w:rPr>
                <w:rFonts w:ascii="FangSong_GB2312" w:hAnsi="FangSong_GB2312" w:eastAsia="FangSong_GB2312" w:cs="FangSong_GB2312"/>
                <w:sz w:val="18"/>
                <w:szCs w:val="18"/>
              </w:rPr>
            </w:pPr>
            <w:r>
              <w:rPr>
                <w:rFonts w:ascii="FangSong_GB2312" w:hAnsi="FangSong_GB2312" w:eastAsia="FangSong_GB2312" w:cs="FangSong_GB2312"/>
                <w:spacing w:val="-15"/>
                <w:sz w:val="18"/>
                <w:szCs w:val="18"/>
              </w:rPr>
              <w:t>台时</w:t>
            </w:r>
          </w:p>
        </w:tc>
        <w:tc>
          <w:tcPr>
            <w:tcW w:w="1254" w:type="dxa"/>
            <w:vAlign w:val="top"/>
          </w:tcPr>
          <w:p w14:paraId="0412E592">
            <w:pPr>
              <w:spacing w:before="147" w:line="188" w:lineRule="auto"/>
              <w:ind w:left="4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0.57</w:t>
            </w:r>
          </w:p>
        </w:tc>
        <w:tc>
          <w:tcPr>
            <w:tcW w:w="1590" w:type="dxa"/>
            <w:vAlign w:val="top"/>
          </w:tcPr>
          <w:p w14:paraId="29BB08C7">
            <w:pPr>
              <w:spacing w:before="147" w:line="188" w:lineRule="auto"/>
              <w:ind w:left="60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56.24</w:t>
            </w:r>
          </w:p>
        </w:tc>
        <w:tc>
          <w:tcPr>
            <w:tcW w:w="1616" w:type="dxa"/>
            <w:tcBorders>
              <w:right w:val="single" w:color="000000" w:sz="10" w:space="0"/>
            </w:tcBorders>
            <w:vAlign w:val="top"/>
          </w:tcPr>
          <w:p w14:paraId="4C338D1F">
            <w:pPr>
              <w:spacing w:before="147"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32.05</w:t>
            </w:r>
          </w:p>
        </w:tc>
      </w:tr>
      <w:tr w14:paraId="71585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64493E96">
            <w:pPr>
              <w:spacing w:before="119" w:line="227" w:lineRule="auto"/>
              <w:ind w:left="2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324" w:type="dxa"/>
            <w:gridSpan w:val="2"/>
            <w:vAlign w:val="top"/>
          </w:tcPr>
          <w:p w14:paraId="20AEB79F">
            <w:pPr>
              <w:spacing w:before="118" w:line="214" w:lineRule="auto"/>
              <w:ind w:left="7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其他直接费</w:t>
            </w:r>
          </w:p>
        </w:tc>
        <w:tc>
          <w:tcPr>
            <w:tcW w:w="1162" w:type="dxa"/>
            <w:vAlign w:val="top"/>
          </w:tcPr>
          <w:p w14:paraId="0B9E0E65">
            <w:pPr>
              <w:spacing w:before="149"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77AD42B6">
            <w:pPr>
              <w:spacing w:before="149"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90" w:type="dxa"/>
            <w:vAlign w:val="top"/>
          </w:tcPr>
          <w:p w14:paraId="3EBD465E">
            <w:pPr>
              <w:spacing w:before="149" w:line="188" w:lineRule="auto"/>
              <w:ind w:left="5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42.73</w:t>
            </w:r>
          </w:p>
        </w:tc>
        <w:tc>
          <w:tcPr>
            <w:tcW w:w="1616" w:type="dxa"/>
            <w:tcBorders>
              <w:right w:val="single" w:color="000000" w:sz="10" w:space="0"/>
            </w:tcBorders>
            <w:vAlign w:val="top"/>
          </w:tcPr>
          <w:p w14:paraId="25E625B4">
            <w:pPr>
              <w:spacing w:before="149" w:line="188" w:lineRule="auto"/>
              <w:ind w:left="6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r>
      <w:tr w14:paraId="2AD69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28703BE9">
            <w:pPr>
              <w:spacing w:before="158" w:line="171" w:lineRule="auto"/>
              <w:ind w:left="484"/>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324" w:type="dxa"/>
            <w:gridSpan w:val="2"/>
            <w:vAlign w:val="top"/>
          </w:tcPr>
          <w:p w14:paraId="4985CF39">
            <w:pPr>
              <w:spacing w:before="118" w:line="214" w:lineRule="auto"/>
              <w:ind w:left="909"/>
              <w:rPr>
                <w:rFonts w:ascii="FangSong_GB2312" w:hAnsi="FangSong_GB2312" w:eastAsia="FangSong_GB2312" w:cs="FangSong_GB2312"/>
                <w:sz w:val="18"/>
                <w:szCs w:val="18"/>
              </w:rPr>
            </w:pPr>
            <w:r>
              <w:rPr>
                <w:rFonts w:ascii="FangSong_GB2312" w:hAnsi="FangSong_GB2312" w:eastAsia="FangSong_GB2312" w:cs="FangSong_GB2312"/>
                <w:spacing w:val="-9"/>
                <w:sz w:val="18"/>
                <w:szCs w:val="18"/>
              </w:rPr>
              <w:t>间接费</w:t>
            </w:r>
          </w:p>
        </w:tc>
        <w:tc>
          <w:tcPr>
            <w:tcW w:w="1162" w:type="dxa"/>
            <w:vAlign w:val="top"/>
          </w:tcPr>
          <w:p w14:paraId="23E764BF">
            <w:pPr>
              <w:spacing w:before="149"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7B5F4887">
            <w:pPr>
              <w:spacing w:before="149" w:line="188" w:lineRule="auto"/>
              <w:ind w:left="4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590" w:type="dxa"/>
            <w:vAlign w:val="top"/>
          </w:tcPr>
          <w:p w14:paraId="0748FB23">
            <w:pPr>
              <w:spacing w:before="149" w:line="188" w:lineRule="auto"/>
              <w:ind w:left="5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43.58</w:t>
            </w:r>
          </w:p>
        </w:tc>
        <w:tc>
          <w:tcPr>
            <w:tcW w:w="1616" w:type="dxa"/>
            <w:tcBorders>
              <w:right w:val="single" w:color="000000" w:sz="10" w:space="0"/>
            </w:tcBorders>
            <w:vAlign w:val="top"/>
          </w:tcPr>
          <w:p w14:paraId="51749311">
            <w:pPr>
              <w:spacing w:before="149" w:line="188" w:lineRule="auto"/>
              <w:ind w:left="6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2.18</w:t>
            </w:r>
          </w:p>
        </w:tc>
      </w:tr>
      <w:tr w14:paraId="25CEE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7B27FCB7">
            <w:pPr>
              <w:spacing w:before="121" w:line="236" w:lineRule="auto"/>
              <w:ind w:left="487"/>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324" w:type="dxa"/>
            <w:gridSpan w:val="2"/>
            <w:vAlign w:val="top"/>
          </w:tcPr>
          <w:p w14:paraId="76B0EB33">
            <w:pPr>
              <w:spacing w:before="121" w:line="217" w:lineRule="auto"/>
              <w:ind w:left="97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利润</w:t>
            </w:r>
          </w:p>
        </w:tc>
        <w:tc>
          <w:tcPr>
            <w:tcW w:w="1162" w:type="dxa"/>
            <w:vAlign w:val="top"/>
          </w:tcPr>
          <w:p w14:paraId="22BAE14C">
            <w:pPr>
              <w:spacing w:before="152"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2DC9DA8F">
            <w:pPr>
              <w:spacing w:before="152" w:line="188" w:lineRule="auto"/>
              <w:ind w:left="4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w:t>
            </w:r>
          </w:p>
        </w:tc>
        <w:tc>
          <w:tcPr>
            <w:tcW w:w="1590" w:type="dxa"/>
            <w:vAlign w:val="top"/>
          </w:tcPr>
          <w:p w14:paraId="0296D252">
            <w:pPr>
              <w:spacing w:before="152" w:line="188" w:lineRule="auto"/>
              <w:ind w:left="59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45.76</w:t>
            </w:r>
          </w:p>
        </w:tc>
        <w:tc>
          <w:tcPr>
            <w:tcW w:w="1616" w:type="dxa"/>
            <w:tcBorders>
              <w:right w:val="single" w:color="000000" w:sz="10" w:space="0"/>
            </w:tcBorders>
            <w:vAlign w:val="top"/>
          </w:tcPr>
          <w:p w14:paraId="76E6BBEC">
            <w:pPr>
              <w:spacing w:before="152" w:line="188" w:lineRule="auto"/>
              <w:ind w:left="6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w:t>
            </w:r>
          </w:p>
        </w:tc>
      </w:tr>
      <w:tr w14:paraId="1FC86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644DF212">
            <w:pPr>
              <w:spacing w:before="122" w:line="233" w:lineRule="auto"/>
              <w:ind w:left="495"/>
              <w:rPr>
                <w:rFonts w:ascii="FangSong_GB2312" w:hAnsi="FangSong_GB2312" w:eastAsia="FangSong_GB2312" w:cs="FangSong_GB2312"/>
                <w:sz w:val="18"/>
                <w:szCs w:val="18"/>
              </w:rPr>
            </w:pPr>
            <w:r>
              <w:rPr>
                <w:rFonts w:ascii="FangSong_GB2312" w:hAnsi="FangSong_GB2312" w:eastAsia="FangSong_GB2312" w:cs="FangSong_GB2312"/>
                <w:sz w:val="18"/>
                <w:szCs w:val="18"/>
              </w:rPr>
              <w:t>四</w:t>
            </w:r>
          </w:p>
        </w:tc>
        <w:tc>
          <w:tcPr>
            <w:tcW w:w="2324" w:type="dxa"/>
            <w:gridSpan w:val="2"/>
            <w:vAlign w:val="top"/>
          </w:tcPr>
          <w:p w14:paraId="5408A1DD">
            <w:pPr>
              <w:spacing w:before="122" w:line="214" w:lineRule="auto"/>
              <w:ind w:left="80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材料补差</w:t>
            </w:r>
          </w:p>
        </w:tc>
        <w:tc>
          <w:tcPr>
            <w:tcW w:w="1162" w:type="dxa"/>
            <w:vAlign w:val="top"/>
          </w:tcPr>
          <w:p w14:paraId="3AEAB4FB">
            <w:pPr>
              <w:rPr>
                <w:rFonts w:ascii="Arial"/>
                <w:sz w:val="21"/>
              </w:rPr>
            </w:pPr>
          </w:p>
        </w:tc>
        <w:tc>
          <w:tcPr>
            <w:tcW w:w="1254" w:type="dxa"/>
            <w:vAlign w:val="top"/>
          </w:tcPr>
          <w:p w14:paraId="4302467F">
            <w:pPr>
              <w:rPr>
                <w:rFonts w:ascii="Arial"/>
                <w:sz w:val="21"/>
              </w:rPr>
            </w:pPr>
          </w:p>
        </w:tc>
        <w:tc>
          <w:tcPr>
            <w:tcW w:w="1590" w:type="dxa"/>
            <w:vAlign w:val="top"/>
          </w:tcPr>
          <w:p w14:paraId="16407F62">
            <w:pPr>
              <w:rPr>
                <w:rFonts w:ascii="Arial"/>
                <w:sz w:val="21"/>
              </w:rPr>
            </w:pPr>
          </w:p>
        </w:tc>
        <w:tc>
          <w:tcPr>
            <w:tcW w:w="1616" w:type="dxa"/>
            <w:tcBorders>
              <w:right w:val="single" w:color="000000" w:sz="10" w:space="0"/>
            </w:tcBorders>
            <w:vAlign w:val="top"/>
          </w:tcPr>
          <w:p w14:paraId="12BF3057">
            <w:pPr>
              <w:spacing w:before="153" w:line="188" w:lineRule="auto"/>
              <w:ind w:left="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20.75</w:t>
            </w:r>
          </w:p>
        </w:tc>
      </w:tr>
      <w:tr w14:paraId="5D781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731FC5A2">
            <w:pPr>
              <w:rPr>
                <w:rFonts w:ascii="Arial"/>
                <w:sz w:val="21"/>
              </w:rPr>
            </w:pPr>
          </w:p>
        </w:tc>
        <w:tc>
          <w:tcPr>
            <w:tcW w:w="1162" w:type="dxa"/>
            <w:vAlign w:val="top"/>
          </w:tcPr>
          <w:p w14:paraId="223CAFFE">
            <w:pPr>
              <w:spacing w:before="125" w:line="214" w:lineRule="auto"/>
              <w:ind w:left="39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机械</w:t>
            </w:r>
          </w:p>
        </w:tc>
        <w:tc>
          <w:tcPr>
            <w:tcW w:w="1162" w:type="dxa"/>
            <w:vAlign w:val="top"/>
          </w:tcPr>
          <w:p w14:paraId="7377AD3F">
            <w:pPr>
              <w:spacing w:before="124" w:line="214" w:lineRule="auto"/>
              <w:ind w:left="40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柴油</w:t>
            </w:r>
          </w:p>
        </w:tc>
        <w:tc>
          <w:tcPr>
            <w:tcW w:w="1162" w:type="dxa"/>
            <w:vAlign w:val="top"/>
          </w:tcPr>
          <w:p w14:paraId="4AE51DB1">
            <w:pPr>
              <w:spacing w:before="152" w:line="192" w:lineRule="auto"/>
              <w:ind w:left="4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54" w:type="dxa"/>
            <w:vAlign w:val="top"/>
          </w:tcPr>
          <w:p w14:paraId="21B86D64">
            <w:pPr>
              <w:spacing w:before="155" w:line="188" w:lineRule="auto"/>
              <w:ind w:left="4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3.93</w:t>
            </w:r>
          </w:p>
        </w:tc>
        <w:tc>
          <w:tcPr>
            <w:tcW w:w="1590" w:type="dxa"/>
            <w:vAlign w:val="top"/>
          </w:tcPr>
          <w:p w14:paraId="703B8F0E">
            <w:pPr>
              <w:spacing w:before="155"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5.28</w:t>
            </w:r>
          </w:p>
        </w:tc>
        <w:tc>
          <w:tcPr>
            <w:tcW w:w="1616" w:type="dxa"/>
            <w:tcBorders>
              <w:right w:val="single" w:color="000000" w:sz="10" w:space="0"/>
            </w:tcBorders>
            <w:vAlign w:val="top"/>
          </w:tcPr>
          <w:p w14:paraId="0506518E">
            <w:pPr>
              <w:spacing w:before="155" w:line="188" w:lineRule="auto"/>
              <w:ind w:left="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20.75</w:t>
            </w:r>
          </w:p>
        </w:tc>
      </w:tr>
      <w:tr w14:paraId="2D712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0FB8BEC4">
            <w:pPr>
              <w:spacing w:before="152" w:line="184" w:lineRule="auto"/>
              <w:ind w:left="480"/>
              <w:rPr>
                <w:rFonts w:ascii="FangSong_GB2312" w:hAnsi="FangSong_GB2312" w:eastAsia="FangSong_GB2312" w:cs="FangSong_GB2312"/>
                <w:sz w:val="18"/>
                <w:szCs w:val="18"/>
              </w:rPr>
            </w:pPr>
            <w:r>
              <w:rPr>
                <w:rFonts w:ascii="FangSong_GB2312" w:hAnsi="FangSong_GB2312" w:eastAsia="FangSong_GB2312" w:cs="FangSong_GB2312"/>
                <w:sz w:val="18"/>
                <w:szCs w:val="18"/>
              </w:rPr>
              <w:t>五</w:t>
            </w:r>
          </w:p>
        </w:tc>
        <w:tc>
          <w:tcPr>
            <w:tcW w:w="2324" w:type="dxa"/>
            <w:gridSpan w:val="2"/>
            <w:vAlign w:val="top"/>
          </w:tcPr>
          <w:p w14:paraId="0ED7F406">
            <w:pPr>
              <w:spacing w:before="126" w:line="219" w:lineRule="auto"/>
              <w:ind w:left="97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税金</w:t>
            </w:r>
          </w:p>
        </w:tc>
        <w:tc>
          <w:tcPr>
            <w:tcW w:w="1162" w:type="dxa"/>
            <w:vAlign w:val="top"/>
          </w:tcPr>
          <w:p w14:paraId="6E8E24AF">
            <w:pPr>
              <w:spacing w:before="156"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482365DE">
            <w:pPr>
              <w:spacing w:before="156" w:line="188" w:lineRule="auto"/>
              <w:ind w:left="4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c>
          <w:tcPr>
            <w:tcW w:w="1590" w:type="dxa"/>
            <w:vAlign w:val="top"/>
          </w:tcPr>
          <w:p w14:paraId="65850F6B">
            <w:pPr>
              <w:spacing w:before="156" w:line="188" w:lineRule="auto"/>
              <w:ind w:left="60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69.72</w:t>
            </w:r>
          </w:p>
        </w:tc>
        <w:tc>
          <w:tcPr>
            <w:tcW w:w="1616" w:type="dxa"/>
            <w:tcBorders>
              <w:right w:val="single" w:color="000000" w:sz="10" w:space="0"/>
            </w:tcBorders>
            <w:vAlign w:val="top"/>
          </w:tcPr>
          <w:p w14:paraId="60AD5D22">
            <w:pPr>
              <w:spacing w:before="156" w:line="188" w:lineRule="auto"/>
              <w:ind w:left="6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6.27</w:t>
            </w:r>
          </w:p>
        </w:tc>
      </w:tr>
      <w:tr w14:paraId="373D9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147" w:type="dxa"/>
            <w:tcBorders>
              <w:left w:val="single" w:color="000000" w:sz="10" w:space="0"/>
              <w:bottom w:val="single" w:color="000000" w:sz="10" w:space="0"/>
            </w:tcBorders>
            <w:vAlign w:val="top"/>
          </w:tcPr>
          <w:p w14:paraId="25EC021F">
            <w:pPr>
              <w:spacing w:before="125" w:line="214" w:lineRule="auto"/>
              <w:ind w:left="3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概算</w:t>
            </w:r>
          </w:p>
        </w:tc>
        <w:tc>
          <w:tcPr>
            <w:tcW w:w="2324" w:type="dxa"/>
            <w:gridSpan w:val="2"/>
            <w:tcBorders>
              <w:bottom w:val="single" w:color="000000" w:sz="10" w:space="0"/>
            </w:tcBorders>
            <w:vAlign w:val="top"/>
          </w:tcPr>
          <w:p w14:paraId="4A606AA1">
            <w:pPr>
              <w:spacing w:before="125" w:line="216" w:lineRule="auto"/>
              <w:ind w:left="98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162" w:type="dxa"/>
            <w:tcBorders>
              <w:bottom w:val="single" w:color="000000" w:sz="10" w:space="0"/>
            </w:tcBorders>
            <w:vAlign w:val="top"/>
          </w:tcPr>
          <w:p w14:paraId="737CB474">
            <w:pPr>
              <w:rPr>
                <w:rFonts w:ascii="Arial"/>
                <w:sz w:val="21"/>
              </w:rPr>
            </w:pPr>
          </w:p>
        </w:tc>
        <w:tc>
          <w:tcPr>
            <w:tcW w:w="1254" w:type="dxa"/>
            <w:tcBorders>
              <w:bottom w:val="single" w:color="000000" w:sz="10" w:space="0"/>
            </w:tcBorders>
            <w:vAlign w:val="top"/>
          </w:tcPr>
          <w:p w14:paraId="6F599235">
            <w:pPr>
              <w:rPr>
                <w:rFonts w:ascii="Arial"/>
                <w:sz w:val="21"/>
              </w:rPr>
            </w:pPr>
          </w:p>
        </w:tc>
        <w:tc>
          <w:tcPr>
            <w:tcW w:w="1590" w:type="dxa"/>
            <w:tcBorders>
              <w:bottom w:val="single" w:color="000000" w:sz="10" w:space="0"/>
            </w:tcBorders>
            <w:vAlign w:val="top"/>
          </w:tcPr>
          <w:p w14:paraId="59E463EB">
            <w:pPr>
              <w:rPr>
                <w:rFonts w:ascii="Arial"/>
                <w:sz w:val="21"/>
              </w:rPr>
            </w:pPr>
          </w:p>
        </w:tc>
        <w:tc>
          <w:tcPr>
            <w:tcW w:w="1616" w:type="dxa"/>
            <w:tcBorders>
              <w:bottom w:val="single" w:color="000000" w:sz="10" w:space="0"/>
              <w:right w:val="single" w:color="000000" w:sz="10" w:space="0"/>
            </w:tcBorders>
            <w:vAlign w:val="top"/>
          </w:tcPr>
          <w:p w14:paraId="0414B535">
            <w:pPr>
              <w:spacing w:before="156" w:line="188" w:lineRule="auto"/>
              <w:ind w:left="6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75.99</w:t>
            </w:r>
          </w:p>
        </w:tc>
      </w:tr>
    </w:tbl>
    <w:p w14:paraId="1C56B1B2">
      <w:pPr>
        <w:spacing w:before="301" w:line="229" w:lineRule="auto"/>
        <w:ind w:left="5507"/>
        <w:rPr>
          <w:rFonts w:ascii="FangSong_GB2312" w:hAnsi="FangSong_GB2312" w:eastAsia="FangSong_GB2312" w:cs="FangSong_GB2312"/>
          <w:sz w:val="20"/>
          <w:szCs w:val="20"/>
        </w:rPr>
      </w:pPr>
      <w:r>
        <w:pict>
          <v:shape id="_x0000_s1095" o:spid="_x0000_s1095" o:spt="202" type="#_x0000_t202" style="position:absolute;left:0pt;margin-left:223pt;margin-top:14.8pt;height:10.15pt;width:10.65pt;z-index:251769856;mso-width-relative:page;mso-height-relative:page;" filled="f" stroked="f" coordsize="21600,21600">
            <v:path/>
            <v:fill on="f" focussize="0,0"/>
            <v:stroke on="f"/>
            <v:imagedata o:title=""/>
            <o:lock v:ext="edit" aspectratio="f"/>
            <v:textbox inset="0mm,0mm,0mm,0mm">
              <w:txbxContent>
                <w:p w14:paraId="6ECC5FCB">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txbxContent>
            </v:textbox>
          </v:shape>
        </w:pict>
      </w:r>
      <w:r>
        <w:rPr>
          <w:rFonts w:ascii="FangSong_GB2312" w:hAnsi="FangSong_GB2312" w:eastAsia="FangSong_GB2312" w:cs="FangSong_GB2312"/>
          <w:spacing w:val="8"/>
          <w:sz w:val="20"/>
          <w:szCs w:val="20"/>
        </w:rPr>
        <w:t>剑阁县绿森林业勘察设计有限公司</w:t>
      </w:r>
    </w:p>
    <w:p w14:paraId="50EC727F">
      <w:pPr>
        <w:spacing w:line="229" w:lineRule="auto"/>
        <w:rPr>
          <w:rFonts w:ascii="FangSong_GB2312" w:hAnsi="FangSong_GB2312" w:eastAsia="FangSong_GB2312" w:cs="FangSong_GB2312"/>
          <w:sz w:val="20"/>
          <w:szCs w:val="20"/>
        </w:rPr>
        <w:sectPr>
          <w:headerReference r:id="rId71" w:type="default"/>
          <w:pgSz w:w="11906" w:h="16839"/>
          <w:pgMar w:top="1159" w:right="1395" w:bottom="400" w:left="1391" w:header="831" w:footer="0" w:gutter="0"/>
          <w:cols w:space="720" w:num="1"/>
        </w:sectPr>
      </w:pPr>
    </w:p>
    <w:p w14:paraId="02997692">
      <w:pPr>
        <w:spacing w:before="166"/>
      </w:pPr>
    </w:p>
    <w:tbl>
      <w:tblPr>
        <w:tblStyle w:val="6"/>
        <w:tblW w:w="909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1162"/>
        <w:gridCol w:w="1162"/>
        <w:gridCol w:w="1162"/>
        <w:gridCol w:w="1254"/>
        <w:gridCol w:w="1590"/>
        <w:gridCol w:w="1616"/>
      </w:tblGrid>
      <w:tr w14:paraId="70047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147" w:type="dxa"/>
            <w:tcBorders>
              <w:top w:val="single" w:color="000000" w:sz="10" w:space="0"/>
              <w:left w:val="single" w:color="000000" w:sz="10" w:space="0"/>
            </w:tcBorders>
            <w:vAlign w:val="top"/>
          </w:tcPr>
          <w:p w14:paraId="0E823A88">
            <w:pPr>
              <w:spacing w:before="99" w:line="216" w:lineRule="auto"/>
              <w:ind w:left="20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工程名称</w:t>
            </w:r>
          </w:p>
        </w:tc>
        <w:tc>
          <w:tcPr>
            <w:tcW w:w="4740" w:type="dxa"/>
            <w:gridSpan w:val="4"/>
            <w:tcBorders>
              <w:top w:val="single" w:color="000000" w:sz="10" w:space="0"/>
            </w:tcBorders>
            <w:vAlign w:val="top"/>
          </w:tcPr>
          <w:p w14:paraId="780B4254">
            <w:pPr>
              <w:spacing w:before="100" w:line="216" w:lineRule="auto"/>
              <w:ind w:left="20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表土回覆</w:t>
            </w:r>
          </w:p>
        </w:tc>
        <w:tc>
          <w:tcPr>
            <w:tcW w:w="1590" w:type="dxa"/>
            <w:tcBorders>
              <w:top w:val="single" w:color="000000" w:sz="10" w:space="0"/>
            </w:tcBorders>
            <w:vAlign w:val="top"/>
          </w:tcPr>
          <w:p w14:paraId="0B0FADA7">
            <w:pPr>
              <w:spacing w:before="99" w:line="214" w:lineRule="auto"/>
              <w:ind w:left="45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单价编号</w:t>
            </w:r>
          </w:p>
        </w:tc>
        <w:tc>
          <w:tcPr>
            <w:tcW w:w="1616" w:type="dxa"/>
            <w:tcBorders>
              <w:top w:val="single" w:color="000000" w:sz="10" w:space="0"/>
              <w:right w:val="single" w:color="000000" w:sz="10" w:space="0"/>
            </w:tcBorders>
            <w:vAlign w:val="top"/>
          </w:tcPr>
          <w:p w14:paraId="0B7986CA">
            <w:pPr>
              <w:spacing w:before="130" w:line="188" w:lineRule="auto"/>
              <w:ind w:left="768"/>
              <w:outlineLvl w:val="1"/>
              <w:rPr>
                <w:rFonts w:ascii="Times New Roman" w:hAnsi="Times New Roman" w:eastAsia="Times New Roman" w:cs="Times New Roman"/>
                <w:sz w:val="18"/>
                <w:szCs w:val="18"/>
              </w:rPr>
            </w:pPr>
            <w:bookmarkStart w:id="89" w:name="bookmark106"/>
            <w:bookmarkEnd w:id="89"/>
            <w:r>
              <w:rPr>
                <w:rFonts w:ascii="Times New Roman" w:hAnsi="Times New Roman" w:eastAsia="Times New Roman" w:cs="Times New Roman"/>
                <w:sz w:val="18"/>
                <w:szCs w:val="18"/>
              </w:rPr>
              <w:t>2</w:t>
            </w:r>
          </w:p>
        </w:tc>
      </w:tr>
      <w:tr w14:paraId="66B48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1147" w:type="dxa"/>
            <w:tcBorders>
              <w:left w:val="single" w:color="000000" w:sz="10" w:space="0"/>
            </w:tcBorders>
            <w:vAlign w:val="top"/>
          </w:tcPr>
          <w:p w14:paraId="5B75D8F1">
            <w:pPr>
              <w:spacing w:before="106" w:line="214" w:lineRule="auto"/>
              <w:ind w:left="20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定额编号</w:t>
            </w:r>
          </w:p>
        </w:tc>
        <w:tc>
          <w:tcPr>
            <w:tcW w:w="4740" w:type="dxa"/>
            <w:gridSpan w:val="4"/>
            <w:vAlign w:val="top"/>
          </w:tcPr>
          <w:p w14:paraId="7E2CB028">
            <w:pPr>
              <w:spacing w:before="136" w:line="188" w:lineRule="auto"/>
              <w:ind w:left="21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01166</w:t>
            </w:r>
          </w:p>
        </w:tc>
        <w:tc>
          <w:tcPr>
            <w:tcW w:w="1590" w:type="dxa"/>
            <w:vAlign w:val="top"/>
          </w:tcPr>
          <w:p w14:paraId="3F85B7F7">
            <w:pPr>
              <w:spacing w:before="105" w:line="214" w:lineRule="auto"/>
              <w:ind w:left="44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定额单位</w:t>
            </w:r>
          </w:p>
        </w:tc>
        <w:tc>
          <w:tcPr>
            <w:tcW w:w="1616" w:type="dxa"/>
            <w:tcBorders>
              <w:right w:val="single" w:color="000000" w:sz="10" w:space="0"/>
            </w:tcBorders>
            <w:vAlign w:val="top"/>
          </w:tcPr>
          <w:p w14:paraId="16E2CAD5">
            <w:pPr>
              <w:spacing w:before="105" w:line="216" w:lineRule="auto"/>
              <w:ind w:left="401"/>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100m</w:t>
            </w:r>
            <w:r>
              <w:rPr>
                <w:rFonts w:ascii="Times New Roman" w:hAnsi="Times New Roman" w:eastAsia="Times New Roman" w:cs="Times New Roman"/>
                <w:spacing w:val="-4"/>
                <w:position w:val="5"/>
                <w:sz w:val="11"/>
                <w:szCs w:val="11"/>
              </w:rPr>
              <w:t>3</w:t>
            </w:r>
            <w:r>
              <w:rPr>
                <w:rFonts w:ascii="Times New Roman" w:hAnsi="Times New Roman" w:eastAsia="Times New Roman" w:cs="Times New Roman"/>
                <w:spacing w:val="10"/>
                <w:w w:val="102"/>
                <w:position w:val="5"/>
                <w:sz w:val="11"/>
                <w:szCs w:val="11"/>
              </w:rPr>
              <w:t xml:space="preserve"> </w:t>
            </w:r>
            <w:r>
              <w:rPr>
                <w:rFonts w:ascii="FangSong_GB2312" w:hAnsi="FangSong_GB2312" w:eastAsia="FangSong_GB2312" w:cs="FangSong_GB2312"/>
                <w:spacing w:val="-4"/>
                <w:sz w:val="18"/>
                <w:szCs w:val="18"/>
              </w:rPr>
              <w:t>堆方</w:t>
            </w:r>
          </w:p>
        </w:tc>
      </w:tr>
      <w:tr w14:paraId="3F306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right w:val="nil"/>
            </w:tcBorders>
            <w:vAlign w:val="top"/>
          </w:tcPr>
          <w:p w14:paraId="0D7AB3CA">
            <w:pPr>
              <w:rPr>
                <w:rFonts w:ascii="Arial"/>
                <w:sz w:val="21"/>
              </w:rPr>
            </w:pPr>
          </w:p>
        </w:tc>
        <w:tc>
          <w:tcPr>
            <w:tcW w:w="4740" w:type="dxa"/>
            <w:gridSpan w:val="4"/>
            <w:tcBorders>
              <w:left w:val="nil"/>
              <w:right w:val="nil"/>
            </w:tcBorders>
            <w:vAlign w:val="top"/>
          </w:tcPr>
          <w:p w14:paraId="5208AE26">
            <w:pPr>
              <w:spacing w:before="106" w:line="216" w:lineRule="auto"/>
              <w:ind w:left="224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工作内容：就近取土、覆土。</w:t>
            </w:r>
          </w:p>
        </w:tc>
        <w:tc>
          <w:tcPr>
            <w:tcW w:w="1590" w:type="dxa"/>
            <w:tcBorders>
              <w:left w:val="nil"/>
              <w:right w:val="nil"/>
            </w:tcBorders>
            <w:vAlign w:val="top"/>
          </w:tcPr>
          <w:p w14:paraId="0FDF4A18">
            <w:pPr>
              <w:rPr>
                <w:rFonts w:ascii="Arial"/>
                <w:sz w:val="21"/>
              </w:rPr>
            </w:pPr>
          </w:p>
        </w:tc>
        <w:tc>
          <w:tcPr>
            <w:tcW w:w="1616" w:type="dxa"/>
            <w:tcBorders>
              <w:left w:val="nil"/>
              <w:right w:val="single" w:color="000000" w:sz="10" w:space="0"/>
            </w:tcBorders>
            <w:vAlign w:val="top"/>
          </w:tcPr>
          <w:p w14:paraId="1E0E8B28">
            <w:pPr>
              <w:rPr>
                <w:rFonts w:ascii="Arial"/>
                <w:sz w:val="21"/>
              </w:rPr>
            </w:pPr>
          </w:p>
        </w:tc>
      </w:tr>
      <w:tr w14:paraId="19457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50BBF3A6">
            <w:pPr>
              <w:spacing w:before="109" w:line="216" w:lineRule="auto"/>
              <w:ind w:left="38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324" w:type="dxa"/>
            <w:gridSpan w:val="2"/>
            <w:vAlign w:val="top"/>
          </w:tcPr>
          <w:p w14:paraId="0A5153C0">
            <w:pPr>
              <w:spacing w:before="109" w:line="214" w:lineRule="auto"/>
              <w:ind w:left="7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名称及规格</w:t>
            </w:r>
          </w:p>
        </w:tc>
        <w:tc>
          <w:tcPr>
            <w:tcW w:w="1162" w:type="dxa"/>
            <w:vAlign w:val="top"/>
          </w:tcPr>
          <w:p w14:paraId="602E4C83">
            <w:pPr>
              <w:spacing w:before="109" w:line="214" w:lineRule="auto"/>
              <w:ind w:left="406"/>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254" w:type="dxa"/>
            <w:vAlign w:val="top"/>
          </w:tcPr>
          <w:p w14:paraId="7025486C">
            <w:pPr>
              <w:spacing w:before="109" w:line="217" w:lineRule="auto"/>
              <w:ind w:left="457"/>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590" w:type="dxa"/>
            <w:vAlign w:val="top"/>
          </w:tcPr>
          <w:p w14:paraId="746BA5EA">
            <w:pPr>
              <w:spacing w:before="109" w:line="216" w:lineRule="auto"/>
              <w:ind w:left="35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单价（元）</w:t>
            </w:r>
          </w:p>
        </w:tc>
        <w:tc>
          <w:tcPr>
            <w:tcW w:w="1616" w:type="dxa"/>
            <w:tcBorders>
              <w:right w:val="single" w:color="000000" w:sz="10" w:space="0"/>
            </w:tcBorders>
            <w:vAlign w:val="top"/>
          </w:tcPr>
          <w:p w14:paraId="37939412">
            <w:pPr>
              <w:spacing w:before="109" w:line="216" w:lineRule="auto"/>
              <w:ind w:left="36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合计（元）</w:t>
            </w:r>
          </w:p>
        </w:tc>
      </w:tr>
      <w:tr w14:paraId="6855B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4AE197AA">
            <w:pPr>
              <w:spacing w:before="185" w:line="130" w:lineRule="exact"/>
              <w:ind w:left="485"/>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324" w:type="dxa"/>
            <w:gridSpan w:val="2"/>
            <w:vAlign w:val="top"/>
          </w:tcPr>
          <w:p w14:paraId="2A91040F">
            <w:pPr>
              <w:spacing w:before="109" w:line="214" w:lineRule="auto"/>
              <w:ind w:left="89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直接费</w:t>
            </w:r>
          </w:p>
        </w:tc>
        <w:tc>
          <w:tcPr>
            <w:tcW w:w="1162" w:type="dxa"/>
            <w:vAlign w:val="top"/>
          </w:tcPr>
          <w:p w14:paraId="5DD72957">
            <w:pPr>
              <w:rPr>
                <w:rFonts w:ascii="Arial"/>
                <w:sz w:val="21"/>
              </w:rPr>
            </w:pPr>
          </w:p>
        </w:tc>
        <w:tc>
          <w:tcPr>
            <w:tcW w:w="1254" w:type="dxa"/>
            <w:vAlign w:val="top"/>
          </w:tcPr>
          <w:p w14:paraId="4B56628A">
            <w:pPr>
              <w:rPr>
                <w:rFonts w:ascii="Arial"/>
                <w:sz w:val="21"/>
              </w:rPr>
            </w:pPr>
          </w:p>
        </w:tc>
        <w:tc>
          <w:tcPr>
            <w:tcW w:w="1590" w:type="dxa"/>
            <w:vAlign w:val="top"/>
          </w:tcPr>
          <w:p w14:paraId="39FD5FD0">
            <w:pPr>
              <w:rPr>
                <w:rFonts w:ascii="Arial"/>
                <w:sz w:val="21"/>
              </w:rPr>
            </w:pPr>
          </w:p>
        </w:tc>
        <w:tc>
          <w:tcPr>
            <w:tcW w:w="1616" w:type="dxa"/>
            <w:tcBorders>
              <w:right w:val="single" w:color="000000" w:sz="10" w:space="0"/>
            </w:tcBorders>
            <w:vAlign w:val="top"/>
          </w:tcPr>
          <w:p w14:paraId="0BB7D280">
            <w:pPr>
              <w:spacing w:before="140" w:line="188" w:lineRule="auto"/>
              <w:ind w:left="5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203.20</w:t>
            </w:r>
          </w:p>
        </w:tc>
      </w:tr>
      <w:tr w14:paraId="3665B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054080C5">
            <w:pPr>
              <w:spacing w:before="113" w:line="227" w:lineRule="auto"/>
              <w:ind w:left="2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324" w:type="dxa"/>
            <w:gridSpan w:val="2"/>
            <w:vAlign w:val="top"/>
          </w:tcPr>
          <w:p w14:paraId="2A33CE95">
            <w:pPr>
              <w:spacing w:before="112" w:line="214" w:lineRule="auto"/>
              <w:ind w:left="7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基本直接费</w:t>
            </w:r>
          </w:p>
        </w:tc>
        <w:tc>
          <w:tcPr>
            <w:tcW w:w="1162" w:type="dxa"/>
            <w:vAlign w:val="top"/>
          </w:tcPr>
          <w:p w14:paraId="6FCD92EF">
            <w:pPr>
              <w:rPr>
                <w:rFonts w:ascii="Arial"/>
                <w:sz w:val="21"/>
              </w:rPr>
            </w:pPr>
          </w:p>
        </w:tc>
        <w:tc>
          <w:tcPr>
            <w:tcW w:w="1254" w:type="dxa"/>
            <w:vAlign w:val="top"/>
          </w:tcPr>
          <w:p w14:paraId="763B9D62">
            <w:pPr>
              <w:rPr>
                <w:rFonts w:ascii="Arial"/>
                <w:sz w:val="21"/>
              </w:rPr>
            </w:pPr>
          </w:p>
        </w:tc>
        <w:tc>
          <w:tcPr>
            <w:tcW w:w="1590" w:type="dxa"/>
            <w:vAlign w:val="top"/>
          </w:tcPr>
          <w:p w14:paraId="53D7C829">
            <w:pPr>
              <w:rPr>
                <w:rFonts w:ascii="Arial"/>
                <w:sz w:val="21"/>
              </w:rPr>
            </w:pPr>
          </w:p>
        </w:tc>
        <w:tc>
          <w:tcPr>
            <w:tcW w:w="1616" w:type="dxa"/>
            <w:tcBorders>
              <w:right w:val="single" w:color="000000" w:sz="10" w:space="0"/>
            </w:tcBorders>
            <w:vAlign w:val="top"/>
          </w:tcPr>
          <w:p w14:paraId="4F072EA3">
            <w:pPr>
              <w:spacing w:before="143" w:line="188" w:lineRule="auto"/>
              <w:ind w:left="5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199.21</w:t>
            </w:r>
          </w:p>
        </w:tc>
      </w:tr>
      <w:tr w14:paraId="30520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6D069BD6">
            <w:pPr>
              <w:spacing w:before="144" w:line="188" w:lineRule="auto"/>
              <w:ind w:left="53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324" w:type="dxa"/>
            <w:gridSpan w:val="2"/>
            <w:vAlign w:val="top"/>
          </w:tcPr>
          <w:p w14:paraId="724D4AA9">
            <w:pPr>
              <w:spacing w:before="113" w:line="214" w:lineRule="auto"/>
              <w:ind w:left="8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人工费</w:t>
            </w:r>
          </w:p>
        </w:tc>
        <w:tc>
          <w:tcPr>
            <w:tcW w:w="1162" w:type="dxa"/>
            <w:vAlign w:val="top"/>
          </w:tcPr>
          <w:p w14:paraId="122A2D96">
            <w:pPr>
              <w:spacing w:before="113" w:line="215" w:lineRule="auto"/>
              <w:ind w:left="406"/>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工时</w:t>
            </w:r>
          </w:p>
        </w:tc>
        <w:tc>
          <w:tcPr>
            <w:tcW w:w="1254" w:type="dxa"/>
            <w:vAlign w:val="top"/>
          </w:tcPr>
          <w:p w14:paraId="58D7487B">
            <w:pPr>
              <w:spacing w:before="144" w:line="188" w:lineRule="auto"/>
              <w:ind w:left="4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590" w:type="dxa"/>
            <w:vAlign w:val="top"/>
          </w:tcPr>
          <w:p w14:paraId="0F879EB5">
            <w:pPr>
              <w:spacing w:before="144" w:line="188" w:lineRule="auto"/>
              <w:ind w:left="6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6.38</w:t>
            </w:r>
          </w:p>
        </w:tc>
        <w:tc>
          <w:tcPr>
            <w:tcW w:w="1616" w:type="dxa"/>
            <w:tcBorders>
              <w:right w:val="single" w:color="000000" w:sz="10" w:space="0"/>
            </w:tcBorders>
            <w:vAlign w:val="top"/>
          </w:tcPr>
          <w:p w14:paraId="715C26C6">
            <w:pPr>
              <w:spacing w:before="144"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31.90</w:t>
            </w:r>
          </w:p>
        </w:tc>
      </w:tr>
      <w:tr w14:paraId="657D3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016AEF33">
            <w:pPr>
              <w:spacing w:before="145" w:line="188" w:lineRule="auto"/>
              <w:ind w:left="51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324" w:type="dxa"/>
            <w:gridSpan w:val="2"/>
            <w:vAlign w:val="top"/>
          </w:tcPr>
          <w:p w14:paraId="6BABD6C7">
            <w:pPr>
              <w:spacing w:before="114" w:line="214" w:lineRule="auto"/>
              <w:ind w:left="89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材料费</w:t>
            </w:r>
          </w:p>
        </w:tc>
        <w:tc>
          <w:tcPr>
            <w:tcW w:w="1162" w:type="dxa"/>
            <w:vAlign w:val="top"/>
          </w:tcPr>
          <w:p w14:paraId="6E9C568D">
            <w:pPr>
              <w:rPr>
                <w:rFonts w:ascii="Arial"/>
                <w:sz w:val="21"/>
              </w:rPr>
            </w:pPr>
          </w:p>
        </w:tc>
        <w:tc>
          <w:tcPr>
            <w:tcW w:w="1254" w:type="dxa"/>
            <w:vAlign w:val="top"/>
          </w:tcPr>
          <w:p w14:paraId="4B64E93B">
            <w:pPr>
              <w:rPr>
                <w:rFonts w:ascii="Arial"/>
                <w:sz w:val="21"/>
              </w:rPr>
            </w:pPr>
          </w:p>
        </w:tc>
        <w:tc>
          <w:tcPr>
            <w:tcW w:w="1590" w:type="dxa"/>
            <w:vAlign w:val="top"/>
          </w:tcPr>
          <w:p w14:paraId="5D2ECD2C">
            <w:pPr>
              <w:rPr>
                <w:rFonts w:ascii="Arial"/>
                <w:sz w:val="21"/>
              </w:rPr>
            </w:pPr>
          </w:p>
        </w:tc>
        <w:tc>
          <w:tcPr>
            <w:tcW w:w="1616" w:type="dxa"/>
            <w:tcBorders>
              <w:right w:val="single" w:color="000000" w:sz="10" w:space="0"/>
            </w:tcBorders>
            <w:vAlign w:val="top"/>
          </w:tcPr>
          <w:p w14:paraId="3A899A58">
            <w:pPr>
              <w:spacing w:before="145"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37.25</w:t>
            </w:r>
          </w:p>
        </w:tc>
      </w:tr>
      <w:tr w14:paraId="3E091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7465EA61">
            <w:pPr>
              <w:rPr>
                <w:rFonts w:ascii="Arial"/>
                <w:sz w:val="21"/>
              </w:rPr>
            </w:pPr>
          </w:p>
        </w:tc>
        <w:tc>
          <w:tcPr>
            <w:tcW w:w="2324" w:type="dxa"/>
            <w:gridSpan w:val="2"/>
            <w:vAlign w:val="top"/>
          </w:tcPr>
          <w:p w14:paraId="01C421F3">
            <w:pPr>
              <w:spacing w:before="117" w:line="214" w:lineRule="auto"/>
              <w:ind w:left="7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零星材料费</w:t>
            </w:r>
          </w:p>
        </w:tc>
        <w:tc>
          <w:tcPr>
            <w:tcW w:w="1162" w:type="dxa"/>
            <w:vAlign w:val="top"/>
          </w:tcPr>
          <w:p w14:paraId="75DBD9E9">
            <w:pPr>
              <w:spacing w:before="148"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068A24F6">
            <w:pPr>
              <w:spacing w:before="148" w:line="188" w:lineRule="auto"/>
              <w:ind w:left="42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23.00</w:t>
            </w:r>
          </w:p>
        </w:tc>
        <w:tc>
          <w:tcPr>
            <w:tcW w:w="1590" w:type="dxa"/>
            <w:vAlign w:val="top"/>
          </w:tcPr>
          <w:p w14:paraId="7A4E5332">
            <w:pPr>
              <w:spacing w:before="148" w:line="188"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161.96</w:t>
            </w:r>
          </w:p>
        </w:tc>
        <w:tc>
          <w:tcPr>
            <w:tcW w:w="1616" w:type="dxa"/>
            <w:tcBorders>
              <w:right w:val="single" w:color="000000" w:sz="10" w:space="0"/>
            </w:tcBorders>
            <w:vAlign w:val="top"/>
          </w:tcPr>
          <w:p w14:paraId="76F55920">
            <w:pPr>
              <w:spacing w:before="148" w:line="188" w:lineRule="auto"/>
              <w:ind w:left="6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37.25</w:t>
            </w:r>
          </w:p>
        </w:tc>
      </w:tr>
      <w:tr w14:paraId="62013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147" w:type="dxa"/>
            <w:tcBorders>
              <w:left w:val="single" w:color="000000" w:sz="10" w:space="0"/>
            </w:tcBorders>
            <w:vAlign w:val="top"/>
          </w:tcPr>
          <w:p w14:paraId="5AE501A9">
            <w:pPr>
              <w:spacing w:before="148" w:line="188" w:lineRule="auto"/>
              <w:ind w:left="52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324" w:type="dxa"/>
            <w:gridSpan w:val="2"/>
            <w:vAlign w:val="top"/>
          </w:tcPr>
          <w:p w14:paraId="2688A707">
            <w:pPr>
              <w:spacing w:before="117" w:line="214" w:lineRule="auto"/>
              <w:ind w:left="70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机械使用费</w:t>
            </w:r>
          </w:p>
        </w:tc>
        <w:tc>
          <w:tcPr>
            <w:tcW w:w="1162" w:type="dxa"/>
            <w:vAlign w:val="top"/>
          </w:tcPr>
          <w:p w14:paraId="74939514">
            <w:pPr>
              <w:rPr>
                <w:rFonts w:ascii="Arial"/>
                <w:sz w:val="21"/>
              </w:rPr>
            </w:pPr>
          </w:p>
        </w:tc>
        <w:tc>
          <w:tcPr>
            <w:tcW w:w="1254" w:type="dxa"/>
            <w:vAlign w:val="top"/>
          </w:tcPr>
          <w:p w14:paraId="36169AE2">
            <w:pPr>
              <w:rPr>
                <w:rFonts w:ascii="Arial"/>
                <w:sz w:val="21"/>
              </w:rPr>
            </w:pPr>
          </w:p>
        </w:tc>
        <w:tc>
          <w:tcPr>
            <w:tcW w:w="1590" w:type="dxa"/>
            <w:vAlign w:val="top"/>
          </w:tcPr>
          <w:p w14:paraId="6CB23CFE">
            <w:pPr>
              <w:rPr>
                <w:rFonts w:ascii="Arial"/>
                <w:sz w:val="21"/>
              </w:rPr>
            </w:pPr>
          </w:p>
        </w:tc>
        <w:tc>
          <w:tcPr>
            <w:tcW w:w="1616" w:type="dxa"/>
            <w:tcBorders>
              <w:right w:val="single" w:color="000000" w:sz="10" w:space="0"/>
            </w:tcBorders>
            <w:vAlign w:val="top"/>
          </w:tcPr>
          <w:p w14:paraId="37FB97EC">
            <w:pPr>
              <w:spacing w:before="148" w:line="188" w:lineRule="auto"/>
              <w:ind w:left="5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130.06</w:t>
            </w:r>
          </w:p>
        </w:tc>
      </w:tr>
      <w:tr w14:paraId="7E492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43E31DFF">
            <w:pPr>
              <w:rPr>
                <w:rFonts w:ascii="Arial"/>
                <w:sz w:val="21"/>
              </w:rPr>
            </w:pPr>
          </w:p>
        </w:tc>
        <w:tc>
          <w:tcPr>
            <w:tcW w:w="2324" w:type="dxa"/>
            <w:gridSpan w:val="2"/>
            <w:vAlign w:val="top"/>
          </w:tcPr>
          <w:p w14:paraId="1C8E9095">
            <w:pPr>
              <w:spacing w:before="121" w:line="214" w:lineRule="auto"/>
              <w:ind w:left="659"/>
              <w:rPr>
                <w:rFonts w:ascii="Times New Roman" w:hAnsi="Times New Roman" w:eastAsia="Times New Roman" w:cs="Times New Roman"/>
                <w:sz w:val="11"/>
                <w:szCs w:val="11"/>
              </w:rPr>
            </w:pPr>
            <w:r>
              <w:rPr>
                <w:rFonts w:ascii="FangSong_GB2312" w:hAnsi="FangSong_GB2312" w:eastAsia="FangSong_GB2312" w:cs="FangSong_GB2312"/>
                <w:spacing w:val="-2"/>
                <w:sz w:val="18"/>
                <w:szCs w:val="18"/>
              </w:rPr>
              <w:t>挖掘机</w:t>
            </w:r>
            <w:r>
              <w:rPr>
                <w:rFonts w:ascii="FangSong_GB2312" w:hAnsi="FangSong_GB2312" w:eastAsia="FangSong_GB2312" w:cs="FangSong_GB2312"/>
                <w:spacing w:val="-39"/>
                <w:sz w:val="18"/>
                <w:szCs w:val="18"/>
              </w:rPr>
              <w:t xml:space="preserve"> </w:t>
            </w:r>
            <w:r>
              <w:rPr>
                <w:rFonts w:ascii="Times New Roman" w:hAnsi="Times New Roman" w:eastAsia="Times New Roman" w:cs="Times New Roman"/>
                <w:spacing w:val="-2"/>
                <w:sz w:val="18"/>
                <w:szCs w:val="18"/>
              </w:rPr>
              <w:t>0.5m</w:t>
            </w:r>
            <w:r>
              <w:rPr>
                <w:rFonts w:ascii="Times New Roman" w:hAnsi="Times New Roman" w:eastAsia="Times New Roman" w:cs="Times New Roman"/>
                <w:spacing w:val="-2"/>
                <w:position w:val="5"/>
                <w:sz w:val="11"/>
                <w:szCs w:val="11"/>
              </w:rPr>
              <w:t>3</w:t>
            </w:r>
          </w:p>
        </w:tc>
        <w:tc>
          <w:tcPr>
            <w:tcW w:w="1162" w:type="dxa"/>
            <w:vAlign w:val="top"/>
          </w:tcPr>
          <w:p w14:paraId="5371EC58">
            <w:pPr>
              <w:spacing w:before="121" w:line="215" w:lineRule="auto"/>
              <w:ind w:left="423"/>
              <w:rPr>
                <w:rFonts w:ascii="FangSong_GB2312" w:hAnsi="FangSong_GB2312" w:eastAsia="FangSong_GB2312" w:cs="FangSong_GB2312"/>
                <w:sz w:val="18"/>
                <w:szCs w:val="18"/>
              </w:rPr>
            </w:pPr>
            <w:r>
              <w:rPr>
                <w:rFonts w:ascii="FangSong_GB2312" w:hAnsi="FangSong_GB2312" w:eastAsia="FangSong_GB2312" w:cs="FangSong_GB2312"/>
                <w:spacing w:val="-15"/>
                <w:sz w:val="18"/>
                <w:szCs w:val="18"/>
              </w:rPr>
              <w:t>台时</w:t>
            </w:r>
          </w:p>
        </w:tc>
        <w:tc>
          <w:tcPr>
            <w:tcW w:w="1254" w:type="dxa"/>
            <w:vAlign w:val="top"/>
          </w:tcPr>
          <w:p w14:paraId="3A9DD584">
            <w:pPr>
              <w:spacing w:before="152" w:line="188" w:lineRule="auto"/>
              <w:ind w:left="490"/>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1.51</w:t>
            </w:r>
          </w:p>
        </w:tc>
        <w:tc>
          <w:tcPr>
            <w:tcW w:w="1590" w:type="dxa"/>
            <w:vAlign w:val="top"/>
          </w:tcPr>
          <w:p w14:paraId="7C636464">
            <w:pPr>
              <w:spacing w:before="152" w:line="188" w:lineRule="auto"/>
              <w:ind w:left="60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86.13</w:t>
            </w:r>
          </w:p>
        </w:tc>
        <w:tc>
          <w:tcPr>
            <w:tcW w:w="1616" w:type="dxa"/>
            <w:tcBorders>
              <w:right w:val="single" w:color="000000" w:sz="10" w:space="0"/>
            </w:tcBorders>
            <w:vAlign w:val="top"/>
          </w:tcPr>
          <w:p w14:paraId="79A36D88">
            <w:pPr>
              <w:spacing w:before="152" w:line="188" w:lineRule="auto"/>
              <w:ind w:left="5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130.06</w:t>
            </w:r>
          </w:p>
        </w:tc>
      </w:tr>
      <w:tr w14:paraId="7A873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5C46429C">
            <w:pPr>
              <w:spacing w:before="121" w:line="227" w:lineRule="auto"/>
              <w:ind w:left="2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324" w:type="dxa"/>
            <w:gridSpan w:val="2"/>
            <w:vAlign w:val="top"/>
          </w:tcPr>
          <w:p w14:paraId="7FD45205">
            <w:pPr>
              <w:spacing w:before="121" w:line="214" w:lineRule="auto"/>
              <w:ind w:left="71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其他直接费</w:t>
            </w:r>
          </w:p>
        </w:tc>
        <w:tc>
          <w:tcPr>
            <w:tcW w:w="1162" w:type="dxa"/>
            <w:vAlign w:val="top"/>
          </w:tcPr>
          <w:p w14:paraId="124BB9FA">
            <w:pPr>
              <w:spacing w:before="152"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47169A86">
            <w:pPr>
              <w:spacing w:before="152"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90" w:type="dxa"/>
            <w:vAlign w:val="top"/>
          </w:tcPr>
          <w:p w14:paraId="34B3BCDD">
            <w:pPr>
              <w:spacing w:before="152" w:line="188" w:lineRule="auto"/>
              <w:ind w:left="57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199.21</w:t>
            </w:r>
          </w:p>
        </w:tc>
        <w:tc>
          <w:tcPr>
            <w:tcW w:w="1616" w:type="dxa"/>
            <w:tcBorders>
              <w:right w:val="single" w:color="000000" w:sz="10" w:space="0"/>
            </w:tcBorders>
            <w:vAlign w:val="top"/>
          </w:tcPr>
          <w:p w14:paraId="64547147">
            <w:pPr>
              <w:spacing w:before="152" w:line="188" w:lineRule="auto"/>
              <w:ind w:left="6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3.98</w:t>
            </w:r>
          </w:p>
        </w:tc>
      </w:tr>
      <w:tr w14:paraId="217C9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03120F0B">
            <w:pPr>
              <w:spacing w:before="163" w:line="171" w:lineRule="auto"/>
              <w:ind w:left="484"/>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324" w:type="dxa"/>
            <w:gridSpan w:val="2"/>
            <w:vAlign w:val="top"/>
          </w:tcPr>
          <w:p w14:paraId="3D7174FA">
            <w:pPr>
              <w:spacing w:before="123" w:line="214" w:lineRule="auto"/>
              <w:ind w:left="909"/>
              <w:rPr>
                <w:rFonts w:ascii="FangSong_GB2312" w:hAnsi="FangSong_GB2312" w:eastAsia="FangSong_GB2312" w:cs="FangSong_GB2312"/>
                <w:sz w:val="18"/>
                <w:szCs w:val="18"/>
              </w:rPr>
            </w:pPr>
            <w:r>
              <w:rPr>
                <w:rFonts w:ascii="FangSong_GB2312" w:hAnsi="FangSong_GB2312" w:eastAsia="FangSong_GB2312" w:cs="FangSong_GB2312"/>
                <w:spacing w:val="-9"/>
                <w:sz w:val="18"/>
                <w:szCs w:val="18"/>
              </w:rPr>
              <w:t>间接费</w:t>
            </w:r>
          </w:p>
        </w:tc>
        <w:tc>
          <w:tcPr>
            <w:tcW w:w="1162" w:type="dxa"/>
            <w:vAlign w:val="top"/>
          </w:tcPr>
          <w:p w14:paraId="12F88F40">
            <w:pPr>
              <w:spacing w:before="154"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1D61CA7E">
            <w:pPr>
              <w:spacing w:before="154" w:line="188" w:lineRule="auto"/>
              <w:ind w:left="47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590" w:type="dxa"/>
            <w:vAlign w:val="top"/>
          </w:tcPr>
          <w:p w14:paraId="6444BAA2">
            <w:pPr>
              <w:spacing w:before="154" w:line="188" w:lineRule="auto"/>
              <w:ind w:left="5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203.20</w:t>
            </w:r>
          </w:p>
        </w:tc>
        <w:tc>
          <w:tcPr>
            <w:tcW w:w="1616" w:type="dxa"/>
            <w:tcBorders>
              <w:right w:val="single" w:color="000000" w:sz="10" w:space="0"/>
            </w:tcBorders>
            <w:vAlign w:val="top"/>
          </w:tcPr>
          <w:p w14:paraId="3FE8DDFD">
            <w:pPr>
              <w:spacing w:before="154" w:line="188" w:lineRule="auto"/>
              <w:ind w:left="6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10.16</w:t>
            </w:r>
          </w:p>
        </w:tc>
      </w:tr>
      <w:tr w14:paraId="602A9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592E905D">
            <w:pPr>
              <w:spacing w:before="124" w:line="236" w:lineRule="auto"/>
              <w:ind w:left="487"/>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324" w:type="dxa"/>
            <w:gridSpan w:val="2"/>
            <w:vAlign w:val="top"/>
          </w:tcPr>
          <w:p w14:paraId="7A7DF179">
            <w:pPr>
              <w:spacing w:before="124" w:line="217" w:lineRule="auto"/>
              <w:ind w:left="97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利润</w:t>
            </w:r>
          </w:p>
        </w:tc>
        <w:tc>
          <w:tcPr>
            <w:tcW w:w="1162" w:type="dxa"/>
            <w:vAlign w:val="top"/>
          </w:tcPr>
          <w:p w14:paraId="79FE80CE">
            <w:pPr>
              <w:spacing w:before="154"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0724570B">
            <w:pPr>
              <w:spacing w:before="154" w:line="188" w:lineRule="auto"/>
              <w:ind w:left="47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w:t>
            </w:r>
          </w:p>
        </w:tc>
        <w:tc>
          <w:tcPr>
            <w:tcW w:w="1590" w:type="dxa"/>
            <w:vAlign w:val="top"/>
          </w:tcPr>
          <w:p w14:paraId="48791583">
            <w:pPr>
              <w:spacing w:before="154" w:line="188" w:lineRule="auto"/>
              <w:ind w:left="5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213.36</w:t>
            </w:r>
          </w:p>
        </w:tc>
        <w:tc>
          <w:tcPr>
            <w:tcW w:w="1616" w:type="dxa"/>
            <w:tcBorders>
              <w:right w:val="single" w:color="000000" w:sz="10" w:space="0"/>
            </w:tcBorders>
            <w:vAlign w:val="top"/>
          </w:tcPr>
          <w:p w14:paraId="72B627E4">
            <w:pPr>
              <w:spacing w:before="154" w:line="188" w:lineRule="auto"/>
              <w:ind w:left="62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14.94</w:t>
            </w:r>
          </w:p>
        </w:tc>
      </w:tr>
      <w:tr w14:paraId="2A015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49E2971B">
            <w:pPr>
              <w:spacing w:before="124" w:line="233" w:lineRule="auto"/>
              <w:ind w:left="495"/>
              <w:rPr>
                <w:rFonts w:ascii="FangSong_GB2312" w:hAnsi="FangSong_GB2312" w:eastAsia="FangSong_GB2312" w:cs="FangSong_GB2312"/>
                <w:sz w:val="18"/>
                <w:szCs w:val="18"/>
              </w:rPr>
            </w:pPr>
            <w:r>
              <w:rPr>
                <w:rFonts w:ascii="FangSong_GB2312" w:hAnsi="FangSong_GB2312" w:eastAsia="FangSong_GB2312" w:cs="FangSong_GB2312"/>
                <w:sz w:val="18"/>
                <w:szCs w:val="18"/>
              </w:rPr>
              <w:t>四</w:t>
            </w:r>
          </w:p>
        </w:tc>
        <w:tc>
          <w:tcPr>
            <w:tcW w:w="2324" w:type="dxa"/>
            <w:gridSpan w:val="2"/>
            <w:vAlign w:val="top"/>
          </w:tcPr>
          <w:p w14:paraId="07FB497D">
            <w:pPr>
              <w:spacing w:before="123" w:line="214" w:lineRule="auto"/>
              <w:ind w:left="80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材料补差</w:t>
            </w:r>
          </w:p>
        </w:tc>
        <w:tc>
          <w:tcPr>
            <w:tcW w:w="1162" w:type="dxa"/>
            <w:vAlign w:val="top"/>
          </w:tcPr>
          <w:p w14:paraId="474550E0">
            <w:pPr>
              <w:rPr>
                <w:rFonts w:ascii="Arial"/>
                <w:sz w:val="21"/>
              </w:rPr>
            </w:pPr>
          </w:p>
        </w:tc>
        <w:tc>
          <w:tcPr>
            <w:tcW w:w="1254" w:type="dxa"/>
            <w:vAlign w:val="top"/>
          </w:tcPr>
          <w:p w14:paraId="784524ED">
            <w:pPr>
              <w:rPr>
                <w:rFonts w:ascii="Arial"/>
                <w:sz w:val="21"/>
              </w:rPr>
            </w:pPr>
          </w:p>
        </w:tc>
        <w:tc>
          <w:tcPr>
            <w:tcW w:w="1590" w:type="dxa"/>
            <w:vAlign w:val="top"/>
          </w:tcPr>
          <w:p w14:paraId="743DCEB9">
            <w:pPr>
              <w:rPr>
                <w:rFonts w:ascii="Arial"/>
                <w:sz w:val="21"/>
              </w:rPr>
            </w:pPr>
          </w:p>
        </w:tc>
        <w:tc>
          <w:tcPr>
            <w:tcW w:w="1616" w:type="dxa"/>
            <w:tcBorders>
              <w:right w:val="single" w:color="000000" w:sz="10" w:space="0"/>
            </w:tcBorders>
            <w:vAlign w:val="top"/>
          </w:tcPr>
          <w:p w14:paraId="539B1C0B">
            <w:pPr>
              <w:spacing w:before="154" w:line="188" w:lineRule="auto"/>
              <w:ind w:left="6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76.49</w:t>
            </w:r>
          </w:p>
        </w:tc>
      </w:tr>
      <w:tr w14:paraId="652D4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4DCD81A7">
            <w:pPr>
              <w:rPr>
                <w:rFonts w:ascii="Arial"/>
                <w:sz w:val="21"/>
              </w:rPr>
            </w:pPr>
          </w:p>
        </w:tc>
        <w:tc>
          <w:tcPr>
            <w:tcW w:w="1162" w:type="dxa"/>
            <w:vAlign w:val="top"/>
          </w:tcPr>
          <w:p w14:paraId="58D8129C">
            <w:pPr>
              <w:spacing w:before="126" w:line="214" w:lineRule="auto"/>
              <w:ind w:left="39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机械</w:t>
            </w:r>
          </w:p>
        </w:tc>
        <w:tc>
          <w:tcPr>
            <w:tcW w:w="1162" w:type="dxa"/>
            <w:vAlign w:val="top"/>
          </w:tcPr>
          <w:p w14:paraId="085E24A1">
            <w:pPr>
              <w:spacing w:before="126" w:line="214" w:lineRule="auto"/>
              <w:ind w:left="40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柴油</w:t>
            </w:r>
          </w:p>
        </w:tc>
        <w:tc>
          <w:tcPr>
            <w:tcW w:w="1162" w:type="dxa"/>
            <w:vAlign w:val="top"/>
          </w:tcPr>
          <w:p w14:paraId="3B3AF377">
            <w:pPr>
              <w:spacing w:before="153" w:line="192" w:lineRule="auto"/>
              <w:ind w:left="48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54" w:type="dxa"/>
            <w:vAlign w:val="top"/>
          </w:tcPr>
          <w:p w14:paraId="0514E5D1">
            <w:pPr>
              <w:spacing w:before="157" w:line="188" w:lineRule="auto"/>
              <w:ind w:left="44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14.50</w:t>
            </w:r>
          </w:p>
        </w:tc>
        <w:tc>
          <w:tcPr>
            <w:tcW w:w="1590" w:type="dxa"/>
            <w:vAlign w:val="top"/>
          </w:tcPr>
          <w:p w14:paraId="0B2F07DE">
            <w:pPr>
              <w:spacing w:before="157"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5.28</w:t>
            </w:r>
          </w:p>
        </w:tc>
        <w:tc>
          <w:tcPr>
            <w:tcW w:w="1616" w:type="dxa"/>
            <w:tcBorders>
              <w:right w:val="single" w:color="000000" w:sz="10" w:space="0"/>
            </w:tcBorders>
            <w:vAlign w:val="top"/>
          </w:tcPr>
          <w:p w14:paraId="7D31FAB3">
            <w:pPr>
              <w:spacing w:before="157" w:line="188" w:lineRule="auto"/>
              <w:ind w:left="61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76.49</w:t>
            </w:r>
          </w:p>
        </w:tc>
      </w:tr>
      <w:tr w14:paraId="4044D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147" w:type="dxa"/>
            <w:tcBorders>
              <w:left w:val="single" w:color="000000" w:sz="10" w:space="0"/>
            </w:tcBorders>
            <w:vAlign w:val="top"/>
          </w:tcPr>
          <w:p w14:paraId="7AFA4284">
            <w:pPr>
              <w:spacing w:before="153" w:line="184" w:lineRule="auto"/>
              <w:ind w:left="480"/>
              <w:rPr>
                <w:rFonts w:ascii="FangSong_GB2312" w:hAnsi="FangSong_GB2312" w:eastAsia="FangSong_GB2312" w:cs="FangSong_GB2312"/>
                <w:sz w:val="18"/>
                <w:szCs w:val="18"/>
              </w:rPr>
            </w:pPr>
            <w:r>
              <w:rPr>
                <w:rFonts w:ascii="FangSong_GB2312" w:hAnsi="FangSong_GB2312" w:eastAsia="FangSong_GB2312" w:cs="FangSong_GB2312"/>
                <w:sz w:val="18"/>
                <w:szCs w:val="18"/>
              </w:rPr>
              <w:t>五</w:t>
            </w:r>
          </w:p>
        </w:tc>
        <w:tc>
          <w:tcPr>
            <w:tcW w:w="2324" w:type="dxa"/>
            <w:gridSpan w:val="2"/>
            <w:vAlign w:val="top"/>
          </w:tcPr>
          <w:p w14:paraId="5A289853">
            <w:pPr>
              <w:spacing w:before="126" w:line="219" w:lineRule="auto"/>
              <w:ind w:left="97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税金</w:t>
            </w:r>
          </w:p>
        </w:tc>
        <w:tc>
          <w:tcPr>
            <w:tcW w:w="1162" w:type="dxa"/>
            <w:vAlign w:val="top"/>
          </w:tcPr>
          <w:p w14:paraId="3A5EACE6">
            <w:pPr>
              <w:spacing w:before="156" w:line="188" w:lineRule="auto"/>
              <w:ind w:left="5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54" w:type="dxa"/>
            <w:vAlign w:val="top"/>
          </w:tcPr>
          <w:p w14:paraId="12F774A0">
            <w:pPr>
              <w:spacing w:before="157" w:line="188" w:lineRule="auto"/>
              <w:ind w:left="4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c>
          <w:tcPr>
            <w:tcW w:w="1590" w:type="dxa"/>
            <w:vAlign w:val="top"/>
          </w:tcPr>
          <w:p w14:paraId="0F0C97D7">
            <w:pPr>
              <w:spacing w:before="157" w:line="188" w:lineRule="auto"/>
              <w:ind w:left="55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304.78</w:t>
            </w:r>
          </w:p>
        </w:tc>
        <w:tc>
          <w:tcPr>
            <w:tcW w:w="1616" w:type="dxa"/>
            <w:tcBorders>
              <w:right w:val="single" w:color="000000" w:sz="10" w:space="0"/>
            </w:tcBorders>
            <w:vAlign w:val="top"/>
          </w:tcPr>
          <w:p w14:paraId="7C65E46B">
            <w:pPr>
              <w:spacing w:before="157" w:line="188" w:lineRule="auto"/>
              <w:ind w:left="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27.43</w:t>
            </w:r>
          </w:p>
        </w:tc>
      </w:tr>
      <w:tr w14:paraId="3D601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147" w:type="dxa"/>
            <w:tcBorders>
              <w:left w:val="single" w:color="000000" w:sz="10" w:space="0"/>
              <w:bottom w:val="single" w:color="000000" w:sz="10" w:space="0"/>
            </w:tcBorders>
            <w:vAlign w:val="top"/>
          </w:tcPr>
          <w:p w14:paraId="0233FC9D">
            <w:pPr>
              <w:spacing w:before="128" w:line="214" w:lineRule="auto"/>
              <w:ind w:left="38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概算</w:t>
            </w:r>
          </w:p>
        </w:tc>
        <w:tc>
          <w:tcPr>
            <w:tcW w:w="2324" w:type="dxa"/>
            <w:gridSpan w:val="2"/>
            <w:tcBorders>
              <w:bottom w:val="single" w:color="000000" w:sz="10" w:space="0"/>
            </w:tcBorders>
            <w:vAlign w:val="top"/>
          </w:tcPr>
          <w:p w14:paraId="74431161">
            <w:pPr>
              <w:spacing w:before="128" w:line="216" w:lineRule="auto"/>
              <w:ind w:left="98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162" w:type="dxa"/>
            <w:tcBorders>
              <w:bottom w:val="single" w:color="000000" w:sz="10" w:space="0"/>
            </w:tcBorders>
            <w:vAlign w:val="top"/>
          </w:tcPr>
          <w:p w14:paraId="69166094">
            <w:pPr>
              <w:rPr>
                <w:rFonts w:ascii="Arial"/>
                <w:sz w:val="21"/>
              </w:rPr>
            </w:pPr>
          </w:p>
        </w:tc>
        <w:tc>
          <w:tcPr>
            <w:tcW w:w="1254" w:type="dxa"/>
            <w:tcBorders>
              <w:bottom w:val="single" w:color="000000" w:sz="10" w:space="0"/>
            </w:tcBorders>
            <w:vAlign w:val="top"/>
          </w:tcPr>
          <w:p w14:paraId="6700BA76">
            <w:pPr>
              <w:rPr>
                <w:rFonts w:ascii="Arial"/>
                <w:sz w:val="21"/>
              </w:rPr>
            </w:pPr>
          </w:p>
        </w:tc>
        <w:tc>
          <w:tcPr>
            <w:tcW w:w="1590" w:type="dxa"/>
            <w:tcBorders>
              <w:bottom w:val="single" w:color="000000" w:sz="10" w:space="0"/>
            </w:tcBorders>
            <w:vAlign w:val="top"/>
          </w:tcPr>
          <w:p w14:paraId="074E03D3">
            <w:pPr>
              <w:rPr>
                <w:rFonts w:ascii="Arial"/>
                <w:sz w:val="21"/>
              </w:rPr>
            </w:pPr>
          </w:p>
        </w:tc>
        <w:tc>
          <w:tcPr>
            <w:tcW w:w="1616" w:type="dxa"/>
            <w:tcBorders>
              <w:bottom w:val="single" w:color="000000" w:sz="10" w:space="0"/>
              <w:right w:val="single" w:color="000000" w:sz="10" w:space="0"/>
            </w:tcBorders>
            <w:vAlign w:val="top"/>
          </w:tcPr>
          <w:p w14:paraId="541786F6">
            <w:pPr>
              <w:spacing w:before="159" w:line="188" w:lineRule="auto"/>
              <w:ind w:left="56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332.21</w:t>
            </w:r>
          </w:p>
        </w:tc>
      </w:tr>
    </w:tbl>
    <w:p w14:paraId="3AF2BAA1">
      <w:pPr>
        <w:spacing w:before="121"/>
      </w:pPr>
    </w:p>
    <w:tbl>
      <w:tblPr>
        <w:tblStyle w:val="6"/>
        <w:tblW w:w="878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2523"/>
        <w:gridCol w:w="951"/>
        <w:gridCol w:w="1174"/>
        <w:gridCol w:w="1511"/>
        <w:gridCol w:w="1534"/>
      </w:tblGrid>
      <w:tr w14:paraId="07863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91" w:type="dxa"/>
            <w:tcBorders>
              <w:top w:val="single" w:color="000000" w:sz="10" w:space="0"/>
              <w:left w:val="single" w:color="000000" w:sz="10" w:space="0"/>
            </w:tcBorders>
            <w:vAlign w:val="top"/>
          </w:tcPr>
          <w:p w14:paraId="18EB6343">
            <w:pPr>
              <w:spacing w:before="70" w:line="216" w:lineRule="auto"/>
              <w:ind w:left="18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工程名称</w:t>
            </w:r>
          </w:p>
        </w:tc>
        <w:tc>
          <w:tcPr>
            <w:tcW w:w="4648" w:type="dxa"/>
            <w:gridSpan w:val="3"/>
            <w:tcBorders>
              <w:top w:val="single" w:color="000000" w:sz="10" w:space="0"/>
            </w:tcBorders>
            <w:vAlign w:val="top"/>
          </w:tcPr>
          <w:p w14:paraId="15E9581B">
            <w:pPr>
              <w:spacing w:before="70" w:line="214" w:lineRule="auto"/>
              <w:ind w:left="611"/>
              <w:rPr>
                <w:rFonts w:ascii="Times New Roman" w:hAnsi="Times New Roman" w:eastAsia="Times New Roman" w:cs="Times New Roman"/>
                <w:sz w:val="18"/>
                <w:szCs w:val="18"/>
              </w:rPr>
            </w:pPr>
            <w:r>
              <w:rPr>
                <w:rFonts w:ascii="FangSong_GB2312" w:hAnsi="FangSong_GB2312" w:eastAsia="FangSong_GB2312" w:cs="FangSong_GB2312"/>
                <w:spacing w:val="-1"/>
                <w:sz w:val="18"/>
                <w:szCs w:val="18"/>
              </w:rPr>
              <w:t>人工栽植灌木</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土球直径</w:t>
            </w:r>
            <w:r>
              <w:rPr>
                <w:rFonts w:ascii="FangSong_GB2312" w:hAnsi="FangSong_GB2312" w:eastAsia="FangSong_GB2312" w:cs="FangSong_GB2312"/>
                <w:spacing w:val="-36"/>
                <w:sz w:val="18"/>
                <w:szCs w:val="18"/>
              </w:rPr>
              <w:t xml:space="preserve"> </w:t>
            </w:r>
            <w:r>
              <w:rPr>
                <w:rFonts w:ascii="Times New Roman" w:hAnsi="Times New Roman" w:eastAsia="Times New Roman" w:cs="Times New Roman"/>
                <w:spacing w:val="-1"/>
                <w:sz w:val="18"/>
                <w:szCs w:val="18"/>
              </w:rPr>
              <w:t>40cm/</w:t>
            </w:r>
            <w:r>
              <w:rPr>
                <w:rFonts w:ascii="FangSong_GB2312" w:hAnsi="FangSong_GB2312" w:eastAsia="FangSong_GB2312" w:cs="FangSong_GB2312"/>
                <w:spacing w:val="-1"/>
                <w:sz w:val="18"/>
                <w:szCs w:val="18"/>
              </w:rPr>
              <w:t>挖坑</w:t>
            </w:r>
            <w:r>
              <w:rPr>
                <w:rFonts w:ascii="FangSong_GB2312" w:hAnsi="FangSong_GB2312" w:eastAsia="FangSong_GB2312" w:cs="FangSong_GB2312"/>
                <w:spacing w:val="-39"/>
                <w:sz w:val="18"/>
                <w:szCs w:val="18"/>
              </w:rPr>
              <w:t xml:space="preserve"> </w:t>
            </w:r>
            <w:r>
              <w:rPr>
                <w:rFonts w:ascii="Times New Roman" w:hAnsi="Times New Roman" w:eastAsia="Times New Roman" w:cs="Times New Roman"/>
                <w:spacing w:val="-1"/>
                <w:sz w:val="18"/>
                <w:szCs w:val="18"/>
              </w:rPr>
              <w:t>60×50cm</w:t>
            </w:r>
          </w:p>
        </w:tc>
        <w:tc>
          <w:tcPr>
            <w:tcW w:w="1511" w:type="dxa"/>
            <w:tcBorders>
              <w:top w:val="single" w:color="000000" w:sz="10" w:space="0"/>
            </w:tcBorders>
            <w:vAlign w:val="top"/>
          </w:tcPr>
          <w:p w14:paraId="507CB938">
            <w:pPr>
              <w:spacing w:before="71" w:line="214" w:lineRule="auto"/>
              <w:ind w:left="41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单价编号</w:t>
            </w:r>
          </w:p>
        </w:tc>
        <w:tc>
          <w:tcPr>
            <w:tcW w:w="1534" w:type="dxa"/>
            <w:tcBorders>
              <w:top w:val="single" w:color="000000" w:sz="10" w:space="0"/>
              <w:right w:val="single" w:color="000000" w:sz="10" w:space="0"/>
            </w:tcBorders>
            <w:vAlign w:val="top"/>
          </w:tcPr>
          <w:p w14:paraId="0CD526A1">
            <w:pPr>
              <w:spacing w:before="99" w:line="188" w:lineRule="auto"/>
              <w:ind w:left="72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r>
      <w:tr w14:paraId="449CD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67A271F9">
            <w:pPr>
              <w:spacing w:before="68" w:line="214" w:lineRule="auto"/>
              <w:ind w:left="17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定额编号</w:t>
            </w:r>
          </w:p>
        </w:tc>
        <w:tc>
          <w:tcPr>
            <w:tcW w:w="4648" w:type="dxa"/>
            <w:gridSpan w:val="3"/>
            <w:vAlign w:val="top"/>
          </w:tcPr>
          <w:p w14:paraId="36E73C2A">
            <w:pPr>
              <w:spacing w:before="98" w:line="188" w:lineRule="auto"/>
              <w:ind w:left="210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08133</w:t>
            </w:r>
          </w:p>
        </w:tc>
        <w:tc>
          <w:tcPr>
            <w:tcW w:w="1511" w:type="dxa"/>
            <w:vAlign w:val="top"/>
          </w:tcPr>
          <w:p w14:paraId="5CFC792C">
            <w:pPr>
              <w:spacing w:before="67" w:line="214" w:lineRule="auto"/>
              <w:ind w:left="40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定额单位</w:t>
            </w:r>
          </w:p>
        </w:tc>
        <w:tc>
          <w:tcPr>
            <w:tcW w:w="1534" w:type="dxa"/>
            <w:tcBorders>
              <w:right w:val="single" w:color="000000" w:sz="10" w:space="0"/>
            </w:tcBorders>
            <w:vAlign w:val="top"/>
          </w:tcPr>
          <w:p w14:paraId="479569FC">
            <w:pPr>
              <w:spacing w:before="67" w:line="214" w:lineRule="auto"/>
              <w:ind w:left="542"/>
              <w:rPr>
                <w:rFonts w:ascii="FangSong_GB2312" w:hAnsi="FangSong_GB2312" w:eastAsia="FangSong_GB2312" w:cs="FangSong_GB2312"/>
                <w:sz w:val="18"/>
                <w:szCs w:val="18"/>
              </w:rPr>
            </w:pP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FangSong_GB2312" w:hAnsi="FangSong_GB2312" w:eastAsia="FangSong_GB2312" w:cs="FangSong_GB2312"/>
                <w:spacing w:val="-6"/>
                <w:sz w:val="18"/>
                <w:szCs w:val="18"/>
              </w:rPr>
              <w:t>株</w:t>
            </w:r>
          </w:p>
        </w:tc>
      </w:tr>
      <w:tr w14:paraId="5829D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91" w:type="dxa"/>
            <w:tcBorders>
              <w:left w:val="single" w:color="000000" w:sz="10" w:space="0"/>
              <w:right w:val="nil"/>
            </w:tcBorders>
            <w:vAlign w:val="top"/>
          </w:tcPr>
          <w:p w14:paraId="48782983">
            <w:pPr>
              <w:rPr>
                <w:rFonts w:ascii="Arial"/>
                <w:sz w:val="21"/>
              </w:rPr>
            </w:pPr>
          </w:p>
        </w:tc>
        <w:tc>
          <w:tcPr>
            <w:tcW w:w="4648" w:type="dxa"/>
            <w:gridSpan w:val="3"/>
            <w:tcBorders>
              <w:left w:val="nil"/>
              <w:right w:val="nil"/>
            </w:tcBorders>
            <w:vAlign w:val="top"/>
          </w:tcPr>
          <w:p w14:paraId="47AB73F6">
            <w:pPr>
              <w:spacing w:before="68" w:line="214" w:lineRule="auto"/>
              <w:jc w:val="right"/>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工作内容</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挖坑、栽植、吊装、浇水、覆土保墒、</w:t>
            </w:r>
          </w:p>
        </w:tc>
        <w:tc>
          <w:tcPr>
            <w:tcW w:w="1511" w:type="dxa"/>
            <w:tcBorders>
              <w:left w:val="nil"/>
              <w:right w:val="nil"/>
            </w:tcBorders>
            <w:vAlign w:val="top"/>
          </w:tcPr>
          <w:p w14:paraId="0FFF1824">
            <w:pPr>
              <w:spacing w:before="68" w:line="216" w:lineRule="auto"/>
              <w:ind w:left="3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整形、清理。</w:t>
            </w:r>
          </w:p>
        </w:tc>
        <w:tc>
          <w:tcPr>
            <w:tcW w:w="1534" w:type="dxa"/>
            <w:tcBorders>
              <w:left w:val="nil"/>
              <w:right w:val="single" w:color="000000" w:sz="10" w:space="0"/>
            </w:tcBorders>
            <w:vAlign w:val="top"/>
          </w:tcPr>
          <w:p w14:paraId="56183D16">
            <w:pPr>
              <w:rPr>
                <w:rFonts w:ascii="Arial"/>
                <w:sz w:val="21"/>
              </w:rPr>
            </w:pPr>
          </w:p>
        </w:tc>
      </w:tr>
      <w:tr w14:paraId="50E33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right w:val="nil"/>
            </w:tcBorders>
            <w:vAlign w:val="top"/>
          </w:tcPr>
          <w:p w14:paraId="1D457B48">
            <w:pPr>
              <w:rPr>
                <w:rFonts w:ascii="Arial"/>
                <w:sz w:val="21"/>
              </w:rPr>
            </w:pPr>
          </w:p>
        </w:tc>
        <w:tc>
          <w:tcPr>
            <w:tcW w:w="4648" w:type="dxa"/>
            <w:gridSpan w:val="3"/>
            <w:tcBorders>
              <w:left w:val="nil"/>
              <w:right w:val="nil"/>
            </w:tcBorders>
            <w:vAlign w:val="top"/>
          </w:tcPr>
          <w:p w14:paraId="08975C32">
            <w:pPr>
              <w:spacing w:before="70" w:line="211" w:lineRule="auto"/>
              <w:ind w:left="47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注</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已完成穴状整地工序的</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人工工时乘以</w:t>
            </w:r>
            <w:r>
              <w:rPr>
                <w:rFonts w:ascii="FangSong_GB2312" w:hAnsi="FangSong_GB2312" w:eastAsia="FangSong_GB2312" w:cs="FangSong_GB2312"/>
                <w:spacing w:val="-30"/>
                <w:sz w:val="18"/>
                <w:szCs w:val="18"/>
              </w:rPr>
              <w:t xml:space="preserve"> </w:t>
            </w:r>
            <w:r>
              <w:rPr>
                <w:rFonts w:ascii="Times New Roman" w:hAnsi="Times New Roman" w:eastAsia="Times New Roman" w:cs="Times New Roman"/>
                <w:spacing w:val="-1"/>
                <w:sz w:val="18"/>
                <w:szCs w:val="18"/>
              </w:rPr>
              <w:t xml:space="preserve">0.25  </w:t>
            </w:r>
            <w:r>
              <w:rPr>
                <w:rFonts w:ascii="FangSong_GB2312" w:hAnsi="FangSong_GB2312" w:eastAsia="FangSong_GB2312" w:cs="FangSong_GB2312"/>
                <w:spacing w:val="-1"/>
                <w:sz w:val="18"/>
                <w:szCs w:val="18"/>
              </w:rPr>
              <w:t>系数。</w:t>
            </w:r>
          </w:p>
        </w:tc>
        <w:tc>
          <w:tcPr>
            <w:tcW w:w="1511" w:type="dxa"/>
            <w:tcBorders>
              <w:left w:val="nil"/>
            </w:tcBorders>
            <w:vAlign w:val="top"/>
          </w:tcPr>
          <w:p w14:paraId="56D01C2F">
            <w:pPr>
              <w:rPr>
                <w:rFonts w:ascii="Arial"/>
                <w:sz w:val="21"/>
              </w:rPr>
            </w:pPr>
          </w:p>
        </w:tc>
        <w:tc>
          <w:tcPr>
            <w:tcW w:w="1534" w:type="dxa"/>
            <w:tcBorders>
              <w:right w:val="single" w:color="000000" w:sz="10" w:space="0"/>
            </w:tcBorders>
            <w:vAlign w:val="top"/>
          </w:tcPr>
          <w:p w14:paraId="6A0894D7">
            <w:pPr>
              <w:spacing w:before="69" w:line="216" w:lineRule="auto"/>
              <w:ind w:left="41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不含整地</w:t>
            </w:r>
          </w:p>
        </w:tc>
      </w:tr>
      <w:tr w14:paraId="1CF44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91" w:type="dxa"/>
            <w:tcBorders>
              <w:left w:val="single" w:color="000000" w:sz="10" w:space="0"/>
            </w:tcBorders>
            <w:vAlign w:val="top"/>
          </w:tcPr>
          <w:p w14:paraId="69D2A432">
            <w:pPr>
              <w:spacing w:before="72" w:line="216" w:lineRule="auto"/>
              <w:ind w:left="355"/>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523" w:type="dxa"/>
            <w:vAlign w:val="top"/>
          </w:tcPr>
          <w:p w14:paraId="2F1B546E">
            <w:pPr>
              <w:spacing w:before="72" w:line="214" w:lineRule="auto"/>
              <w:ind w:left="80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名称及规格</w:t>
            </w:r>
          </w:p>
        </w:tc>
        <w:tc>
          <w:tcPr>
            <w:tcW w:w="951" w:type="dxa"/>
            <w:vAlign w:val="top"/>
          </w:tcPr>
          <w:p w14:paraId="600B78A9">
            <w:pPr>
              <w:spacing w:before="72" w:line="214" w:lineRule="auto"/>
              <w:ind w:left="30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174" w:type="dxa"/>
            <w:vAlign w:val="top"/>
          </w:tcPr>
          <w:p w14:paraId="4AF56FA9">
            <w:pPr>
              <w:spacing w:before="73" w:line="217" w:lineRule="auto"/>
              <w:ind w:left="41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511" w:type="dxa"/>
            <w:vAlign w:val="top"/>
          </w:tcPr>
          <w:p w14:paraId="07FD1F7F">
            <w:pPr>
              <w:spacing w:before="72" w:line="216" w:lineRule="auto"/>
              <w:ind w:left="32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单价（元）</w:t>
            </w:r>
          </w:p>
        </w:tc>
        <w:tc>
          <w:tcPr>
            <w:tcW w:w="1534" w:type="dxa"/>
            <w:tcBorders>
              <w:right w:val="single" w:color="000000" w:sz="10" w:space="0"/>
            </w:tcBorders>
            <w:vAlign w:val="top"/>
          </w:tcPr>
          <w:p w14:paraId="4C43FD0A">
            <w:pPr>
              <w:spacing w:before="72" w:line="216" w:lineRule="auto"/>
              <w:ind w:left="32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合计（元）</w:t>
            </w:r>
          </w:p>
        </w:tc>
      </w:tr>
      <w:tr w14:paraId="451E5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91" w:type="dxa"/>
            <w:tcBorders>
              <w:left w:val="single" w:color="000000" w:sz="10" w:space="0"/>
            </w:tcBorders>
            <w:vAlign w:val="top"/>
          </w:tcPr>
          <w:p w14:paraId="721CC82F">
            <w:pPr>
              <w:spacing w:before="150" w:line="130" w:lineRule="exact"/>
              <w:ind w:left="456"/>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523" w:type="dxa"/>
            <w:vAlign w:val="top"/>
          </w:tcPr>
          <w:p w14:paraId="066745C6">
            <w:pPr>
              <w:spacing w:before="74" w:line="214" w:lineRule="auto"/>
              <w:ind w:left="99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直接费</w:t>
            </w:r>
          </w:p>
        </w:tc>
        <w:tc>
          <w:tcPr>
            <w:tcW w:w="951" w:type="dxa"/>
            <w:vAlign w:val="top"/>
          </w:tcPr>
          <w:p w14:paraId="0E9202F7">
            <w:pPr>
              <w:rPr>
                <w:rFonts w:ascii="Arial"/>
                <w:sz w:val="21"/>
              </w:rPr>
            </w:pPr>
          </w:p>
        </w:tc>
        <w:tc>
          <w:tcPr>
            <w:tcW w:w="1174" w:type="dxa"/>
            <w:vAlign w:val="top"/>
          </w:tcPr>
          <w:p w14:paraId="513FD600">
            <w:pPr>
              <w:rPr>
                <w:rFonts w:ascii="Arial"/>
                <w:sz w:val="21"/>
              </w:rPr>
            </w:pPr>
          </w:p>
        </w:tc>
        <w:tc>
          <w:tcPr>
            <w:tcW w:w="1511" w:type="dxa"/>
            <w:vAlign w:val="top"/>
          </w:tcPr>
          <w:p w14:paraId="34A3AFA2">
            <w:pPr>
              <w:rPr>
                <w:rFonts w:ascii="Arial"/>
                <w:sz w:val="21"/>
              </w:rPr>
            </w:pPr>
          </w:p>
        </w:tc>
        <w:tc>
          <w:tcPr>
            <w:tcW w:w="1534" w:type="dxa"/>
            <w:tcBorders>
              <w:right w:val="single" w:color="000000" w:sz="10" w:space="0"/>
            </w:tcBorders>
            <w:vAlign w:val="top"/>
          </w:tcPr>
          <w:p w14:paraId="016C60C3">
            <w:pPr>
              <w:spacing w:before="102" w:line="188" w:lineRule="auto"/>
              <w:ind w:left="52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993.27</w:t>
            </w:r>
          </w:p>
        </w:tc>
      </w:tr>
      <w:tr w14:paraId="78EC3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383EF726">
            <w:pPr>
              <w:spacing w:before="76" w:line="227" w:lineRule="auto"/>
              <w:ind w:left="26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523" w:type="dxa"/>
            <w:vAlign w:val="top"/>
          </w:tcPr>
          <w:p w14:paraId="3730ED83">
            <w:pPr>
              <w:spacing w:before="75" w:line="214" w:lineRule="auto"/>
              <w:ind w:left="80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基本直接费</w:t>
            </w:r>
          </w:p>
        </w:tc>
        <w:tc>
          <w:tcPr>
            <w:tcW w:w="951" w:type="dxa"/>
            <w:vAlign w:val="top"/>
          </w:tcPr>
          <w:p w14:paraId="3A4BA886">
            <w:pPr>
              <w:rPr>
                <w:rFonts w:ascii="Arial"/>
                <w:sz w:val="21"/>
              </w:rPr>
            </w:pPr>
          </w:p>
        </w:tc>
        <w:tc>
          <w:tcPr>
            <w:tcW w:w="1174" w:type="dxa"/>
            <w:vAlign w:val="top"/>
          </w:tcPr>
          <w:p w14:paraId="18E30126">
            <w:pPr>
              <w:rPr>
                <w:rFonts w:ascii="Arial"/>
                <w:sz w:val="21"/>
              </w:rPr>
            </w:pPr>
          </w:p>
        </w:tc>
        <w:tc>
          <w:tcPr>
            <w:tcW w:w="1511" w:type="dxa"/>
            <w:vAlign w:val="top"/>
          </w:tcPr>
          <w:p w14:paraId="7BFFC575">
            <w:pPr>
              <w:rPr>
                <w:rFonts w:ascii="Arial"/>
                <w:sz w:val="21"/>
              </w:rPr>
            </w:pPr>
          </w:p>
        </w:tc>
        <w:tc>
          <w:tcPr>
            <w:tcW w:w="1534" w:type="dxa"/>
            <w:tcBorders>
              <w:right w:val="single" w:color="000000" w:sz="10" w:space="0"/>
            </w:tcBorders>
            <w:vAlign w:val="top"/>
          </w:tcPr>
          <w:p w14:paraId="72A99EE9">
            <w:pPr>
              <w:spacing w:before="104" w:line="188" w:lineRule="auto"/>
              <w:ind w:left="52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983.44</w:t>
            </w:r>
          </w:p>
        </w:tc>
      </w:tr>
      <w:tr w14:paraId="6C741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91" w:type="dxa"/>
            <w:tcBorders>
              <w:left w:val="single" w:color="000000" w:sz="10" w:space="0"/>
            </w:tcBorders>
            <w:vAlign w:val="top"/>
          </w:tcPr>
          <w:p w14:paraId="1CB1DDFD">
            <w:pPr>
              <w:spacing w:before="107" w:line="188" w:lineRule="auto"/>
              <w:ind w:left="50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523" w:type="dxa"/>
            <w:vAlign w:val="top"/>
          </w:tcPr>
          <w:p w14:paraId="449A00B7">
            <w:pPr>
              <w:spacing w:before="76" w:line="214" w:lineRule="auto"/>
              <w:ind w:left="99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人工费</w:t>
            </w:r>
          </w:p>
        </w:tc>
        <w:tc>
          <w:tcPr>
            <w:tcW w:w="951" w:type="dxa"/>
            <w:vAlign w:val="top"/>
          </w:tcPr>
          <w:p w14:paraId="204640EE">
            <w:pPr>
              <w:spacing w:before="76" w:line="215" w:lineRule="auto"/>
              <w:ind w:left="304"/>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工时</w:t>
            </w:r>
          </w:p>
        </w:tc>
        <w:tc>
          <w:tcPr>
            <w:tcW w:w="1174" w:type="dxa"/>
            <w:vAlign w:val="top"/>
          </w:tcPr>
          <w:p w14:paraId="78AF9261">
            <w:pPr>
              <w:spacing w:before="107" w:line="188" w:lineRule="auto"/>
              <w:ind w:left="39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70.20</w:t>
            </w:r>
          </w:p>
        </w:tc>
        <w:tc>
          <w:tcPr>
            <w:tcW w:w="1511" w:type="dxa"/>
            <w:vAlign w:val="top"/>
          </w:tcPr>
          <w:p w14:paraId="75BA5456">
            <w:pPr>
              <w:spacing w:before="107" w:line="188" w:lineRule="auto"/>
              <w:ind w:left="6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6.38</w:t>
            </w:r>
          </w:p>
        </w:tc>
        <w:tc>
          <w:tcPr>
            <w:tcW w:w="1534" w:type="dxa"/>
            <w:tcBorders>
              <w:right w:val="single" w:color="000000" w:sz="10" w:space="0"/>
            </w:tcBorders>
            <w:vAlign w:val="top"/>
          </w:tcPr>
          <w:p w14:paraId="77D1AADC">
            <w:pPr>
              <w:spacing w:before="107" w:line="188" w:lineRule="auto"/>
              <w:ind w:left="52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447.88</w:t>
            </w:r>
          </w:p>
        </w:tc>
      </w:tr>
      <w:tr w14:paraId="21AF6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75D0B854">
            <w:pPr>
              <w:spacing w:before="109" w:line="188" w:lineRule="auto"/>
              <w:ind w:left="48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523" w:type="dxa"/>
            <w:vAlign w:val="top"/>
          </w:tcPr>
          <w:p w14:paraId="73EC24E3">
            <w:pPr>
              <w:spacing w:before="78" w:line="214" w:lineRule="auto"/>
              <w:ind w:left="99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材料费</w:t>
            </w:r>
          </w:p>
        </w:tc>
        <w:tc>
          <w:tcPr>
            <w:tcW w:w="951" w:type="dxa"/>
            <w:vAlign w:val="top"/>
          </w:tcPr>
          <w:p w14:paraId="540B0571">
            <w:pPr>
              <w:rPr>
                <w:rFonts w:ascii="Arial"/>
                <w:sz w:val="21"/>
              </w:rPr>
            </w:pPr>
          </w:p>
        </w:tc>
        <w:tc>
          <w:tcPr>
            <w:tcW w:w="1174" w:type="dxa"/>
            <w:vAlign w:val="top"/>
          </w:tcPr>
          <w:p w14:paraId="4A6F0CFB">
            <w:pPr>
              <w:rPr>
                <w:rFonts w:ascii="Arial"/>
                <w:sz w:val="21"/>
              </w:rPr>
            </w:pPr>
          </w:p>
        </w:tc>
        <w:tc>
          <w:tcPr>
            <w:tcW w:w="1511" w:type="dxa"/>
            <w:vAlign w:val="top"/>
          </w:tcPr>
          <w:p w14:paraId="6AD8DCCB">
            <w:pPr>
              <w:rPr>
                <w:rFonts w:ascii="Arial"/>
                <w:sz w:val="21"/>
              </w:rPr>
            </w:pPr>
          </w:p>
        </w:tc>
        <w:tc>
          <w:tcPr>
            <w:tcW w:w="1534" w:type="dxa"/>
            <w:tcBorders>
              <w:right w:val="single" w:color="000000" w:sz="10" w:space="0"/>
            </w:tcBorders>
            <w:vAlign w:val="top"/>
          </w:tcPr>
          <w:p w14:paraId="4E4127F6">
            <w:pPr>
              <w:spacing w:before="109"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535.56</w:t>
            </w:r>
          </w:p>
        </w:tc>
      </w:tr>
      <w:tr w14:paraId="6ED69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91" w:type="dxa"/>
            <w:tcBorders>
              <w:left w:val="single" w:color="000000" w:sz="10" w:space="0"/>
            </w:tcBorders>
            <w:vAlign w:val="top"/>
          </w:tcPr>
          <w:p w14:paraId="65710587">
            <w:pPr>
              <w:rPr>
                <w:rFonts w:ascii="Arial"/>
                <w:sz w:val="21"/>
              </w:rPr>
            </w:pPr>
          </w:p>
        </w:tc>
        <w:tc>
          <w:tcPr>
            <w:tcW w:w="2523" w:type="dxa"/>
            <w:vAlign w:val="top"/>
          </w:tcPr>
          <w:p w14:paraId="5A776732">
            <w:pPr>
              <w:spacing w:before="78" w:line="214" w:lineRule="auto"/>
              <w:ind w:left="6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红花继木</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带土球</w:t>
            </w:r>
          </w:p>
        </w:tc>
        <w:tc>
          <w:tcPr>
            <w:tcW w:w="951" w:type="dxa"/>
            <w:vAlign w:val="top"/>
          </w:tcPr>
          <w:p w14:paraId="58DC6B35">
            <w:pPr>
              <w:spacing w:before="78" w:line="214" w:lineRule="auto"/>
              <w:ind w:left="385"/>
              <w:rPr>
                <w:rFonts w:ascii="FangSong_GB2312" w:hAnsi="FangSong_GB2312" w:eastAsia="FangSong_GB2312" w:cs="FangSong_GB2312"/>
                <w:sz w:val="18"/>
                <w:szCs w:val="18"/>
              </w:rPr>
            </w:pPr>
            <w:r>
              <w:rPr>
                <w:rFonts w:ascii="FangSong_GB2312" w:hAnsi="FangSong_GB2312" w:eastAsia="FangSong_GB2312" w:cs="FangSong_GB2312"/>
                <w:sz w:val="18"/>
                <w:szCs w:val="18"/>
              </w:rPr>
              <w:t>株</w:t>
            </w:r>
          </w:p>
        </w:tc>
        <w:tc>
          <w:tcPr>
            <w:tcW w:w="1174" w:type="dxa"/>
            <w:vAlign w:val="top"/>
          </w:tcPr>
          <w:p w14:paraId="74FE85EE">
            <w:pPr>
              <w:spacing w:before="109"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102.00</w:t>
            </w:r>
          </w:p>
        </w:tc>
        <w:tc>
          <w:tcPr>
            <w:tcW w:w="1511" w:type="dxa"/>
            <w:vAlign w:val="top"/>
          </w:tcPr>
          <w:p w14:paraId="7C11727D">
            <w:pPr>
              <w:spacing w:before="109" w:line="188" w:lineRule="auto"/>
              <w:ind w:left="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w:t>
            </w:r>
          </w:p>
        </w:tc>
        <w:tc>
          <w:tcPr>
            <w:tcW w:w="1534" w:type="dxa"/>
            <w:tcBorders>
              <w:right w:val="single" w:color="000000" w:sz="10" w:space="0"/>
            </w:tcBorders>
            <w:vAlign w:val="top"/>
          </w:tcPr>
          <w:p w14:paraId="2C42159A">
            <w:pPr>
              <w:spacing w:before="109"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510.00</w:t>
            </w:r>
          </w:p>
        </w:tc>
      </w:tr>
      <w:tr w14:paraId="23D15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7CCBA35C">
            <w:pPr>
              <w:rPr>
                <w:rFonts w:ascii="Arial"/>
                <w:sz w:val="21"/>
              </w:rPr>
            </w:pPr>
          </w:p>
        </w:tc>
        <w:tc>
          <w:tcPr>
            <w:tcW w:w="2523" w:type="dxa"/>
            <w:vAlign w:val="top"/>
          </w:tcPr>
          <w:p w14:paraId="77C433C3">
            <w:pPr>
              <w:spacing w:before="83" w:line="221" w:lineRule="auto"/>
              <w:ind w:left="1168"/>
              <w:rPr>
                <w:rFonts w:ascii="FangSong_GB2312" w:hAnsi="FangSong_GB2312" w:eastAsia="FangSong_GB2312" w:cs="FangSong_GB2312"/>
                <w:sz w:val="18"/>
                <w:szCs w:val="18"/>
              </w:rPr>
            </w:pPr>
            <w:r>
              <w:rPr>
                <w:rFonts w:ascii="FangSong_GB2312" w:hAnsi="FangSong_GB2312" w:eastAsia="FangSong_GB2312" w:cs="FangSong_GB2312"/>
                <w:sz w:val="18"/>
                <w:szCs w:val="18"/>
              </w:rPr>
              <w:t>水</w:t>
            </w:r>
          </w:p>
        </w:tc>
        <w:tc>
          <w:tcPr>
            <w:tcW w:w="951" w:type="dxa"/>
            <w:vAlign w:val="top"/>
          </w:tcPr>
          <w:p w14:paraId="603A6235">
            <w:pPr>
              <w:spacing w:before="111" w:line="188" w:lineRule="auto"/>
              <w:ind w:left="3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m3</w:t>
            </w:r>
          </w:p>
        </w:tc>
        <w:tc>
          <w:tcPr>
            <w:tcW w:w="1174" w:type="dxa"/>
            <w:vAlign w:val="top"/>
          </w:tcPr>
          <w:p w14:paraId="18249CE2">
            <w:pPr>
              <w:spacing w:before="111" w:line="188"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4.80</w:t>
            </w:r>
          </w:p>
        </w:tc>
        <w:tc>
          <w:tcPr>
            <w:tcW w:w="1511" w:type="dxa"/>
            <w:vAlign w:val="top"/>
          </w:tcPr>
          <w:p w14:paraId="4DDD5A71">
            <w:pPr>
              <w:spacing w:before="111" w:line="188" w:lineRule="auto"/>
              <w:ind w:left="6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3.20</w:t>
            </w:r>
          </w:p>
        </w:tc>
        <w:tc>
          <w:tcPr>
            <w:tcW w:w="1534" w:type="dxa"/>
            <w:tcBorders>
              <w:right w:val="single" w:color="000000" w:sz="10" w:space="0"/>
            </w:tcBorders>
            <w:vAlign w:val="top"/>
          </w:tcPr>
          <w:p w14:paraId="5A2D8C87">
            <w:pPr>
              <w:spacing w:before="111" w:line="188" w:lineRule="auto"/>
              <w:ind w:left="5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15.36</w:t>
            </w:r>
          </w:p>
        </w:tc>
      </w:tr>
      <w:tr w14:paraId="23F2B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4DBC8B89">
            <w:pPr>
              <w:rPr>
                <w:rFonts w:ascii="Arial"/>
                <w:sz w:val="21"/>
              </w:rPr>
            </w:pPr>
          </w:p>
        </w:tc>
        <w:tc>
          <w:tcPr>
            <w:tcW w:w="2523" w:type="dxa"/>
            <w:vAlign w:val="top"/>
          </w:tcPr>
          <w:p w14:paraId="53936A34">
            <w:pPr>
              <w:spacing w:before="83" w:line="214" w:lineRule="auto"/>
              <w:ind w:left="8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其他材料费</w:t>
            </w:r>
          </w:p>
        </w:tc>
        <w:tc>
          <w:tcPr>
            <w:tcW w:w="951" w:type="dxa"/>
            <w:vAlign w:val="top"/>
          </w:tcPr>
          <w:p w14:paraId="285B5655">
            <w:pPr>
              <w:spacing w:before="111"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4" w:type="dxa"/>
            <w:vAlign w:val="top"/>
          </w:tcPr>
          <w:p w14:paraId="75D1EBEF">
            <w:pPr>
              <w:spacing w:before="111" w:line="188" w:lineRule="auto"/>
              <w:ind w:left="4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w:t>
            </w:r>
          </w:p>
        </w:tc>
        <w:tc>
          <w:tcPr>
            <w:tcW w:w="1511" w:type="dxa"/>
            <w:vAlign w:val="top"/>
          </w:tcPr>
          <w:p w14:paraId="2FA3E035">
            <w:pPr>
              <w:spacing w:before="111" w:line="188" w:lineRule="auto"/>
              <w:ind w:left="52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510.00</w:t>
            </w:r>
          </w:p>
        </w:tc>
        <w:tc>
          <w:tcPr>
            <w:tcW w:w="1534" w:type="dxa"/>
            <w:tcBorders>
              <w:right w:val="single" w:color="000000" w:sz="10" w:space="0"/>
            </w:tcBorders>
            <w:vAlign w:val="top"/>
          </w:tcPr>
          <w:p w14:paraId="2F35837A">
            <w:pPr>
              <w:spacing w:before="111" w:line="188" w:lineRule="auto"/>
              <w:ind w:left="58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10.20</w:t>
            </w:r>
          </w:p>
        </w:tc>
      </w:tr>
      <w:tr w14:paraId="081BC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3904EBC3">
            <w:pPr>
              <w:spacing w:before="84" w:line="227" w:lineRule="auto"/>
              <w:ind w:left="26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523" w:type="dxa"/>
            <w:vAlign w:val="top"/>
          </w:tcPr>
          <w:p w14:paraId="550A4750">
            <w:pPr>
              <w:spacing w:before="83" w:line="214" w:lineRule="auto"/>
              <w:ind w:left="8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其他直接费</w:t>
            </w:r>
          </w:p>
        </w:tc>
        <w:tc>
          <w:tcPr>
            <w:tcW w:w="951" w:type="dxa"/>
            <w:vAlign w:val="top"/>
          </w:tcPr>
          <w:p w14:paraId="52B05026">
            <w:pPr>
              <w:spacing w:before="112"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4" w:type="dxa"/>
            <w:vAlign w:val="top"/>
          </w:tcPr>
          <w:p w14:paraId="2B66CFE3">
            <w:pPr>
              <w:spacing w:before="112" w:line="188" w:lineRule="auto"/>
              <w:ind w:left="4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511" w:type="dxa"/>
            <w:vAlign w:val="top"/>
          </w:tcPr>
          <w:p w14:paraId="2A5969DE">
            <w:pPr>
              <w:spacing w:before="112" w:line="188" w:lineRule="auto"/>
              <w:ind w:left="5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983.44</w:t>
            </w:r>
          </w:p>
        </w:tc>
        <w:tc>
          <w:tcPr>
            <w:tcW w:w="1534" w:type="dxa"/>
            <w:tcBorders>
              <w:right w:val="single" w:color="000000" w:sz="10" w:space="0"/>
            </w:tcBorders>
            <w:vAlign w:val="top"/>
          </w:tcPr>
          <w:p w14:paraId="232EE768">
            <w:pPr>
              <w:spacing w:before="112" w:line="188" w:lineRule="auto"/>
              <w:ind w:left="61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9.83</w:t>
            </w:r>
          </w:p>
        </w:tc>
      </w:tr>
      <w:tr w14:paraId="4B3C0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04A42A6A">
            <w:pPr>
              <w:spacing w:before="124" w:line="171" w:lineRule="auto"/>
              <w:ind w:left="455"/>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523" w:type="dxa"/>
            <w:vAlign w:val="top"/>
          </w:tcPr>
          <w:p w14:paraId="2E1F95A2">
            <w:pPr>
              <w:spacing w:before="84" w:line="214" w:lineRule="auto"/>
              <w:ind w:left="1008"/>
              <w:rPr>
                <w:rFonts w:ascii="FangSong_GB2312" w:hAnsi="FangSong_GB2312" w:eastAsia="FangSong_GB2312" w:cs="FangSong_GB2312"/>
                <w:sz w:val="18"/>
                <w:szCs w:val="18"/>
              </w:rPr>
            </w:pPr>
            <w:r>
              <w:rPr>
                <w:rFonts w:ascii="FangSong_GB2312" w:hAnsi="FangSong_GB2312" w:eastAsia="FangSong_GB2312" w:cs="FangSong_GB2312"/>
                <w:spacing w:val="-9"/>
                <w:sz w:val="18"/>
                <w:szCs w:val="18"/>
              </w:rPr>
              <w:t>间接费</w:t>
            </w:r>
          </w:p>
        </w:tc>
        <w:tc>
          <w:tcPr>
            <w:tcW w:w="951" w:type="dxa"/>
            <w:vAlign w:val="top"/>
          </w:tcPr>
          <w:p w14:paraId="152F2B0D">
            <w:pPr>
              <w:spacing w:before="115"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4" w:type="dxa"/>
            <w:vAlign w:val="top"/>
          </w:tcPr>
          <w:p w14:paraId="2FDE04F1">
            <w:pPr>
              <w:spacing w:before="115" w:line="188" w:lineRule="auto"/>
              <w:ind w:left="4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w:t>
            </w:r>
          </w:p>
        </w:tc>
        <w:tc>
          <w:tcPr>
            <w:tcW w:w="1511" w:type="dxa"/>
            <w:vAlign w:val="top"/>
          </w:tcPr>
          <w:p w14:paraId="7516D724">
            <w:pPr>
              <w:spacing w:before="115" w:line="188" w:lineRule="auto"/>
              <w:ind w:left="5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993.27</w:t>
            </w:r>
          </w:p>
        </w:tc>
        <w:tc>
          <w:tcPr>
            <w:tcW w:w="1534" w:type="dxa"/>
            <w:tcBorders>
              <w:right w:val="single" w:color="000000" w:sz="10" w:space="0"/>
            </w:tcBorders>
            <w:vAlign w:val="top"/>
          </w:tcPr>
          <w:p w14:paraId="3504B54A">
            <w:pPr>
              <w:spacing w:before="115" w:line="188" w:lineRule="auto"/>
              <w:ind w:left="5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59.60</w:t>
            </w:r>
          </w:p>
        </w:tc>
      </w:tr>
      <w:tr w14:paraId="6EAA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2E11AE7E">
            <w:pPr>
              <w:spacing w:before="85" w:line="226" w:lineRule="auto"/>
              <w:ind w:left="458"/>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523" w:type="dxa"/>
            <w:vAlign w:val="top"/>
          </w:tcPr>
          <w:p w14:paraId="414537DC">
            <w:pPr>
              <w:spacing w:before="85" w:line="217" w:lineRule="auto"/>
              <w:ind w:left="107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利润</w:t>
            </w:r>
          </w:p>
        </w:tc>
        <w:tc>
          <w:tcPr>
            <w:tcW w:w="951" w:type="dxa"/>
            <w:vAlign w:val="top"/>
          </w:tcPr>
          <w:p w14:paraId="31C8EE74">
            <w:pPr>
              <w:spacing w:before="115"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4" w:type="dxa"/>
            <w:vAlign w:val="top"/>
          </w:tcPr>
          <w:p w14:paraId="23EA5773">
            <w:pPr>
              <w:spacing w:before="116" w:line="188" w:lineRule="auto"/>
              <w:ind w:left="43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w:t>
            </w:r>
          </w:p>
        </w:tc>
        <w:tc>
          <w:tcPr>
            <w:tcW w:w="1511" w:type="dxa"/>
            <w:vAlign w:val="top"/>
          </w:tcPr>
          <w:p w14:paraId="415D8C00">
            <w:pPr>
              <w:spacing w:before="116" w:line="188" w:lineRule="auto"/>
              <w:ind w:left="48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1052.87</w:t>
            </w:r>
          </w:p>
        </w:tc>
        <w:tc>
          <w:tcPr>
            <w:tcW w:w="1534" w:type="dxa"/>
            <w:tcBorders>
              <w:right w:val="single" w:color="000000" w:sz="10" w:space="0"/>
            </w:tcBorders>
            <w:vAlign w:val="top"/>
          </w:tcPr>
          <w:p w14:paraId="5D1A93C7">
            <w:pPr>
              <w:spacing w:before="116" w:line="188" w:lineRule="auto"/>
              <w:ind w:left="57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73.70</w:t>
            </w:r>
          </w:p>
        </w:tc>
      </w:tr>
      <w:tr w14:paraId="54E7F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6BC02870">
            <w:pPr>
              <w:spacing w:before="85" w:line="226" w:lineRule="auto"/>
              <w:ind w:left="466"/>
              <w:rPr>
                <w:rFonts w:ascii="FangSong_GB2312" w:hAnsi="FangSong_GB2312" w:eastAsia="FangSong_GB2312" w:cs="FangSong_GB2312"/>
                <w:sz w:val="18"/>
                <w:szCs w:val="18"/>
              </w:rPr>
            </w:pPr>
            <w:r>
              <w:rPr>
                <w:rFonts w:ascii="FangSong_GB2312" w:hAnsi="FangSong_GB2312" w:eastAsia="FangSong_GB2312" w:cs="FangSong_GB2312"/>
                <w:sz w:val="18"/>
                <w:szCs w:val="18"/>
              </w:rPr>
              <w:t>四</w:t>
            </w:r>
          </w:p>
        </w:tc>
        <w:tc>
          <w:tcPr>
            <w:tcW w:w="2523" w:type="dxa"/>
            <w:vAlign w:val="top"/>
          </w:tcPr>
          <w:p w14:paraId="591E8580">
            <w:pPr>
              <w:spacing w:before="85" w:line="214" w:lineRule="auto"/>
              <w:ind w:left="90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材料补差</w:t>
            </w:r>
          </w:p>
        </w:tc>
        <w:tc>
          <w:tcPr>
            <w:tcW w:w="951" w:type="dxa"/>
            <w:vAlign w:val="top"/>
          </w:tcPr>
          <w:p w14:paraId="5D1D4A1D">
            <w:pPr>
              <w:rPr>
                <w:rFonts w:ascii="Arial"/>
                <w:sz w:val="21"/>
              </w:rPr>
            </w:pPr>
          </w:p>
        </w:tc>
        <w:tc>
          <w:tcPr>
            <w:tcW w:w="1174" w:type="dxa"/>
            <w:vAlign w:val="top"/>
          </w:tcPr>
          <w:p w14:paraId="4B3A077A">
            <w:pPr>
              <w:rPr>
                <w:rFonts w:ascii="Arial"/>
                <w:sz w:val="21"/>
              </w:rPr>
            </w:pPr>
          </w:p>
        </w:tc>
        <w:tc>
          <w:tcPr>
            <w:tcW w:w="1511" w:type="dxa"/>
            <w:vAlign w:val="top"/>
          </w:tcPr>
          <w:p w14:paraId="61DF28B0">
            <w:pPr>
              <w:rPr>
                <w:rFonts w:ascii="Arial"/>
                <w:sz w:val="21"/>
              </w:rPr>
            </w:pPr>
          </w:p>
        </w:tc>
        <w:tc>
          <w:tcPr>
            <w:tcW w:w="1534" w:type="dxa"/>
            <w:tcBorders>
              <w:right w:val="single" w:color="000000" w:sz="10" w:space="0"/>
            </w:tcBorders>
            <w:vAlign w:val="top"/>
          </w:tcPr>
          <w:p w14:paraId="28B919E9">
            <w:pPr>
              <w:spacing w:before="116" w:line="188" w:lineRule="auto"/>
              <w:ind w:left="4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2065.73</w:t>
            </w:r>
          </w:p>
        </w:tc>
      </w:tr>
      <w:tr w14:paraId="0F9F5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74263549">
            <w:pPr>
              <w:rPr>
                <w:rFonts w:ascii="Arial"/>
                <w:sz w:val="21"/>
              </w:rPr>
            </w:pPr>
          </w:p>
        </w:tc>
        <w:tc>
          <w:tcPr>
            <w:tcW w:w="2523" w:type="dxa"/>
            <w:vAlign w:val="top"/>
          </w:tcPr>
          <w:p w14:paraId="0040F6B8">
            <w:pPr>
              <w:spacing w:before="88" w:line="214" w:lineRule="auto"/>
              <w:ind w:left="60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红花继木</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带土球</w:t>
            </w:r>
          </w:p>
        </w:tc>
        <w:tc>
          <w:tcPr>
            <w:tcW w:w="951" w:type="dxa"/>
            <w:vAlign w:val="top"/>
          </w:tcPr>
          <w:p w14:paraId="62CCD9B6">
            <w:pPr>
              <w:spacing w:before="88" w:line="214" w:lineRule="auto"/>
              <w:ind w:left="385"/>
              <w:rPr>
                <w:rFonts w:ascii="FangSong_GB2312" w:hAnsi="FangSong_GB2312" w:eastAsia="FangSong_GB2312" w:cs="FangSong_GB2312"/>
                <w:sz w:val="18"/>
                <w:szCs w:val="18"/>
              </w:rPr>
            </w:pPr>
            <w:r>
              <w:rPr>
                <w:rFonts w:ascii="FangSong_GB2312" w:hAnsi="FangSong_GB2312" w:eastAsia="FangSong_GB2312" w:cs="FangSong_GB2312"/>
                <w:sz w:val="18"/>
                <w:szCs w:val="18"/>
              </w:rPr>
              <w:t>株</w:t>
            </w:r>
          </w:p>
        </w:tc>
        <w:tc>
          <w:tcPr>
            <w:tcW w:w="1174" w:type="dxa"/>
            <w:vAlign w:val="top"/>
          </w:tcPr>
          <w:p w14:paraId="493EA3B7">
            <w:pPr>
              <w:spacing w:before="117"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102.00</w:t>
            </w:r>
          </w:p>
        </w:tc>
        <w:tc>
          <w:tcPr>
            <w:tcW w:w="1511" w:type="dxa"/>
            <w:vAlign w:val="top"/>
          </w:tcPr>
          <w:p w14:paraId="0E7F466A">
            <w:pPr>
              <w:spacing w:before="117" w:line="188" w:lineRule="auto"/>
              <w:ind w:left="56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20.25</w:t>
            </w:r>
          </w:p>
        </w:tc>
        <w:tc>
          <w:tcPr>
            <w:tcW w:w="1534" w:type="dxa"/>
            <w:tcBorders>
              <w:right w:val="single" w:color="000000" w:sz="10" w:space="0"/>
            </w:tcBorders>
            <w:vAlign w:val="top"/>
          </w:tcPr>
          <w:p w14:paraId="2CE008DD">
            <w:pPr>
              <w:spacing w:before="117" w:line="188" w:lineRule="auto"/>
              <w:ind w:left="47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2065.73</w:t>
            </w:r>
          </w:p>
        </w:tc>
      </w:tr>
      <w:tr w14:paraId="33433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91" w:type="dxa"/>
            <w:tcBorders>
              <w:left w:val="single" w:color="000000" w:sz="10" w:space="0"/>
            </w:tcBorders>
            <w:vAlign w:val="top"/>
          </w:tcPr>
          <w:p w14:paraId="5E2E698E">
            <w:pPr>
              <w:spacing w:before="116" w:line="184" w:lineRule="auto"/>
              <w:ind w:left="451"/>
              <w:rPr>
                <w:rFonts w:ascii="FangSong_GB2312" w:hAnsi="FangSong_GB2312" w:eastAsia="FangSong_GB2312" w:cs="FangSong_GB2312"/>
                <w:sz w:val="18"/>
                <w:szCs w:val="18"/>
              </w:rPr>
            </w:pPr>
            <w:r>
              <w:rPr>
                <w:rFonts w:ascii="FangSong_GB2312" w:hAnsi="FangSong_GB2312" w:eastAsia="FangSong_GB2312" w:cs="FangSong_GB2312"/>
                <w:sz w:val="18"/>
                <w:szCs w:val="18"/>
              </w:rPr>
              <w:t>五</w:t>
            </w:r>
          </w:p>
        </w:tc>
        <w:tc>
          <w:tcPr>
            <w:tcW w:w="2523" w:type="dxa"/>
            <w:vAlign w:val="top"/>
          </w:tcPr>
          <w:p w14:paraId="61C05A5A">
            <w:pPr>
              <w:spacing w:before="90" w:line="219" w:lineRule="auto"/>
              <w:ind w:left="1079"/>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税金</w:t>
            </w:r>
          </w:p>
        </w:tc>
        <w:tc>
          <w:tcPr>
            <w:tcW w:w="951" w:type="dxa"/>
            <w:vAlign w:val="top"/>
          </w:tcPr>
          <w:p w14:paraId="500C4C68">
            <w:pPr>
              <w:spacing w:before="117" w:line="188" w:lineRule="auto"/>
              <w:ind w:left="40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174" w:type="dxa"/>
            <w:vAlign w:val="top"/>
          </w:tcPr>
          <w:p w14:paraId="16099DCB">
            <w:pPr>
              <w:spacing w:before="117" w:line="188" w:lineRule="auto"/>
              <w:ind w:left="43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c>
          <w:tcPr>
            <w:tcW w:w="1511" w:type="dxa"/>
            <w:vAlign w:val="top"/>
          </w:tcPr>
          <w:p w14:paraId="115F7173">
            <w:pPr>
              <w:spacing w:before="117" w:line="188" w:lineRule="auto"/>
              <w:ind w:left="47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3192.30</w:t>
            </w:r>
          </w:p>
        </w:tc>
        <w:tc>
          <w:tcPr>
            <w:tcW w:w="1534" w:type="dxa"/>
            <w:tcBorders>
              <w:right w:val="single" w:color="000000" w:sz="10" w:space="0"/>
            </w:tcBorders>
            <w:vAlign w:val="top"/>
          </w:tcPr>
          <w:p w14:paraId="44C60C74">
            <w:pPr>
              <w:spacing w:before="117" w:line="188" w:lineRule="auto"/>
              <w:ind w:left="5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287.31</w:t>
            </w:r>
          </w:p>
        </w:tc>
      </w:tr>
      <w:tr w14:paraId="58CA9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091" w:type="dxa"/>
            <w:tcBorders>
              <w:left w:val="single" w:color="000000" w:sz="10" w:space="0"/>
              <w:bottom w:val="single" w:color="000000" w:sz="10" w:space="0"/>
            </w:tcBorders>
            <w:vAlign w:val="top"/>
          </w:tcPr>
          <w:p w14:paraId="04CD2607">
            <w:pPr>
              <w:spacing w:before="89" w:line="214" w:lineRule="auto"/>
              <w:ind w:left="35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概算</w:t>
            </w:r>
          </w:p>
        </w:tc>
        <w:tc>
          <w:tcPr>
            <w:tcW w:w="2523" w:type="dxa"/>
            <w:tcBorders>
              <w:bottom w:val="single" w:color="000000" w:sz="10" w:space="0"/>
            </w:tcBorders>
            <w:vAlign w:val="top"/>
          </w:tcPr>
          <w:p w14:paraId="65AE121B">
            <w:pPr>
              <w:spacing w:before="89" w:line="216" w:lineRule="auto"/>
              <w:ind w:left="108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951" w:type="dxa"/>
            <w:tcBorders>
              <w:bottom w:val="single" w:color="000000" w:sz="10" w:space="0"/>
            </w:tcBorders>
            <w:vAlign w:val="top"/>
          </w:tcPr>
          <w:p w14:paraId="31F7A6DB">
            <w:pPr>
              <w:rPr>
                <w:rFonts w:ascii="Arial"/>
                <w:sz w:val="21"/>
              </w:rPr>
            </w:pPr>
          </w:p>
        </w:tc>
        <w:tc>
          <w:tcPr>
            <w:tcW w:w="1174" w:type="dxa"/>
            <w:tcBorders>
              <w:bottom w:val="single" w:color="000000" w:sz="10" w:space="0"/>
            </w:tcBorders>
            <w:vAlign w:val="top"/>
          </w:tcPr>
          <w:p w14:paraId="687725B3">
            <w:pPr>
              <w:rPr>
                <w:rFonts w:ascii="Arial"/>
                <w:sz w:val="21"/>
              </w:rPr>
            </w:pPr>
          </w:p>
        </w:tc>
        <w:tc>
          <w:tcPr>
            <w:tcW w:w="1511" w:type="dxa"/>
            <w:tcBorders>
              <w:bottom w:val="single" w:color="000000" w:sz="10" w:space="0"/>
            </w:tcBorders>
            <w:vAlign w:val="top"/>
          </w:tcPr>
          <w:p w14:paraId="07C05F8D">
            <w:pPr>
              <w:rPr>
                <w:rFonts w:ascii="Arial"/>
                <w:sz w:val="21"/>
              </w:rPr>
            </w:pPr>
          </w:p>
        </w:tc>
        <w:tc>
          <w:tcPr>
            <w:tcW w:w="1534" w:type="dxa"/>
            <w:tcBorders>
              <w:bottom w:val="single" w:color="000000" w:sz="10" w:space="0"/>
              <w:right w:val="single" w:color="000000" w:sz="10" w:space="0"/>
            </w:tcBorders>
            <w:vAlign w:val="top"/>
          </w:tcPr>
          <w:p w14:paraId="4C48341B">
            <w:pPr>
              <w:spacing w:before="118" w:line="188" w:lineRule="auto"/>
              <w:ind w:left="48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3479.61</w:t>
            </w:r>
          </w:p>
        </w:tc>
      </w:tr>
    </w:tbl>
    <w:p w14:paraId="5F0A736C">
      <w:pPr>
        <w:pStyle w:val="2"/>
        <w:spacing w:line="266" w:lineRule="auto"/>
      </w:pPr>
    </w:p>
    <w:p w14:paraId="047AB3A2">
      <w:pPr>
        <w:spacing w:before="65" w:line="229" w:lineRule="auto"/>
        <w:ind w:left="5507"/>
        <w:rPr>
          <w:rFonts w:ascii="FangSong_GB2312" w:hAnsi="FangSong_GB2312" w:eastAsia="FangSong_GB2312" w:cs="FangSong_GB2312"/>
          <w:sz w:val="20"/>
          <w:szCs w:val="20"/>
        </w:rPr>
      </w:pPr>
      <w:r>
        <w:pict>
          <v:shape id="_x0000_s1096" o:spid="_x0000_s1096" o:spt="202" type="#_x0000_t202" style="position:absolute;left:0pt;margin-left:223pt;margin-top:3.15pt;height:10pt;width:10.65pt;z-index:251770880;mso-width-relative:page;mso-height-relative:page;" filled="f" stroked="f" coordsize="21600,21600">
            <v:path/>
            <v:fill on="f" focussize="0,0"/>
            <v:stroke on="f"/>
            <v:imagedata o:title=""/>
            <o:lock v:ext="edit" aspectratio="f"/>
            <v:textbox inset="0mm,0mm,0mm,0mm">
              <w:txbxContent>
                <w:p w14:paraId="57CCACE8">
                  <w:pPr>
                    <w:spacing w:before="20" w:line="185"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txbxContent>
            </v:textbox>
          </v:shape>
        </w:pict>
      </w:r>
      <w:r>
        <w:rPr>
          <w:rFonts w:ascii="FangSong_GB2312" w:hAnsi="FangSong_GB2312" w:eastAsia="FangSong_GB2312" w:cs="FangSong_GB2312"/>
          <w:spacing w:val="8"/>
          <w:sz w:val="20"/>
          <w:szCs w:val="20"/>
        </w:rPr>
        <w:t>剑阁县绿森林业勘察设计有限公司</w:t>
      </w:r>
    </w:p>
    <w:p w14:paraId="2CDE1020">
      <w:pPr>
        <w:spacing w:line="229" w:lineRule="auto"/>
        <w:rPr>
          <w:rFonts w:ascii="FangSong_GB2312" w:hAnsi="FangSong_GB2312" w:eastAsia="FangSong_GB2312" w:cs="FangSong_GB2312"/>
          <w:sz w:val="20"/>
          <w:szCs w:val="20"/>
        </w:rPr>
        <w:sectPr>
          <w:pgSz w:w="11906" w:h="16839"/>
          <w:pgMar w:top="1159" w:right="1395" w:bottom="400" w:left="1391" w:header="831" w:footer="0" w:gutter="0"/>
          <w:cols w:space="720" w:num="1"/>
        </w:sectPr>
      </w:pPr>
    </w:p>
    <w:p w14:paraId="6568C893">
      <w:pPr>
        <w:spacing w:before="166"/>
      </w:pPr>
    </w:p>
    <w:tbl>
      <w:tblPr>
        <w:tblStyle w:val="6"/>
        <w:tblW w:w="880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2215"/>
        <w:gridCol w:w="1144"/>
        <w:gridCol w:w="1233"/>
        <w:gridCol w:w="1474"/>
        <w:gridCol w:w="1488"/>
      </w:tblGrid>
      <w:tr w14:paraId="5F37E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251" w:type="dxa"/>
            <w:tcBorders>
              <w:top w:val="single" w:color="000000" w:sz="10" w:space="0"/>
              <w:left w:val="single" w:color="000000" w:sz="10" w:space="0"/>
            </w:tcBorders>
            <w:vAlign w:val="top"/>
          </w:tcPr>
          <w:p w14:paraId="74841460">
            <w:pPr>
              <w:spacing w:before="70" w:line="216" w:lineRule="auto"/>
              <w:ind w:left="26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工程名称</w:t>
            </w:r>
          </w:p>
        </w:tc>
        <w:tc>
          <w:tcPr>
            <w:tcW w:w="4592" w:type="dxa"/>
            <w:gridSpan w:val="3"/>
            <w:tcBorders>
              <w:top w:val="single" w:color="000000" w:sz="10" w:space="0"/>
            </w:tcBorders>
            <w:vAlign w:val="top"/>
          </w:tcPr>
          <w:p w14:paraId="673D26F8">
            <w:pPr>
              <w:spacing w:before="68" w:line="216" w:lineRule="auto"/>
              <w:ind w:left="668"/>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撒播草籽（黑麦草</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高羊茅）</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撒播</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不覆土</w:t>
            </w:r>
          </w:p>
        </w:tc>
        <w:tc>
          <w:tcPr>
            <w:tcW w:w="1474" w:type="dxa"/>
            <w:tcBorders>
              <w:top w:val="single" w:color="000000" w:sz="10" w:space="0"/>
            </w:tcBorders>
            <w:vAlign w:val="top"/>
          </w:tcPr>
          <w:p w14:paraId="2B771CFB">
            <w:pPr>
              <w:spacing w:before="71" w:line="214" w:lineRule="auto"/>
              <w:ind w:left="39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单价编号</w:t>
            </w:r>
          </w:p>
        </w:tc>
        <w:tc>
          <w:tcPr>
            <w:tcW w:w="1488" w:type="dxa"/>
            <w:tcBorders>
              <w:top w:val="single" w:color="000000" w:sz="10" w:space="0"/>
              <w:right w:val="single" w:color="000000" w:sz="10" w:space="0"/>
            </w:tcBorders>
            <w:vAlign w:val="top"/>
          </w:tcPr>
          <w:p w14:paraId="3FB62344">
            <w:pPr>
              <w:spacing w:before="101" w:line="188" w:lineRule="auto"/>
              <w:ind w:left="704"/>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r>
      <w:tr w14:paraId="645D4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51" w:type="dxa"/>
            <w:tcBorders>
              <w:left w:val="single" w:color="000000" w:sz="10" w:space="0"/>
            </w:tcBorders>
            <w:vAlign w:val="top"/>
          </w:tcPr>
          <w:p w14:paraId="34BD06C9">
            <w:pPr>
              <w:spacing w:before="70" w:line="214" w:lineRule="auto"/>
              <w:ind w:left="25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定额编号</w:t>
            </w:r>
          </w:p>
        </w:tc>
        <w:tc>
          <w:tcPr>
            <w:tcW w:w="4592" w:type="dxa"/>
            <w:gridSpan w:val="3"/>
            <w:vAlign w:val="top"/>
          </w:tcPr>
          <w:p w14:paraId="1C5F807E">
            <w:pPr>
              <w:spacing w:before="98" w:line="188" w:lineRule="auto"/>
              <w:ind w:left="207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08080</w:t>
            </w:r>
          </w:p>
        </w:tc>
        <w:tc>
          <w:tcPr>
            <w:tcW w:w="1474" w:type="dxa"/>
            <w:vAlign w:val="top"/>
          </w:tcPr>
          <w:p w14:paraId="7A89BCB4">
            <w:pPr>
              <w:spacing w:before="69" w:line="214" w:lineRule="auto"/>
              <w:ind w:left="3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定额单位</w:t>
            </w:r>
          </w:p>
        </w:tc>
        <w:tc>
          <w:tcPr>
            <w:tcW w:w="1488" w:type="dxa"/>
            <w:tcBorders>
              <w:right w:val="single" w:color="000000" w:sz="10" w:space="0"/>
            </w:tcBorders>
            <w:vAlign w:val="top"/>
          </w:tcPr>
          <w:p w14:paraId="591F24B8">
            <w:pPr>
              <w:spacing w:before="82" w:line="206" w:lineRule="auto"/>
              <w:ind w:left="578"/>
              <w:rPr>
                <w:rFonts w:ascii="Times New Roman" w:hAnsi="Times New Roman" w:eastAsia="Times New Roman" w:cs="Times New Roman"/>
                <w:sz w:val="11"/>
                <w:szCs w:val="11"/>
              </w:rPr>
            </w:pPr>
            <w:r>
              <w:rPr>
                <w:rFonts w:ascii="Times New Roman" w:hAnsi="Times New Roman" w:eastAsia="Times New Roman" w:cs="Times New Roman"/>
                <w:spacing w:val="-8"/>
                <w:sz w:val="18"/>
                <w:szCs w:val="18"/>
              </w:rPr>
              <w:t>1hm</w:t>
            </w:r>
            <w:r>
              <w:rPr>
                <w:rFonts w:ascii="Times New Roman" w:hAnsi="Times New Roman" w:eastAsia="Times New Roman" w:cs="Times New Roman"/>
                <w:spacing w:val="3"/>
                <w:position w:val="5"/>
                <w:sz w:val="11"/>
                <w:szCs w:val="11"/>
              </w:rPr>
              <w:t>2</w:t>
            </w:r>
          </w:p>
        </w:tc>
      </w:tr>
      <w:tr w14:paraId="13F68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05" w:type="dxa"/>
            <w:gridSpan w:val="6"/>
            <w:tcBorders>
              <w:left w:val="single" w:color="000000" w:sz="10" w:space="0"/>
              <w:right w:val="single" w:color="000000" w:sz="10" w:space="0"/>
            </w:tcBorders>
            <w:vAlign w:val="top"/>
          </w:tcPr>
          <w:p w14:paraId="11339356">
            <w:pPr>
              <w:spacing w:before="69" w:line="211" w:lineRule="auto"/>
              <w:ind w:left="314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适用范围</w:t>
            </w:r>
            <w:r>
              <w:rPr>
                <w:rFonts w:ascii="Times New Roman" w:hAnsi="Times New Roman" w:eastAsia="Times New Roman" w:cs="Times New Roman"/>
                <w:spacing w:val="-2"/>
                <w:sz w:val="18"/>
                <w:szCs w:val="18"/>
              </w:rPr>
              <w:t>:</w:t>
            </w:r>
            <w:r>
              <w:rPr>
                <w:rFonts w:ascii="FangSong_GB2312" w:hAnsi="FangSong_GB2312" w:eastAsia="FangSong_GB2312" w:cs="FangSong_GB2312"/>
                <w:spacing w:val="-2"/>
                <w:sz w:val="18"/>
                <w:szCs w:val="18"/>
              </w:rPr>
              <w:t>种草密度</w:t>
            </w:r>
            <w:r>
              <w:rPr>
                <w:rFonts w:ascii="FangSong_GB2312" w:hAnsi="FangSong_GB2312" w:eastAsia="FangSong_GB2312" w:cs="FangSong_GB2312"/>
                <w:spacing w:val="-15"/>
                <w:sz w:val="18"/>
                <w:szCs w:val="18"/>
              </w:rPr>
              <w:t xml:space="preserve"> </w:t>
            </w:r>
            <w:r>
              <w:rPr>
                <w:rFonts w:ascii="Times New Roman" w:hAnsi="Times New Roman" w:eastAsia="Times New Roman" w:cs="Times New Roman"/>
                <w:spacing w:val="-2"/>
                <w:sz w:val="18"/>
                <w:szCs w:val="18"/>
              </w:rPr>
              <w:t>100kg/hm</w:t>
            </w:r>
            <w:r>
              <w:rPr>
                <w:rFonts w:ascii="Times New Roman" w:hAnsi="Times New Roman" w:eastAsia="Times New Roman" w:cs="Times New Roman"/>
                <w:spacing w:val="-2"/>
                <w:position w:val="6"/>
                <w:sz w:val="11"/>
                <w:szCs w:val="11"/>
              </w:rPr>
              <w:t>2</w:t>
            </w:r>
            <w:r>
              <w:rPr>
                <w:rFonts w:ascii="FangSong_GB2312" w:hAnsi="FangSong_GB2312" w:eastAsia="FangSong_GB2312" w:cs="FangSong_GB2312"/>
                <w:spacing w:val="-2"/>
                <w:sz w:val="18"/>
                <w:szCs w:val="18"/>
              </w:rPr>
              <w:t>。</w:t>
            </w:r>
          </w:p>
        </w:tc>
      </w:tr>
      <w:tr w14:paraId="245FB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05" w:type="dxa"/>
            <w:gridSpan w:val="6"/>
            <w:tcBorders>
              <w:left w:val="single" w:color="000000" w:sz="10" w:space="0"/>
              <w:right w:val="single" w:color="000000" w:sz="10" w:space="0"/>
            </w:tcBorders>
            <w:vAlign w:val="top"/>
          </w:tcPr>
          <w:p w14:paraId="3CCC5104">
            <w:pPr>
              <w:spacing w:before="69" w:line="214" w:lineRule="auto"/>
              <w:ind w:left="264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工作内容</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种子处理、人工撒播草籽</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不覆土。</w:t>
            </w:r>
          </w:p>
        </w:tc>
      </w:tr>
      <w:tr w14:paraId="5FAB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51" w:type="dxa"/>
            <w:tcBorders>
              <w:left w:val="single" w:color="000000" w:sz="10" w:space="0"/>
            </w:tcBorders>
            <w:vAlign w:val="top"/>
          </w:tcPr>
          <w:p w14:paraId="6DF39ED9">
            <w:pPr>
              <w:spacing w:before="72" w:line="216" w:lineRule="auto"/>
              <w:ind w:left="43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215" w:type="dxa"/>
            <w:vAlign w:val="top"/>
          </w:tcPr>
          <w:p w14:paraId="6B4FCC98">
            <w:pPr>
              <w:spacing w:before="72" w:line="214" w:lineRule="auto"/>
              <w:ind w:left="65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名称及规格</w:t>
            </w:r>
          </w:p>
        </w:tc>
        <w:tc>
          <w:tcPr>
            <w:tcW w:w="1144" w:type="dxa"/>
            <w:vAlign w:val="top"/>
          </w:tcPr>
          <w:p w14:paraId="0DDDEF99">
            <w:pPr>
              <w:spacing w:before="72" w:line="214" w:lineRule="auto"/>
              <w:ind w:left="39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233" w:type="dxa"/>
            <w:vAlign w:val="top"/>
          </w:tcPr>
          <w:p w14:paraId="5FAA906A">
            <w:pPr>
              <w:spacing w:before="72" w:line="217" w:lineRule="auto"/>
              <w:ind w:left="44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474" w:type="dxa"/>
            <w:vAlign w:val="top"/>
          </w:tcPr>
          <w:p w14:paraId="659772EA">
            <w:pPr>
              <w:spacing w:before="72" w:line="216" w:lineRule="auto"/>
              <w:ind w:left="302"/>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单价（元）</w:t>
            </w:r>
          </w:p>
        </w:tc>
        <w:tc>
          <w:tcPr>
            <w:tcW w:w="1488" w:type="dxa"/>
            <w:tcBorders>
              <w:right w:val="single" w:color="000000" w:sz="10" w:space="0"/>
            </w:tcBorders>
            <w:vAlign w:val="top"/>
          </w:tcPr>
          <w:p w14:paraId="1AF80D88">
            <w:pPr>
              <w:spacing w:before="72" w:line="216" w:lineRule="auto"/>
              <w:ind w:left="30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合计（元）</w:t>
            </w:r>
          </w:p>
        </w:tc>
      </w:tr>
      <w:tr w14:paraId="7AA4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51" w:type="dxa"/>
            <w:tcBorders>
              <w:left w:val="single" w:color="000000" w:sz="10" w:space="0"/>
            </w:tcBorders>
            <w:vAlign w:val="top"/>
          </w:tcPr>
          <w:p w14:paraId="795350BA">
            <w:pPr>
              <w:spacing w:before="150" w:line="130" w:lineRule="exact"/>
              <w:ind w:left="538"/>
              <w:rPr>
                <w:rFonts w:ascii="FangSong_GB2312" w:hAnsi="FangSong_GB2312" w:eastAsia="FangSong_GB2312" w:cs="FangSong_GB2312"/>
                <w:sz w:val="18"/>
                <w:szCs w:val="18"/>
              </w:rPr>
            </w:pPr>
            <w:r>
              <w:rPr>
                <w:rFonts w:ascii="FangSong_GB2312" w:hAnsi="FangSong_GB2312" w:eastAsia="FangSong_GB2312" w:cs="FangSong_GB2312"/>
                <w:position w:val="-3"/>
                <w:sz w:val="18"/>
                <w:szCs w:val="18"/>
              </w:rPr>
              <w:t>一</w:t>
            </w:r>
          </w:p>
        </w:tc>
        <w:tc>
          <w:tcPr>
            <w:tcW w:w="2215" w:type="dxa"/>
            <w:vAlign w:val="top"/>
          </w:tcPr>
          <w:p w14:paraId="5313D296">
            <w:pPr>
              <w:spacing w:before="73" w:line="214" w:lineRule="auto"/>
              <w:ind w:left="843"/>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直接费</w:t>
            </w:r>
          </w:p>
        </w:tc>
        <w:tc>
          <w:tcPr>
            <w:tcW w:w="1144" w:type="dxa"/>
            <w:vAlign w:val="top"/>
          </w:tcPr>
          <w:p w14:paraId="172CB334">
            <w:pPr>
              <w:rPr>
                <w:rFonts w:ascii="Arial"/>
                <w:sz w:val="21"/>
              </w:rPr>
            </w:pPr>
          </w:p>
        </w:tc>
        <w:tc>
          <w:tcPr>
            <w:tcW w:w="1233" w:type="dxa"/>
            <w:vAlign w:val="top"/>
          </w:tcPr>
          <w:p w14:paraId="772BE56E">
            <w:pPr>
              <w:rPr>
                <w:rFonts w:ascii="Arial"/>
                <w:sz w:val="21"/>
              </w:rPr>
            </w:pPr>
          </w:p>
        </w:tc>
        <w:tc>
          <w:tcPr>
            <w:tcW w:w="1474" w:type="dxa"/>
            <w:vAlign w:val="top"/>
          </w:tcPr>
          <w:p w14:paraId="06A9B385">
            <w:pPr>
              <w:rPr>
                <w:rFonts w:ascii="Arial"/>
                <w:sz w:val="21"/>
              </w:rPr>
            </w:pPr>
          </w:p>
        </w:tc>
        <w:tc>
          <w:tcPr>
            <w:tcW w:w="1488" w:type="dxa"/>
            <w:tcBorders>
              <w:right w:val="single" w:color="000000" w:sz="10" w:space="0"/>
            </w:tcBorders>
            <w:vAlign w:val="top"/>
          </w:tcPr>
          <w:p w14:paraId="7330EA56">
            <w:pPr>
              <w:spacing w:before="104"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6331.37</w:t>
            </w:r>
          </w:p>
        </w:tc>
      </w:tr>
      <w:tr w14:paraId="58652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51" w:type="dxa"/>
            <w:tcBorders>
              <w:left w:val="single" w:color="000000" w:sz="10" w:space="0"/>
            </w:tcBorders>
            <w:vAlign w:val="top"/>
          </w:tcPr>
          <w:p w14:paraId="6B91DDEA">
            <w:pPr>
              <w:spacing w:before="76" w:line="227" w:lineRule="auto"/>
              <w:ind w:left="34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（一）</w:t>
            </w:r>
          </w:p>
        </w:tc>
        <w:tc>
          <w:tcPr>
            <w:tcW w:w="2215" w:type="dxa"/>
            <w:vAlign w:val="top"/>
          </w:tcPr>
          <w:p w14:paraId="5462DB7E">
            <w:pPr>
              <w:spacing w:before="75" w:line="214" w:lineRule="auto"/>
              <w:ind w:left="653"/>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基本直接费</w:t>
            </w:r>
          </w:p>
        </w:tc>
        <w:tc>
          <w:tcPr>
            <w:tcW w:w="1144" w:type="dxa"/>
            <w:vAlign w:val="top"/>
          </w:tcPr>
          <w:p w14:paraId="53A08A15">
            <w:pPr>
              <w:rPr>
                <w:rFonts w:ascii="Arial"/>
                <w:sz w:val="21"/>
              </w:rPr>
            </w:pPr>
          </w:p>
        </w:tc>
        <w:tc>
          <w:tcPr>
            <w:tcW w:w="1233" w:type="dxa"/>
            <w:vAlign w:val="top"/>
          </w:tcPr>
          <w:p w14:paraId="32C8E4E7">
            <w:pPr>
              <w:rPr>
                <w:rFonts w:ascii="Arial"/>
                <w:sz w:val="21"/>
              </w:rPr>
            </w:pPr>
          </w:p>
        </w:tc>
        <w:tc>
          <w:tcPr>
            <w:tcW w:w="1474" w:type="dxa"/>
            <w:vAlign w:val="top"/>
          </w:tcPr>
          <w:p w14:paraId="7592164F">
            <w:pPr>
              <w:rPr>
                <w:rFonts w:ascii="Arial"/>
                <w:sz w:val="21"/>
              </w:rPr>
            </w:pPr>
          </w:p>
        </w:tc>
        <w:tc>
          <w:tcPr>
            <w:tcW w:w="1488" w:type="dxa"/>
            <w:tcBorders>
              <w:right w:val="single" w:color="000000" w:sz="10" w:space="0"/>
            </w:tcBorders>
            <w:vAlign w:val="top"/>
          </w:tcPr>
          <w:p w14:paraId="09078613">
            <w:pPr>
              <w:spacing w:before="106"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6268.68</w:t>
            </w:r>
          </w:p>
        </w:tc>
      </w:tr>
      <w:tr w14:paraId="68045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6A1E890E">
            <w:pPr>
              <w:spacing w:before="108" w:line="188" w:lineRule="auto"/>
              <w:ind w:left="58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215" w:type="dxa"/>
            <w:vAlign w:val="top"/>
          </w:tcPr>
          <w:p w14:paraId="225FA11A">
            <w:pPr>
              <w:spacing w:before="79" w:line="214" w:lineRule="auto"/>
              <w:ind w:left="838"/>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人工费</w:t>
            </w:r>
          </w:p>
        </w:tc>
        <w:tc>
          <w:tcPr>
            <w:tcW w:w="1144" w:type="dxa"/>
            <w:vAlign w:val="top"/>
          </w:tcPr>
          <w:p w14:paraId="0C6F5186">
            <w:pPr>
              <w:spacing w:before="79" w:line="215" w:lineRule="auto"/>
              <w:ind w:left="39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工时</w:t>
            </w:r>
          </w:p>
        </w:tc>
        <w:tc>
          <w:tcPr>
            <w:tcW w:w="1233" w:type="dxa"/>
            <w:vAlign w:val="top"/>
          </w:tcPr>
          <w:p w14:paraId="5F39F460">
            <w:pPr>
              <w:spacing w:before="108" w:line="188" w:lineRule="auto"/>
              <w:ind w:left="43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13.90</w:t>
            </w:r>
          </w:p>
        </w:tc>
        <w:tc>
          <w:tcPr>
            <w:tcW w:w="1474" w:type="dxa"/>
            <w:vAlign w:val="top"/>
          </w:tcPr>
          <w:p w14:paraId="0B55E166">
            <w:pPr>
              <w:spacing w:before="108" w:line="188" w:lineRule="auto"/>
              <w:ind w:left="59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6.38</w:t>
            </w:r>
          </w:p>
        </w:tc>
        <w:tc>
          <w:tcPr>
            <w:tcW w:w="1488" w:type="dxa"/>
            <w:tcBorders>
              <w:right w:val="single" w:color="000000" w:sz="10" w:space="0"/>
            </w:tcBorders>
            <w:vAlign w:val="top"/>
          </w:tcPr>
          <w:p w14:paraId="15B3F57E">
            <w:pPr>
              <w:spacing w:before="108" w:line="188" w:lineRule="auto"/>
              <w:ind w:left="55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88.68</w:t>
            </w:r>
          </w:p>
        </w:tc>
      </w:tr>
      <w:tr w14:paraId="3C65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120F3DC3">
            <w:pPr>
              <w:spacing w:before="108" w:line="188" w:lineRule="auto"/>
              <w:ind w:left="56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215" w:type="dxa"/>
            <w:vAlign w:val="top"/>
          </w:tcPr>
          <w:p w14:paraId="6EF7DE2A">
            <w:pPr>
              <w:spacing w:before="80" w:line="214" w:lineRule="auto"/>
              <w:ind w:left="83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材料费</w:t>
            </w:r>
          </w:p>
        </w:tc>
        <w:tc>
          <w:tcPr>
            <w:tcW w:w="1144" w:type="dxa"/>
            <w:vAlign w:val="top"/>
          </w:tcPr>
          <w:p w14:paraId="535D5026">
            <w:pPr>
              <w:rPr>
                <w:rFonts w:ascii="Arial"/>
                <w:sz w:val="21"/>
              </w:rPr>
            </w:pPr>
          </w:p>
        </w:tc>
        <w:tc>
          <w:tcPr>
            <w:tcW w:w="1233" w:type="dxa"/>
            <w:vAlign w:val="top"/>
          </w:tcPr>
          <w:p w14:paraId="6B53C073">
            <w:pPr>
              <w:rPr>
                <w:rFonts w:ascii="Arial"/>
                <w:sz w:val="21"/>
              </w:rPr>
            </w:pPr>
          </w:p>
        </w:tc>
        <w:tc>
          <w:tcPr>
            <w:tcW w:w="1474" w:type="dxa"/>
            <w:vAlign w:val="top"/>
          </w:tcPr>
          <w:p w14:paraId="1029E69F">
            <w:pPr>
              <w:rPr>
                <w:rFonts w:ascii="Arial"/>
                <w:sz w:val="21"/>
              </w:rPr>
            </w:pPr>
          </w:p>
        </w:tc>
        <w:tc>
          <w:tcPr>
            <w:tcW w:w="1488" w:type="dxa"/>
            <w:tcBorders>
              <w:right w:val="single" w:color="000000" w:sz="10" w:space="0"/>
            </w:tcBorders>
            <w:vAlign w:val="top"/>
          </w:tcPr>
          <w:p w14:paraId="018FAF3B">
            <w:pPr>
              <w:spacing w:before="108" w:line="188" w:lineRule="auto"/>
              <w:ind w:left="4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6180.00</w:t>
            </w:r>
          </w:p>
        </w:tc>
      </w:tr>
      <w:tr w14:paraId="4144B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6A6241B4">
            <w:pPr>
              <w:rPr>
                <w:rFonts w:ascii="Arial"/>
                <w:sz w:val="21"/>
              </w:rPr>
            </w:pPr>
          </w:p>
        </w:tc>
        <w:tc>
          <w:tcPr>
            <w:tcW w:w="2215" w:type="dxa"/>
            <w:vAlign w:val="top"/>
          </w:tcPr>
          <w:p w14:paraId="6AB26D56">
            <w:pPr>
              <w:spacing w:before="78" w:line="216" w:lineRule="auto"/>
              <w:ind w:left="84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黑麦草</w:t>
            </w:r>
          </w:p>
        </w:tc>
        <w:tc>
          <w:tcPr>
            <w:tcW w:w="1144" w:type="dxa"/>
            <w:vAlign w:val="top"/>
          </w:tcPr>
          <w:p w14:paraId="5E55FCFA">
            <w:pPr>
              <w:spacing w:before="108" w:line="192" w:lineRule="auto"/>
              <w:ind w:left="4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33" w:type="dxa"/>
            <w:vAlign w:val="top"/>
          </w:tcPr>
          <w:p w14:paraId="40496FF2">
            <w:pPr>
              <w:spacing w:before="111"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50.00</w:t>
            </w:r>
          </w:p>
        </w:tc>
        <w:tc>
          <w:tcPr>
            <w:tcW w:w="1474" w:type="dxa"/>
            <w:vAlign w:val="top"/>
          </w:tcPr>
          <w:p w14:paraId="639BAE3F">
            <w:pPr>
              <w:spacing w:before="111" w:line="188" w:lineRule="auto"/>
              <w:ind w:left="5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tc>
        <w:tc>
          <w:tcPr>
            <w:tcW w:w="1488" w:type="dxa"/>
            <w:tcBorders>
              <w:right w:val="single" w:color="000000" w:sz="10" w:space="0"/>
            </w:tcBorders>
            <w:vAlign w:val="top"/>
          </w:tcPr>
          <w:p w14:paraId="28A5570C">
            <w:pPr>
              <w:spacing w:before="111" w:line="188" w:lineRule="auto"/>
              <w:ind w:left="4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3000.00</w:t>
            </w:r>
          </w:p>
        </w:tc>
      </w:tr>
      <w:tr w14:paraId="0BCC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0B0E202D">
            <w:pPr>
              <w:rPr>
                <w:rFonts w:ascii="Arial"/>
                <w:sz w:val="21"/>
              </w:rPr>
            </w:pPr>
          </w:p>
        </w:tc>
        <w:tc>
          <w:tcPr>
            <w:tcW w:w="2215" w:type="dxa"/>
            <w:vAlign w:val="top"/>
          </w:tcPr>
          <w:p w14:paraId="5EAC527E">
            <w:pPr>
              <w:spacing w:before="81" w:line="214" w:lineRule="auto"/>
              <w:ind w:left="84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高羊茅</w:t>
            </w:r>
          </w:p>
        </w:tc>
        <w:tc>
          <w:tcPr>
            <w:tcW w:w="1144" w:type="dxa"/>
            <w:vAlign w:val="top"/>
          </w:tcPr>
          <w:p w14:paraId="2A05EB62">
            <w:pPr>
              <w:spacing w:before="108" w:line="192" w:lineRule="auto"/>
              <w:ind w:left="4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33" w:type="dxa"/>
            <w:vAlign w:val="top"/>
          </w:tcPr>
          <w:p w14:paraId="1D0ABED3">
            <w:pPr>
              <w:spacing w:before="112"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50.00</w:t>
            </w:r>
          </w:p>
        </w:tc>
        <w:tc>
          <w:tcPr>
            <w:tcW w:w="1474" w:type="dxa"/>
            <w:vAlign w:val="top"/>
          </w:tcPr>
          <w:p w14:paraId="31EC4DE7">
            <w:pPr>
              <w:spacing w:before="112" w:line="188" w:lineRule="auto"/>
              <w:ind w:left="5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tc>
        <w:tc>
          <w:tcPr>
            <w:tcW w:w="1488" w:type="dxa"/>
            <w:tcBorders>
              <w:right w:val="single" w:color="000000" w:sz="10" w:space="0"/>
            </w:tcBorders>
            <w:vAlign w:val="top"/>
          </w:tcPr>
          <w:p w14:paraId="50679C57">
            <w:pPr>
              <w:spacing w:before="112" w:line="188" w:lineRule="auto"/>
              <w:ind w:left="45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3000.00</w:t>
            </w:r>
          </w:p>
        </w:tc>
      </w:tr>
      <w:tr w14:paraId="78EF4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6EDA5B59">
            <w:pPr>
              <w:rPr>
                <w:rFonts w:ascii="Arial"/>
                <w:sz w:val="21"/>
              </w:rPr>
            </w:pPr>
          </w:p>
        </w:tc>
        <w:tc>
          <w:tcPr>
            <w:tcW w:w="2215" w:type="dxa"/>
            <w:vAlign w:val="top"/>
          </w:tcPr>
          <w:p w14:paraId="250309F9">
            <w:pPr>
              <w:spacing w:before="81" w:line="214" w:lineRule="auto"/>
              <w:ind w:left="65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其他材料费</w:t>
            </w:r>
          </w:p>
        </w:tc>
        <w:tc>
          <w:tcPr>
            <w:tcW w:w="1144" w:type="dxa"/>
            <w:vAlign w:val="top"/>
          </w:tcPr>
          <w:p w14:paraId="05E6CF7A">
            <w:pPr>
              <w:spacing w:before="112" w:line="188" w:lineRule="auto"/>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33" w:type="dxa"/>
            <w:vAlign w:val="top"/>
          </w:tcPr>
          <w:p w14:paraId="73545181">
            <w:pPr>
              <w:spacing w:before="112" w:line="188" w:lineRule="auto"/>
              <w:ind w:left="4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1474" w:type="dxa"/>
            <w:vAlign w:val="top"/>
          </w:tcPr>
          <w:p w14:paraId="5A83F880">
            <w:pPr>
              <w:spacing w:before="112"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6000.00</w:t>
            </w:r>
          </w:p>
        </w:tc>
        <w:tc>
          <w:tcPr>
            <w:tcW w:w="1488" w:type="dxa"/>
            <w:tcBorders>
              <w:right w:val="single" w:color="000000" w:sz="10" w:space="0"/>
            </w:tcBorders>
            <w:vAlign w:val="top"/>
          </w:tcPr>
          <w:p w14:paraId="373D6C05">
            <w:pPr>
              <w:spacing w:before="112" w:line="188" w:lineRule="auto"/>
              <w:ind w:left="51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180.00</w:t>
            </w:r>
          </w:p>
        </w:tc>
      </w:tr>
      <w:tr w14:paraId="58B0B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4F8B97E6">
            <w:pPr>
              <w:spacing w:before="83" w:line="227" w:lineRule="auto"/>
              <w:ind w:left="34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（二）</w:t>
            </w:r>
          </w:p>
        </w:tc>
        <w:tc>
          <w:tcPr>
            <w:tcW w:w="2215" w:type="dxa"/>
            <w:vAlign w:val="top"/>
          </w:tcPr>
          <w:p w14:paraId="51570DD0">
            <w:pPr>
              <w:spacing w:before="82" w:line="214" w:lineRule="auto"/>
              <w:ind w:left="65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其他直接费</w:t>
            </w:r>
          </w:p>
        </w:tc>
        <w:tc>
          <w:tcPr>
            <w:tcW w:w="1144" w:type="dxa"/>
            <w:vAlign w:val="top"/>
          </w:tcPr>
          <w:p w14:paraId="042E4F8E">
            <w:pPr>
              <w:spacing w:before="113" w:line="188" w:lineRule="auto"/>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33" w:type="dxa"/>
            <w:vAlign w:val="top"/>
          </w:tcPr>
          <w:p w14:paraId="0C8CAD56">
            <w:pPr>
              <w:spacing w:before="113" w:line="188" w:lineRule="auto"/>
              <w:ind w:left="47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474" w:type="dxa"/>
            <w:vAlign w:val="top"/>
          </w:tcPr>
          <w:p w14:paraId="3E5D8F0A">
            <w:pPr>
              <w:spacing w:before="113"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6268.68</w:t>
            </w:r>
          </w:p>
        </w:tc>
        <w:tc>
          <w:tcPr>
            <w:tcW w:w="1488" w:type="dxa"/>
            <w:tcBorders>
              <w:right w:val="single" w:color="000000" w:sz="10" w:space="0"/>
            </w:tcBorders>
            <w:vAlign w:val="top"/>
          </w:tcPr>
          <w:p w14:paraId="1ACC1460">
            <w:pPr>
              <w:spacing w:before="113" w:line="188" w:lineRule="auto"/>
              <w:ind w:left="5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62.69</w:t>
            </w:r>
          </w:p>
        </w:tc>
      </w:tr>
      <w:tr w14:paraId="06AB4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5FD53FD1">
            <w:pPr>
              <w:spacing w:before="125" w:line="171" w:lineRule="auto"/>
              <w:ind w:left="537"/>
              <w:rPr>
                <w:rFonts w:ascii="FangSong_GB2312" w:hAnsi="FangSong_GB2312" w:eastAsia="FangSong_GB2312" w:cs="FangSong_GB2312"/>
                <w:sz w:val="18"/>
                <w:szCs w:val="18"/>
              </w:rPr>
            </w:pPr>
            <w:r>
              <w:rPr>
                <w:rFonts w:ascii="FangSong_GB2312" w:hAnsi="FangSong_GB2312" w:eastAsia="FangSong_GB2312" w:cs="FangSong_GB2312"/>
                <w:sz w:val="18"/>
                <w:szCs w:val="18"/>
              </w:rPr>
              <w:t>二</w:t>
            </w:r>
          </w:p>
        </w:tc>
        <w:tc>
          <w:tcPr>
            <w:tcW w:w="2215" w:type="dxa"/>
            <w:vAlign w:val="top"/>
          </w:tcPr>
          <w:p w14:paraId="2D58A882">
            <w:pPr>
              <w:spacing w:before="85" w:line="214" w:lineRule="auto"/>
              <w:ind w:left="855"/>
              <w:rPr>
                <w:rFonts w:ascii="FangSong_GB2312" w:hAnsi="FangSong_GB2312" w:eastAsia="FangSong_GB2312" w:cs="FangSong_GB2312"/>
                <w:sz w:val="18"/>
                <w:szCs w:val="18"/>
              </w:rPr>
            </w:pPr>
            <w:r>
              <w:rPr>
                <w:rFonts w:ascii="FangSong_GB2312" w:hAnsi="FangSong_GB2312" w:eastAsia="FangSong_GB2312" w:cs="FangSong_GB2312"/>
                <w:spacing w:val="-9"/>
                <w:sz w:val="18"/>
                <w:szCs w:val="18"/>
              </w:rPr>
              <w:t>间接费</w:t>
            </w:r>
          </w:p>
        </w:tc>
        <w:tc>
          <w:tcPr>
            <w:tcW w:w="1144" w:type="dxa"/>
            <w:vAlign w:val="top"/>
          </w:tcPr>
          <w:p w14:paraId="3665F5FB">
            <w:pPr>
              <w:spacing w:before="113" w:line="188" w:lineRule="auto"/>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33" w:type="dxa"/>
            <w:vAlign w:val="top"/>
          </w:tcPr>
          <w:p w14:paraId="59517913">
            <w:pPr>
              <w:spacing w:before="114" w:line="188" w:lineRule="auto"/>
              <w:ind w:left="46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w:t>
            </w:r>
          </w:p>
        </w:tc>
        <w:tc>
          <w:tcPr>
            <w:tcW w:w="1474" w:type="dxa"/>
            <w:vAlign w:val="top"/>
          </w:tcPr>
          <w:p w14:paraId="52A5146E">
            <w:pPr>
              <w:spacing w:before="114"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6331.37</w:t>
            </w:r>
          </w:p>
        </w:tc>
        <w:tc>
          <w:tcPr>
            <w:tcW w:w="1488" w:type="dxa"/>
            <w:tcBorders>
              <w:right w:val="single" w:color="000000" w:sz="10" w:space="0"/>
            </w:tcBorders>
            <w:vAlign w:val="top"/>
          </w:tcPr>
          <w:p w14:paraId="326CBEDF">
            <w:pPr>
              <w:spacing w:before="114" w:line="188" w:lineRule="auto"/>
              <w:ind w:left="50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379.88</w:t>
            </w:r>
          </w:p>
        </w:tc>
      </w:tr>
      <w:tr w14:paraId="608C5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4A28D9D7">
            <w:pPr>
              <w:spacing w:before="86" w:line="225" w:lineRule="auto"/>
              <w:ind w:left="540"/>
              <w:rPr>
                <w:rFonts w:ascii="FangSong_GB2312" w:hAnsi="FangSong_GB2312" w:eastAsia="FangSong_GB2312" w:cs="FangSong_GB2312"/>
                <w:sz w:val="18"/>
                <w:szCs w:val="18"/>
              </w:rPr>
            </w:pPr>
            <w:r>
              <w:rPr>
                <w:rFonts w:ascii="FangSong_GB2312" w:hAnsi="FangSong_GB2312" w:eastAsia="FangSong_GB2312" w:cs="FangSong_GB2312"/>
                <w:sz w:val="18"/>
                <w:szCs w:val="18"/>
              </w:rPr>
              <w:t>三</w:t>
            </w:r>
          </w:p>
        </w:tc>
        <w:tc>
          <w:tcPr>
            <w:tcW w:w="2215" w:type="dxa"/>
            <w:vAlign w:val="top"/>
          </w:tcPr>
          <w:p w14:paraId="6C177917">
            <w:pPr>
              <w:spacing w:before="86" w:line="217" w:lineRule="auto"/>
              <w:ind w:left="92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利润</w:t>
            </w:r>
          </w:p>
        </w:tc>
        <w:tc>
          <w:tcPr>
            <w:tcW w:w="1144" w:type="dxa"/>
            <w:vAlign w:val="top"/>
          </w:tcPr>
          <w:p w14:paraId="586DF8DB">
            <w:pPr>
              <w:spacing w:before="114" w:line="188" w:lineRule="auto"/>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33" w:type="dxa"/>
            <w:vAlign w:val="top"/>
          </w:tcPr>
          <w:p w14:paraId="38056BDE">
            <w:pPr>
              <w:spacing w:before="114" w:line="188" w:lineRule="auto"/>
              <w:ind w:left="4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w:t>
            </w:r>
          </w:p>
        </w:tc>
        <w:tc>
          <w:tcPr>
            <w:tcW w:w="1474" w:type="dxa"/>
            <w:vAlign w:val="top"/>
          </w:tcPr>
          <w:p w14:paraId="12E9E40E">
            <w:pPr>
              <w:spacing w:before="114"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6711.25</w:t>
            </w:r>
          </w:p>
        </w:tc>
        <w:tc>
          <w:tcPr>
            <w:tcW w:w="1488" w:type="dxa"/>
            <w:tcBorders>
              <w:right w:val="single" w:color="000000" w:sz="10" w:space="0"/>
            </w:tcBorders>
            <w:vAlign w:val="top"/>
          </w:tcPr>
          <w:p w14:paraId="740C049D">
            <w:pPr>
              <w:spacing w:before="114" w:line="188" w:lineRule="auto"/>
              <w:ind w:left="5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469.79</w:t>
            </w:r>
          </w:p>
        </w:tc>
      </w:tr>
      <w:tr w14:paraId="63333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13AA18E4">
            <w:pPr>
              <w:spacing w:before="86" w:line="225" w:lineRule="auto"/>
              <w:ind w:left="548"/>
              <w:rPr>
                <w:rFonts w:ascii="FangSong_GB2312" w:hAnsi="FangSong_GB2312" w:eastAsia="FangSong_GB2312" w:cs="FangSong_GB2312"/>
                <w:sz w:val="18"/>
                <w:szCs w:val="18"/>
              </w:rPr>
            </w:pPr>
            <w:r>
              <w:rPr>
                <w:rFonts w:ascii="FangSong_GB2312" w:hAnsi="FangSong_GB2312" w:eastAsia="FangSong_GB2312" w:cs="FangSong_GB2312"/>
                <w:sz w:val="18"/>
                <w:szCs w:val="18"/>
              </w:rPr>
              <w:t>四</w:t>
            </w:r>
          </w:p>
        </w:tc>
        <w:tc>
          <w:tcPr>
            <w:tcW w:w="2215" w:type="dxa"/>
            <w:vAlign w:val="top"/>
          </w:tcPr>
          <w:p w14:paraId="72551E2D">
            <w:pPr>
              <w:spacing w:before="86" w:line="214" w:lineRule="auto"/>
              <w:ind w:left="74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材料补差</w:t>
            </w:r>
          </w:p>
        </w:tc>
        <w:tc>
          <w:tcPr>
            <w:tcW w:w="1144" w:type="dxa"/>
            <w:vAlign w:val="top"/>
          </w:tcPr>
          <w:p w14:paraId="0C7C2BAF">
            <w:pPr>
              <w:rPr>
                <w:rFonts w:ascii="Arial"/>
                <w:sz w:val="21"/>
              </w:rPr>
            </w:pPr>
          </w:p>
        </w:tc>
        <w:tc>
          <w:tcPr>
            <w:tcW w:w="1233" w:type="dxa"/>
            <w:vAlign w:val="top"/>
          </w:tcPr>
          <w:p w14:paraId="0D321BD7">
            <w:pPr>
              <w:rPr>
                <w:rFonts w:ascii="Arial"/>
                <w:sz w:val="21"/>
              </w:rPr>
            </w:pPr>
          </w:p>
        </w:tc>
        <w:tc>
          <w:tcPr>
            <w:tcW w:w="1474" w:type="dxa"/>
            <w:vAlign w:val="top"/>
          </w:tcPr>
          <w:p w14:paraId="10EA94B4">
            <w:pPr>
              <w:rPr>
                <w:rFonts w:ascii="Arial"/>
                <w:sz w:val="21"/>
              </w:rPr>
            </w:pPr>
          </w:p>
        </w:tc>
        <w:tc>
          <w:tcPr>
            <w:tcW w:w="1488" w:type="dxa"/>
            <w:tcBorders>
              <w:right w:val="single" w:color="000000" w:sz="10" w:space="0"/>
            </w:tcBorders>
            <w:vAlign w:val="top"/>
          </w:tcPr>
          <w:p w14:paraId="1E9CEE6E">
            <w:pPr>
              <w:spacing w:before="117" w:line="188" w:lineRule="auto"/>
              <w:ind w:left="4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2636.28</w:t>
            </w:r>
          </w:p>
        </w:tc>
      </w:tr>
      <w:tr w14:paraId="3D399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13DCE9C5">
            <w:pPr>
              <w:rPr>
                <w:rFonts w:ascii="Arial"/>
                <w:sz w:val="21"/>
              </w:rPr>
            </w:pPr>
          </w:p>
        </w:tc>
        <w:tc>
          <w:tcPr>
            <w:tcW w:w="2215" w:type="dxa"/>
            <w:vAlign w:val="top"/>
          </w:tcPr>
          <w:p w14:paraId="4CE1E2F5">
            <w:pPr>
              <w:spacing w:before="85" w:line="216" w:lineRule="auto"/>
              <w:ind w:left="84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黑麦草</w:t>
            </w:r>
          </w:p>
        </w:tc>
        <w:tc>
          <w:tcPr>
            <w:tcW w:w="1144" w:type="dxa"/>
            <w:vAlign w:val="top"/>
          </w:tcPr>
          <w:p w14:paraId="60086C27">
            <w:pPr>
              <w:spacing w:before="114" w:line="192" w:lineRule="auto"/>
              <w:ind w:left="4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33" w:type="dxa"/>
            <w:vAlign w:val="top"/>
          </w:tcPr>
          <w:p w14:paraId="1463934A">
            <w:pPr>
              <w:spacing w:before="11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50.00</w:t>
            </w:r>
          </w:p>
        </w:tc>
        <w:tc>
          <w:tcPr>
            <w:tcW w:w="1474" w:type="dxa"/>
            <w:vAlign w:val="top"/>
          </w:tcPr>
          <w:p w14:paraId="0F75B10E">
            <w:pPr>
              <w:spacing w:before="118" w:line="188" w:lineRule="auto"/>
              <w:ind w:left="54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20.81</w:t>
            </w:r>
          </w:p>
        </w:tc>
        <w:tc>
          <w:tcPr>
            <w:tcW w:w="1488" w:type="dxa"/>
            <w:tcBorders>
              <w:right w:val="single" w:color="000000" w:sz="10" w:space="0"/>
            </w:tcBorders>
            <w:vAlign w:val="top"/>
          </w:tcPr>
          <w:p w14:paraId="7BCE1CF1">
            <w:pPr>
              <w:spacing w:before="118"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1040.37</w:t>
            </w:r>
          </w:p>
        </w:tc>
      </w:tr>
      <w:tr w14:paraId="3894A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6ED0C430">
            <w:pPr>
              <w:rPr>
                <w:rFonts w:ascii="Arial"/>
                <w:sz w:val="21"/>
              </w:rPr>
            </w:pPr>
          </w:p>
        </w:tc>
        <w:tc>
          <w:tcPr>
            <w:tcW w:w="2215" w:type="dxa"/>
            <w:vAlign w:val="top"/>
          </w:tcPr>
          <w:p w14:paraId="6C98E641">
            <w:pPr>
              <w:spacing w:before="87" w:line="214" w:lineRule="auto"/>
              <w:ind w:left="84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高羊茅</w:t>
            </w:r>
          </w:p>
        </w:tc>
        <w:tc>
          <w:tcPr>
            <w:tcW w:w="1144" w:type="dxa"/>
            <w:vAlign w:val="top"/>
          </w:tcPr>
          <w:p w14:paraId="49666E6D">
            <w:pPr>
              <w:spacing w:before="115" w:line="192" w:lineRule="auto"/>
              <w:ind w:left="48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233" w:type="dxa"/>
            <w:vAlign w:val="top"/>
          </w:tcPr>
          <w:p w14:paraId="59D62043">
            <w:pPr>
              <w:spacing w:before="118" w:line="188" w:lineRule="auto"/>
              <w:ind w:left="4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50.00</w:t>
            </w:r>
          </w:p>
        </w:tc>
        <w:tc>
          <w:tcPr>
            <w:tcW w:w="1474" w:type="dxa"/>
            <w:vAlign w:val="top"/>
          </w:tcPr>
          <w:p w14:paraId="390B8192">
            <w:pPr>
              <w:spacing w:before="118" w:line="188" w:lineRule="auto"/>
              <w:ind w:left="5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31.92</w:t>
            </w:r>
          </w:p>
        </w:tc>
        <w:tc>
          <w:tcPr>
            <w:tcW w:w="1488" w:type="dxa"/>
            <w:tcBorders>
              <w:right w:val="single" w:color="000000" w:sz="10" w:space="0"/>
            </w:tcBorders>
            <w:vAlign w:val="top"/>
          </w:tcPr>
          <w:p w14:paraId="00AD4CCE">
            <w:pPr>
              <w:spacing w:before="118"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1595.92</w:t>
            </w:r>
          </w:p>
        </w:tc>
      </w:tr>
      <w:tr w14:paraId="4691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51" w:type="dxa"/>
            <w:tcBorders>
              <w:left w:val="single" w:color="000000" w:sz="10" w:space="0"/>
            </w:tcBorders>
            <w:vAlign w:val="top"/>
          </w:tcPr>
          <w:p w14:paraId="0FDBB370">
            <w:pPr>
              <w:spacing w:before="115" w:line="184" w:lineRule="auto"/>
              <w:ind w:left="533"/>
              <w:rPr>
                <w:rFonts w:ascii="FangSong_GB2312" w:hAnsi="FangSong_GB2312" w:eastAsia="FangSong_GB2312" w:cs="FangSong_GB2312"/>
                <w:sz w:val="18"/>
                <w:szCs w:val="18"/>
              </w:rPr>
            </w:pPr>
            <w:r>
              <w:rPr>
                <w:rFonts w:ascii="FangSong_GB2312" w:hAnsi="FangSong_GB2312" w:eastAsia="FangSong_GB2312" w:cs="FangSong_GB2312"/>
                <w:sz w:val="18"/>
                <w:szCs w:val="18"/>
              </w:rPr>
              <w:t>五</w:t>
            </w:r>
          </w:p>
        </w:tc>
        <w:tc>
          <w:tcPr>
            <w:tcW w:w="2215" w:type="dxa"/>
            <w:vAlign w:val="top"/>
          </w:tcPr>
          <w:p w14:paraId="54630DC1">
            <w:pPr>
              <w:spacing w:before="89" w:line="219" w:lineRule="auto"/>
              <w:ind w:left="92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税金</w:t>
            </w:r>
          </w:p>
        </w:tc>
        <w:tc>
          <w:tcPr>
            <w:tcW w:w="1144" w:type="dxa"/>
            <w:vAlign w:val="top"/>
          </w:tcPr>
          <w:p w14:paraId="2D00FC08">
            <w:pPr>
              <w:spacing w:before="119" w:line="188" w:lineRule="auto"/>
              <w:ind w:left="5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233" w:type="dxa"/>
            <w:vAlign w:val="top"/>
          </w:tcPr>
          <w:p w14:paraId="2D2C2A2F">
            <w:pPr>
              <w:spacing w:before="119" w:line="188" w:lineRule="auto"/>
              <w:ind w:left="4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9.00</w:t>
            </w:r>
          </w:p>
        </w:tc>
        <w:tc>
          <w:tcPr>
            <w:tcW w:w="1474" w:type="dxa"/>
            <w:vAlign w:val="top"/>
          </w:tcPr>
          <w:p w14:paraId="26B2F066">
            <w:pPr>
              <w:spacing w:before="119" w:line="188" w:lineRule="auto"/>
              <w:ind w:left="4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9817.32</w:t>
            </w:r>
          </w:p>
        </w:tc>
        <w:tc>
          <w:tcPr>
            <w:tcW w:w="1488" w:type="dxa"/>
            <w:tcBorders>
              <w:right w:val="single" w:color="000000" w:sz="10" w:space="0"/>
            </w:tcBorders>
            <w:vAlign w:val="top"/>
          </w:tcPr>
          <w:p w14:paraId="6C9079CA">
            <w:pPr>
              <w:spacing w:before="119" w:line="188" w:lineRule="auto"/>
              <w:ind w:left="50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883.56</w:t>
            </w:r>
          </w:p>
        </w:tc>
      </w:tr>
      <w:tr w14:paraId="39E15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251" w:type="dxa"/>
            <w:tcBorders>
              <w:left w:val="single" w:color="000000" w:sz="10" w:space="0"/>
              <w:bottom w:val="single" w:color="000000" w:sz="10" w:space="0"/>
            </w:tcBorders>
            <w:vAlign w:val="top"/>
          </w:tcPr>
          <w:p w14:paraId="3AE83801">
            <w:pPr>
              <w:spacing w:before="91" w:line="214" w:lineRule="auto"/>
              <w:ind w:left="433"/>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概算</w:t>
            </w:r>
          </w:p>
        </w:tc>
        <w:tc>
          <w:tcPr>
            <w:tcW w:w="2215" w:type="dxa"/>
            <w:tcBorders>
              <w:bottom w:val="single" w:color="000000" w:sz="10" w:space="0"/>
            </w:tcBorders>
            <w:vAlign w:val="top"/>
          </w:tcPr>
          <w:p w14:paraId="311F56B7">
            <w:pPr>
              <w:spacing w:before="91" w:line="216" w:lineRule="auto"/>
              <w:ind w:left="927"/>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合计</w:t>
            </w:r>
          </w:p>
        </w:tc>
        <w:tc>
          <w:tcPr>
            <w:tcW w:w="1144" w:type="dxa"/>
            <w:tcBorders>
              <w:bottom w:val="single" w:color="000000" w:sz="10" w:space="0"/>
            </w:tcBorders>
            <w:vAlign w:val="top"/>
          </w:tcPr>
          <w:p w14:paraId="637D64BC">
            <w:pPr>
              <w:rPr>
                <w:rFonts w:ascii="Arial"/>
                <w:sz w:val="21"/>
              </w:rPr>
            </w:pPr>
          </w:p>
        </w:tc>
        <w:tc>
          <w:tcPr>
            <w:tcW w:w="1233" w:type="dxa"/>
            <w:tcBorders>
              <w:bottom w:val="single" w:color="000000" w:sz="10" w:space="0"/>
            </w:tcBorders>
            <w:vAlign w:val="top"/>
          </w:tcPr>
          <w:p w14:paraId="11358051">
            <w:pPr>
              <w:rPr>
                <w:rFonts w:ascii="Arial"/>
                <w:sz w:val="21"/>
              </w:rPr>
            </w:pPr>
          </w:p>
        </w:tc>
        <w:tc>
          <w:tcPr>
            <w:tcW w:w="1474" w:type="dxa"/>
            <w:tcBorders>
              <w:bottom w:val="single" w:color="000000" w:sz="10" w:space="0"/>
            </w:tcBorders>
            <w:vAlign w:val="top"/>
          </w:tcPr>
          <w:p w14:paraId="13C968CB">
            <w:pPr>
              <w:rPr>
                <w:rFonts w:ascii="Arial"/>
                <w:sz w:val="21"/>
              </w:rPr>
            </w:pPr>
          </w:p>
        </w:tc>
        <w:tc>
          <w:tcPr>
            <w:tcW w:w="1488" w:type="dxa"/>
            <w:tcBorders>
              <w:bottom w:val="single" w:color="000000" w:sz="10" w:space="0"/>
              <w:right w:val="single" w:color="000000" w:sz="10" w:space="0"/>
            </w:tcBorders>
            <w:vAlign w:val="top"/>
          </w:tcPr>
          <w:p w14:paraId="483ED1E1">
            <w:pPr>
              <w:spacing w:before="120" w:line="188" w:lineRule="auto"/>
              <w:ind w:left="429"/>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10700.88</w:t>
            </w:r>
          </w:p>
        </w:tc>
      </w:tr>
    </w:tbl>
    <w:p w14:paraId="3B369DAA">
      <w:pPr>
        <w:spacing w:before="153" w:line="222" w:lineRule="auto"/>
        <w:ind w:right="19"/>
        <w:jc w:val="right"/>
        <w:rPr>
          <w:rFonts w:ascii="FangSong_GB2312" w:hAnsi="FangSong_GB2312" w:eastAsia="FangSong_GB2312" w:cs="FangSong_GB2312"/>
          <w:sz w:val="20"/>
          <w:szCs w:val="20"/>
        </w:rPr>
      </w:pPr>
      <w:r>
        <w:rPr>
          <w:rFonts w:ascii="FangSong_GB2312" w:hAnsi="FangSong_GB2312" w:eastAsia="FangSong_GB2312" w:cs="FangSong_GB2312"/>
          <w:b/>
          <w:bCs/>
          <w:spacing w:val="6"/>
          <w:sz w:val="20"/>
          <w:szCs w:val="20"/>
        </w:rPr>
        <w:t>表</w:t>
      </w:r>
      <w:r>
        <w:rPr>
          <w:rFonts w:ascii="FangSong_GB2312" w:hAnsi="FangSong_GB2312" w:eastAsia="FangSong_GB2312" w:cs="FangSong_GB2312"/>
          <w:spacing w:val="-38"/>
          <w:sz w:val="20"/>
          <w:szCs w:val="20"/>
        </w:rPr>
        <w:t xml:space="preserve"> </w:t>
      </w:r>
      <w:r>
        <w:rPr>
          <w:rFonts w:ascii="Times New Roman" w:hAnsi="Times New Roman" w:eastAsia="Times New Roman" w:cs="Times New Roman"/>
          <w:b/>
          <w:bCs/>
          <w:spacing w:val="6"/>
          <w:sz w:val="20"/>
          <w:szCs w:val="20"/>
        </w:rPr>
        <w:t xml:space="preserve">7.1-9    </w:t>
      </w:r>
      <w:r>
        <w:rPr>
          <w:rFonts w:ascii="FangSong_GB2312" w:hAnsi="FangSong_GB2312" w:eastAsia="FangSong_GB2312" w:cs="FangSong_GB2312"/>
          <w:b/>
          <w:bCs/>
          <w:spacing w:val="6"/>
          <w:sz w:val="20"/>
          <w:szCs w:val="20"/>
        </w:rPr>
        <w:t>施工机械台时汇总表</w:t>
      </w:r>
      <w:r>
        <w:rPr>
          <w:rFonts w:ascii="FangSong_GB2312" w:hAnsi="FangSong_GB2312" w:eastAsia="FangSong_GB2312" w:cs="FangSong_GB2312"/>
          <w:spacing w:val="6"/>
          <w:sz w:val="20"/>
          <w:szCs w:val="20"/>
        </w:rPr>
        <w:t xml:space="preserve">        </w:t>
      </w:r>
      <w:r>
        <w:rPr>
          <w:rFonts w:ascii="FangSong_GB2312" w:hAnsi="FangSong_GB2312" w:eastAsia="FangSong_GB2312" w:cs="FangSong_GB2312"/>
          <w:spacing w:val="5"/>
          <w:sz w:val="20"/>
          <w:szCs w:val="20"/>
        </w:rPr>
        <w:t xml:space="preserve">             </w:t>
      </w:r>
      <w:r>
        <w:rPr>
          <w:rFonts w:ascii="FangSong_GB2312" w:hAnsi="FangSong_GB2312" w:eastAsia="FangSong_GB2312" w:cs="FangSong_GB2312"/>
          <w:b/>
          <w:bCs/>
          <w:spacing w:val="5"/>
          <w:sz w:val="20"/>
          <w:szCs w:val="20"/>
        </w:rPr>
        <w:t>单位：元</w:t>
      </w:r>
    </w:p>
    <w:tbl>
      <w:tblPr>
        <w:tblStyle w:val="6"/>
        <w:tblW w:w="89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237"/>
        <w:gridCol w:w="723"/>
        <w:gridCol w:w="724"/>
        <w:gridCol w:w="596"/>
        <w:gridCol w:w="512"/>
        <w:gridCol w:w="596"/>
        <w:gridCol w:w="598"/>
        <w:gridCol w:w="553"/>
        <w:gridCol w:w="686"/>
        <w:gridCol w:w="686"/>
        <w:gridCol w:w="634"/>
        <w:gridCol w:w="478"/>
        <w:gridCol w:w="409"/>
      </w:tblGrid>
      <w:tr w14:paraId="73753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67" w:type="dxa"/>
            <w:vMerge w:val="restart"/>
            <w:tcBorders>
              <w:top w:val="single" w:color="000000" w:sz="10" w:space="0"/>
              <w:left w:val="single" w:color="000000" w:sz="10" w:space="0"/>
              <w:bottom w:val="nil"/>
            </w:tcBorders>
            <w:textDirection w:val="tbRlV"/>
            <w:vAlign w:val="top"/>
          </w:tcPr>
          <w:p w14:paraId="0ECCFE92">
            <w:pPr>
              <w:spacing w:before="195" w:line="206" w:lineRule="auto"/>
              <w:ind w:left="620"/>
              <w:rPr>
                <w:rFonts w:ascii="FangSong_GB2312" w:hAnsi="FangSong_GB2312" w:eastAsia="FangSong_GB2312" w:cs="FangSong_GB2312"/>
                <w:sz w:val="18"/>
                <w:szCs w:val="18"/>
              </w:rPr>
            </w:pPr>
            <w:r>
              <w:rPr>
                <w:rFonts w:ascii="FangSong_GB2312" w:hAnsi="FangSong_GB2312" w:eastAsia="FangSong_GB2312" w:cs="FangSong_GB2312"/>
                <w:spacing w:val="26"/>
                <w:sz w:val="18"/>
                <w:szCs w:val="18"/>
              </w:rPr>
              <w:t>序号</w:t>
            </w:r>
          </w:p>
        </w:tc>
        <w:tc>
          <w:tcPr>
            <w:tcW w:w="1237" w:type="dxa"/>
            <w:vMerge w:val="restart"/>
            <w:tcBorders>
              <w:top w:val="single" w:color="000000" w:sz="10" w:space="0"/>
              <w:bottom w:val="nil"/>
            </w:tcBorders>
            <w:vAlign w:val="top"/>
          </w:tcPr>
          <w:p w14:paraId="46105576">
            <w:pPr>
              <w:spacing w:line="336" w:lineRule="auto"/>
              <w:rPr>
                <w:rFonts w:ascii="Arial"/>
                <w:sz w:val="21"/>
              </w:rPr>
            </w:pPr>
          </w:p>
          <w:p w14:paraId="7B5A3D32">
            <w:pPr>
              <w:spacing w:line="336" w:lineRule="auto"/>
              <w:rPr>
                <w:rFonts w:ascii="Arial"/>
                <w:sz w:val="21"/>
              </w:rPr>
            </w:pPr>
          </w:p>
          <w:p w14:paraId="18485B43">
            <w:pPr>
              <w:spacing w:before="59" w:line="214" w:lineRule="auto"/>
              <w:ind w:left="159"/>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名称及规格</w:t>
            </w:r>
          </w:p>
        </w:tc>
        <w:tc>
          <w:tcPr>
            <w:tcW w:w="723" w:type="dxa"/>
            <w:vMerge w:val="restart"/>
            <w:tcBorders>
              <w:top w:val="single" w:color="000000" w:sz="10" w:space="0"/>
              <w:bottom w:val="nil"/>
            </w:tcBorders>
            <w:vAlign w:val="top"/>
          </w:tcPr>
          <w:p w14:paraId="1D81C36C">
            <w:pPr>
              <w:spacing w:line="279" w:lineRule="auto"/>
              <w:rPr>
                <w:rFonts w:ascii="Arial"/>
                <w:sz w:val="21"/>
              </w:rPr>
            </w:pPr>
          </w:p>
          <w:p w14:paraId="05BCA69C">
            <w:pPr>
              <w:spacing w:line="280" w:lineRule="auto"/>
              <w:rPr>
                <w:rFonts w:ascii="Arial"/>
                <w:sz w:val="21"/>
              </w:rPr>
            </w:pPr>
          </w:p>
          <w:p w14:paraId="47533705">
            <w:pPr>
              <w:spacing w:before="58" w:line="238" w:lineRule="auto"/>
              <w:ind w:left="281" w:right="186" w:hanging="82"/>
              <w:rPr>
                <w:rFonts w:ascii="FangSong_GB2312" w:hAnsi="FangSong_GB2312" w:eastAsia="FangSong_GB2312" w:cs="FangSong_GB2312"/>
                <w:sz w:val="18"/>
                <w:szCs w:val="18"/>
              </w:rPr>
            </w:pPr>
            <w:r>
              <w:rPr>
                <w:rFonts w:ascii="FangSong_GB2312" w:hAnsi="FangSong_GB2312" w:eastAsia="FangSong_GB2312" w:cs="FangSong_GB2312"/>
                <w:spacing w:val="-15"/>
                <w:sz w:val="18"/>
                <w:szCs w:val="18"/>
              </w:rPr>
              <w:t>台时</w:t>
            </w:r>
            <w:r>
              <w:rPr>
                <w:rFonts w:ascii="FangSong_GB2312" w:hAnsi="FangSong_GB2312" w:eastAsia="FangSong_GB2312" w:cs="FangSong_GB2312"/>
                <w:sz w:val="18"/>
                <w:szCs w:val="18"/>
              </w:rPr>
              <w:t>费</w:t>
            </w:r>
          </w:p>
        </w:tc>
        <w:tc>
          <w:tcPr>
            <w:tcW w:w="3026" w:type="dxa"/>
            <w:gridSpan w:val="5"/>
            <w:tcBorders>
              <w:top w:val="single" w:color="000000" w:sz="10" w:space="0"/>
            </w:tcBorders>
            <w:vAlign w:val="top"/>
          </w:tcPr>
          <w:p w14:paraId="18BB00FE">
            <w:pPr>
              <w:spacing w:before="147" w:line="214" w:lineRule="auto"/>
              <w:ind w:left="1334"/>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其中</w:t>
            </w:r>
          </w:p>
        </w:tc>
        <w:tc>
          <w:tcPr>
            <w:tcW w:w="553" w:type="dxa"/>
            <w:tcBorders>
              <w:top w:val="single" w:color="000000" w:sz="10" w:space="0"/>
            </w:tcBorders>
            <w:vAlign w:val="top"/>
          </w:tcPr>
          <w:p w14:paraId="24CC2CBD">
            <w:pPr>
              <w:spacing w:before="32" w:line="224" w:lineRule="auto"/>
              <w:ind w:left="196"/>
              <w:rPr>
                <w:rFonts w:ascii="FangSong_GB2312" w:hAnsi="FangSong_GB2312" w:eastAsia="FangSong_GB2312" w:cs="FangSong_GB2312"/>
                <w:sz w:val="18"/>
                <w:szCs w:val="18"/>
              </w:rPr>
            </w:pPr>
            <w:r>
              <w:rPr>
                <w:rFonts w:ascii="FangSong_GB2312" w:hAnsi="FangSong_GB2312" w:eastAsia="FangSong_GB2312" w:cs="FangSong_GB2312"/>
                <w:sz w:val="18"/>
                <w:szCs w:val="18"/>
              </w:rPr>
              <w:t>人</w:t>
            </w:r>
          </w:p>
          <w:p w14:paraId="44C2C2DF">
            <w:pPr>
              <w:spacing w:before="41" w:line="175" w:lineRule="auto"/>
              <w:ind w:left="198"/>
              <w:rPr>
                <w:rFonts w:ascii="FangSong_GB2312" w:hAnsi="FangSong_GB2312" w:eastAsia="FangSong_GB2312" w:cs="FangSong_GB2312"/>
                <w:sz w:val="18"/>
                <w:szCs w:val="18"/>
              </w:rPr>
            </w:pPr>
            <w:r>
              <w:rPr>
                <w:rFonts w:ascii="FangSong_GB2312" w:hAnsi="FangSong_GB2312" w:eastAsia="FangSong_GB2312" w:cs="FangSong_GB2312"/>
                <w:sz w:val="18"/>
                <w:szCs w:val="18"/>
              </w:rPr>
              <w:t>工</w:t>
            </w:r>
          </w:p>
        </w:tc>
        <w:tc>
          <w:tcPr>
            <w:tcW w:w="2893" w:type="dxa"/>
            <w:gridSpan w:val="5"/>
            <w:tcBorders>
              <w:top w:val="single" w:color="000000" w:sz="10" w:space="0"/>
              <w:right w:val="single" w:color="000000" w:sz="10" w:space="0"/>
            </w:tcBorders>
            <w:vAlign w:val="top"/>
          </w:tcPr>
          <w:p w14:paraId="675237F3">
            <w:pPr>
              <w:spacing w:before="44" w:line="209" w:lineRule="auto"/>
              <w:ind w:left="136"/>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动力燃料费</w:t>
            </w:r>
            <w:r>
              <w:rPr>
                <w:rFonts w:ascii="FangSong_GB2312" w:hAnsi="FangSong_GB2312" w:eastAsia="FangSong_GB2312" w:cs="FangSong_GB2312"/>
                <w:spacing w:val="-36"/>
                <w:sz w:val="18"/>
                <w:szCs w:val="18"/>
              </w:rPr>
              <w:t xml:space="preserve"> </w:t>
            </w:r>
            <w:r>
              <w:rPr>
                <w:rFonts w:ascii="Times New Roman" w:hAnsi="Times New Roman" w:eastAsia="Times New Roman" w:cs="Times New Roman"/>
                <w:spacing w:val="-5"/>
                <w:sz w:val="18"/>
                <w:szCs w:val="18"/>
              </w:rPr>
              <w:t>kg</w:t>
            </w:r>
            <w:r>
              <w:rPr>
                <w:rFonts w:ascii="Times New Roman" w:hAnsi="Times New Roman" w:eastAsia="Times New Roman" w:cs="Times New Roman"/>
                <w:spacing w:val="-23"/>
                <w:sz w:val="18"/>
                <w:szCs w:val="18"/>
              </w:rPr>
              <w:t xml:space="preserve"> </w:t>
            </w:r>
            <w:r>
              <w:rPr>
                <w:rFonts w:ascii="FangSong_GB2312" w:hAnsi="FangSong_GB2312" w:eastAsia="FangSong_GB2312" w:cs="FangSong_GB2312"/>
                <w:spacing w:val="-5"/>
                <w:sz w:val="18"/>
                <w:szCs w:val="18"/>
              </w:rPr>
              <w:t>、</w:t>
            </w:r>
            <w:r>
              <w:rPr>
                <w:rFonts w:ascii="Times New Roman" w:hAnsi="Times New Roman" w:eastAsia="Times New Roman" w:cs="Times New Roman"/>
                <w:spacing w:val="-5"/>
                <w:sz w:val="18"/>
                <w:szCs w:val="18"/>
              </w:rPr>
              <w:t>kg</w:t>
            </w:r>
            <w:r>
              <w:rPr>
                <w:rFonts w:ascii="Times New Roman" w:hAnsi="Times New Roman" w:eastAsia="Times New Roman" w:cs="Times New Roman"/>
                <w:spacing w:val="-22"/>
                <w:sz w:val="18"/>
                <w:szCs w:val="18"/>
              </w:rPr>
              <w:t xml:space="preserve"> </w:t>
            </w:r>
            <w:r>
              <w:rPr>
                <w:rFonts w:ascii="FangSong_GB2312" w:hAnsi="FangSong_GB2312" w:eastAsia="FangSong_GB2312" w:cs="FangSong_GB2312"/>
                <w:spacing w:val="-5"/>
                <w:sz w:val="18"/>
                <w:szCs w:val="18"/>
              </w:rPr>
              <w:t>、</w:t>
            </w:r>
            <w:r>
              <w:rPr>
                <w:rFonts w:ascii="Times New Roman" w:hAnsi="Times New Roman" w:eastAsia="Times New Roman" w:cs="Times New Roman"/>
                <w:spacing w:val="-5"/>
                <w:sz w:val="18"/>
                <w:szCs w:val="18"/>
              </w:rPr>
              <w:t>kW.h</w:t>
            </w:r>
            <w:r>
              <w:rPr>
                <w:rFonts w:ascii="Times New Roman" w:hAnsi="Times New Roman" w:eastAsia="Times New Roman" w:cs="Times New Roman"/>
                <w:spacing w:val="-24"/>
                <w:sz w:val="18"/>
                <w:szCs w:val="18"/>
              </w:rPr>
              <w:t xml:space="preserve"> </w:t>
            </w:r>
            <w:r>
              <w:rPr>
                <w:rFonts w:ascii="FangSong_GB2312" w:hAnsi="FangSong_GB2312" w:eastAsia="FangSong_GB2312" w:cs="FangSong_GB2312"/>
                <w:spacing w:val="-5"/>
                <w:sz w:val="18"/>
                <w:szCs w:val="18"/>
              </w:rPr>
              <w:t>、</w:t>
            </w:r>
            <w:r>
              <w:rPr>
                <w:rFonts w:ascii="Times New Roman" w:hAnsi="Times New Roman" w:eastAsia="Times New Roman" w:cs="Times New Roman"/>
                <w:spacing w:val="-5"/>
                <w:sz w:val="18"/>
                <w:szCs w:val="18"/>
              </w:rPr>
              <w:t>m3</w:t>
            </w:r>
            <w:r>
              <w:rPr>
                <w:rFonts w:ascii="FangSong_GB2312" w:hAnsi="FangSong_GB2312" w:eastAsia="FangSong_GB2312" w:cs="FangSong_GB2312"/>
                <w:spacing w:val="-5"/>
                <w:sz w:val="18"/>
                <w:szCs w:val="18"/>
              </w:rPr>
              <w:t>、</w:t>
            </w:r>
          </w:p>
          <w:p w14:paraId="6222C227">
            <w:pPr>
              <w:spacing w:before="45" w:line="188" w:lineRule="auto"/>
              <w:ind w:left="13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m3</w:t>
            </w:r>
          </w:p>
        </w:tc>
      </w:tr>
      <w:tr w14:paraId="304E4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567" w:type="dxa"/>
            <w:vMerge w:val="continue"/>
            <w:tcBorders>
              <w:top w:val="nil"/>
              <w:left w:val="single" w:color="000000" w:sz="10" w:space="0"/>
            </w:tcBorders>
            <w:textDirection w:val="tbRlV"/>
            <w:vAlign w:val="top"/>
          </w:tcPr>
          <w:p w14:paraId="617049EE">
            <w:pPr>
              <w:rPr>
                <w:rFonts w:ascii="Arial"/>
                <w:sz w:val="21"/>
              </w:rPr>
            </w:pPr>
          </w:p>
        </w:tc>
        <w:tc>
          <w:tcPr>
            <w:tcW w:w="1237" w:type="dxa"/>
            <w:vMerge w:val="continue"/>
            <w:tcBorders>
              <w:top w:val="nil"/>
            </w:tcBorders>
            <w:vAlign w:val="top"/>
          </w:tcPr>
          <w:p w14:paraId="7D02A7CD">
            <w:pPr>
              <w:rPr>
                <w:rFonts w:ascii="Arial"/>
                <w:sz w:val="21"/>
              </w:rPr>
            </w:pPr>
          </w:p>
        </w:tc>
        <w:tc>
          <w:tcPr>
            <w:tcW w:w="723" w:type="dxa"/>
            <w:vMerge w:val="continue"/>
            <w:tcBorders>
              <w:top w:val="nil"/>
            </w:tcBorders>
            <w:vAlign w:val="top"/>
          </w:tcPr>
          <w:p w14:paraId="47A48A6B">
            <w:pPr>
              <w:rPr>
                <w:rFonts w:ascii="Arial"/>
                <w:sz w:val="21"/>
              </w:rPr>
            </w:pPr>
          </w:p>
        </w:tc>
        <w:tc>
          <w:tcPr>
            <w:tcW w:w="724" w:type="dxa"/>
            <w:vAlign w:val="top"/>
          </w:tcPr>
          <w:p w14:paraId="6C5F1C12">
            <w:pPr>
              <w:spacing w:line="320" w:lineRule="auto"/>
              <w:rPr>
                <w:rFonts w:ascii="Arial"/>
                <w:sz w:val="21"/>
              </w:rPr>
            </w:pPr>
          </w:p>
          <w:p w14:paraId="163219A7">
            <w:pPr>
              <w:spacing w:before="59" w:line="238" w:lineRule="auto"/>
              <w:ind w:left="282" w:right="183" w:hanging="99"/>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折旧</w:t>
            </w:r>
            <w:r>
              <w:rPr>
                <w:rFonts w:ascii="FangSong_GB2312" w:hAnsi="FangSong_GB2312" w:eastAsia="FangSong_GB2312" w:cs="FangSong_GB2312"/>
                <w:sz w:val="18"/>
                <w:szCs w:val="18"/>
              </w:rPr>
              <w:t>费</w:t>
            </w:r>
          </w:p>
        </w:tc>
        <w:tc>
          <w:tcPr>
            <w:tcW w:w="596" w:type="dxa"/>
            <w:vAlign w:val="top"/>
          </w:tcPr>
          <w:p w14:paraId="7ADC2BAF">
            <w:pPr>
              <w:spacing w:before="147" w:line="217" w:lineRule="auto"/>
              <w:ind w:left="11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修炼</w:t>
            </w:r>
          </w:p>
          <w:p w14:paraId="19BC2F0E">
            <w:pPr>
              <w:spacing w:before="20" w:line="216" w:lineRule="auto"/>
              <w:ind w:left="11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及替</w:t>
            </w:r>
          </w:p>
          <w:p w14:paraId="74D09FB3">
            <w:pPr>
              <w:spacing w:before="22" w:line="217" w:lineRule="auto"/>
              <w:ind w:left="11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换设</w:t>
            </w:r>
          </w:p>
          <w:p w14:paraId="5D9581D4">
            <w:pPr>
              <w:spacing w:before="20" w:line="214" w:lineRule="auto"/>
              <w:ind w:left="120"/>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备费</w:t>
            </w:r>
          </w:p>
        </w:tc>
        <w:tc>
          <w:tcPr>
            <w:tcW w:w="512" w:type="dxa"/>
            <w:textDirection w:val="tbRlV"/>
            <w:vAlign w:val="top"/>
          </w:tcPr>
          <w:p w14:paraId="51C923A5">
            <w:pPr>
              <w:spacing w:before="166" w:line="203" w:lineRule="auto"/>
              <w:ind w:left="29"/>
              <w:rPr>
                <w:rFonts w:ascii="FangSong_GB2312" w:hAnsi="FangSong_GB2312" w:eastAsia="FangSong_GB2312" w:cs="FangSong_GB2312"/>
                <w:sz w:val="18"/>
                <w:szCs w:val="18"/>
              </w:rPr>
            </w:pPr>
            <w:r>
              <w:rPr>
                <w:rFonts w:ascii="FangSong_GB2312" w:hAnsi="FangSong_GB2312" w:eastAsia="FangSong_GB2312" w:cs="FangSong_GB2312"/>
                <w:spacing w:val="42"/>
                <w:sz w:val="18"/>
                <w:szCs w:val="18"/>
              </w:rPr>
              <w:t>安装拆卸费</w:t>
            </w:r>
          </w:p>
        </w:tc>
        <w:tc>
          <w:tcPr>
            <w:tcW w:w="596" w:type="dxa"/>
            <w:vAlign w:val="top"/>
          </w:tcPr>
          <w:p w14:paraId="36B4CF78">
            <w:pPr>
              <w:spacing w:line="320" w:lineRule="auto"/>
              <w:rPr>
                <w:rFonts w:ascii="Arial"/>
                <w:sz w:val="21"/>
              </w:rPr>
            </w:pPr>
          </w:p>
          <w:p w14:paraId="15F0BBDD">
            <w:pPr>
              <w:spacing w:before="59" w:line="238" w:lineRule="auto"/>
              <w:ind w:left="223" w:right="116" w:hanging="101"/>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人工</w:t>
            </w:r>
            <w:r>
              <w:rPr>
                <w:rFonts w:ascii="FangSong_GB2312" w:hAnsi="FangSong_GB2312" w:eastAsia="FangSong_GB2312" w:cs="FangSong_GB2312"/>
                <w:sz w:val="18"/>
                <w:szCs w:val="18"/>
              </w:rPr>
              <w:t>费</w:t>
            </w:r>
          </w:p>
        </w:tc>
        <w:tc>
          <w:tcPr>
            <w:tcW w:w="598" w:type="dxa"/>
            <w:vAlign w:val="top"/>
          </w:tcPr>
          <w:p w14:paraId="2E8CB2F0">
            <w:pPr>
              <w:spacing w:before="264" w:line="214" w:lineRule="auto"/>
              <w:ind w:left="135"/>
              <w:rPr>
                <w:rFonts w:ascii="FangSong_GB2312" w:hAnsi="FangSong_GB2312" w:eastAsia="FangSong_GB2312" w:cs="FangSong_GB2312"/>
                <w:sz w:val="18"/>
                <w:szCs w:val="18"/>
              </w:rPr>
            </w:pPr>
            <w:r>
              <w:rPr>
                <w:rFonts w:ascii="FangSong_GB2312" w:hAnsi="FangSong_GB2312" w:eastAsia="FangSong_GB2312" w:cs="FangSong_GB2312"/>
                <w:spacing w:val="-9"/>
                <w:sz w:val="18"/>
                <w:szCs w:val="18"/>
              </w:rPr>
              <w:t>动力</w:t>
            </w:r>
          </w:p>
          <w:p w14:paraId="01401F82">
            <w:pPr>
              <w:spacing w:before="24" w:line="214" w:lineRule="auto"/>
              <w:ind w:left="126"/>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燃料</w:t>
            </w:r>
          </w:p>
          <w:p w14:paraId="11471359">
            <w:pPr>
              <w:spacing w:before="24" w:line="214" w:lineRule="auto"/>
              <w:ind w:left="226"/>
              <w:rPr>
                <w:rFonts w:ascii="FangSong_GB2312" w:hAnsi="FangSong_GB2312" w:eastAsia="FangSong_GB2312" w:cs="FangSong_GB2312"/>
                <w:sz w:val="18"/>
                <w:szCs w:val="18"/>
              </w:rPr>
            </w:pPr>
            <w:r>
              <w:rPr>
                <w:rFonts w:ascii="FangSong_GB2312" w:hAnsi="FangSong_GB2312" w:eastAsia="FangSong_GB2312" w:cs="FangSong_GB2312"/>
                <w:sz w:val="18"/>
                <w:szCs w:val="18"/>
              </w:rPr>
              <w:t>费</w:t>
            </w:r>
          </w:p>
        </w:tc>
        <w:tc>
          <w:tcPr>
            <w:tcW w:w="553" w:type="dxa"/>
            <w:vAlign w:val="top"/>
          </w:tcPr>
          <w:p w14:paraId="5BED3F60">
            <w:pPr>
              <w:spacing w:line="346" w:lineRule="auto"/>
              <w:rPr>
                <w:rFonts w:ascii="Arial"/>
                <w:sz w:val="21"/>
              </w:rPr>
            </w:pPr>
          </w:p>
          <w:p w14:paraId="15627E43">
            <w:pPr>
              <w:spacing w:before="58" w:line="247" w:lineRule="auto"/>
              <w:ind w:left="210" w:right="180" w:hanging="12"/>
              <w:rPr>
                <w:rFonts w:ascii="FangSong_GB2312" w:hAnsi="FangSong_GB2312" w:eastAsia="FangSong_GB2312" w:cs="FangSong_GB2312"/>
                <w:sz w:val="18"/>
                <w:szCs w:val="18"/>
              </w:rPr>
            </w:pPr>
            <w:r>
              <w:rPr>
                <w:rFonts w:ascii="FangSong_GB2312" w:hAnsi="FangSong_GB2312" w:eastAsia="FangSong_GB2312" w:cs="FangSong_GB2312"/>
                <w:spacing w:val="-12"/>
                <w:sz w:val="18"/>
                <w:szCs w:val="18"/>
              </w:rPr>
              <w:t>工</w:t>
            </w:r>
            <w:r>
              <w:rPr>
                <w:rFonts w:ascii="FangSong_GB2312" w:hAnsi="FangSong_GB2312" w:eastAsia="FangSong_GB2312" w:cs="FangSong_GB2312"/>
                <w:spacing w:val="-24"/>
                <w:sz w:val="18"/>
                <w:szCs w:val="18"/>
              </w:rPr>
              <w:t>时</w:t>
            </w:r>
          </w:p>
        </w:tc>
        <w:tc>
          <w:tcPr>
            <w:tcW w:w="686" w:type="dxa"/>
            <w:vAlign w:val="top"/>
          </w:tcPr>
          <w:p w14:paraId="623DA4B3">
            <w:pPr>
              <w:spacing w:line="436" w:lineRule="auto"/>
              <w:rPr>
                <w:rFonts w:ascii="Arial"/>
                <w:sz w:val="21"/>
              </w:rPr>
            </w:pPr>
          </w:p>
          <w:p w14:paraId="0F07EE94">
            <w:pPr>
              <w:spacing w:before="59" w:line="223" w:lineRule="auto"/>
              <w:ind w:left="182"/>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汽油</w:t>
            </w:r>
          </w:p>
        </w:tc>
        <w:tc>
          <w:tcPr>
            <w:tcW w:w="686" w:type="dxa"/>
            <w:vAlign w:val="top"/>
          </w:tcPr>
          <w:p w14:paraId="5ED102D3">
            <w:pPr>
              <w:spacing w:line="436" w:lineRule="auto"/>
              <w:rPr>
                <w:rFonts w:ascii="Arial"/>
                <w:sz w:val="21"/>
              </w:rPr>
            </w:pPr>
          </w:p>
          <w:p w14:paraId="52011ED5">
            <w:pPr>
              <w:spacing w:before="58" w:line="214" w:lineRule="auto"/>
              <w:ind w:left="178"/>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柴油</w:t>
            </w:r>
          </w:p>
        </w:tc>
        <w:tc>
          <w:tcPr>
            <w:tcW w:w="634" w:type="dxa"/>
            <w:vAlign w:val="top"/>
          </w:tcPr>
          <w:p w14:paraId="6B3804A8">
            <w:pPr>
              <w:spacing w:line="436" w:lineRule="auto"/>
              <w:rPr>
                <w:rFonts w:ascii="Arial"/>
                <w:sz w:val="21"/>
              </w:rPr>
            </w:pPr>
          </w:p>
          <w:p w14:paraId="1B40C080">
            <w:pPr>
              <w:spacing w:before="59" w:line="227" w:lineRule="auto"/>
              <w:ind w:left="263"/>
              <w:rPr>
                <w:rFonts w:ascii="FangSong_GB2312" w:hAnsi="FangSong_GB2312" w:eastAsia="FangSong_GB2312" w:cs="FangSong_GB2312"/>
                <w:sz w:val="18"/>
                <w:szCs w:val="18"/>
              </w:rPr>
            </w:pPr>
            <w:r>
              <w:rPr>
                <w:rFonts w:ascii="FangSong_GB2312" w:hAnsi="FangSong_GB2312" w:eastAsia="FangSong_GB2312" w:cs="FangSong_GB2312"/>
                <w:sz w:val="18"/>
                <w:szCs w:val="18"/>
              </w:rPr>
              <w:t>电</w:t>
            </w:r>
          </w:p>
        </w:tc>
        <w:tc>
          <w:tcPr>
            <w:tcW w:w="478" w:type="dxa"/>
            <w:vAlign w:val="top"/>
          </w:tcPr>
          <w:p w14:paraId="6E62C44D">
            <w:pPr>
              <w:spacing w:line="436" w:lineRule="auto"/>
              <w:rPr>
                <w:rFonts w:ascii="Arial"/>
                <w:sz w:val="21"/>
              </w:rPr>
            </w:pPr>
          </w:p>
          <w:p w14:paraId="70E8F646">
            <w:pPr>
              <w:spacing w:before="58" w:line="224" w:lineRule="auto"/>
              <w:ind w:left="165"/>
              <w:rPr>
                <w:rFonts w:ascii="FangSong_GB2312" w:hAnsi="FangSong_GB2312" w:eastAsia="FangSong_GB2312" w:cs="FangSong_GB2312"/>
                <w:sz w:val="18"/>
                <w:szCs w:val="18"/>
              </w:rPr>
            </w:pPr>
            <w:r>
              <w:rPr>
                <w:rFonts w:ascii="FangSong_GB2312" w:hAnsi="FangSong_GB2312" w:eastAsia="FangSong_GB2312" w:cs="FangSong_GB2312"/>
                <w:sz w:val="18"/>
                <w:szCs w:val="18"/>
              </w:rPr>
              <w:t>风</w:t>
            </w:r>
          </w:p>
        </w:tc>
        <w:tc>
          <w:tcPr>
            <w:tcW w:w="409" w:type="dxa"/>
            <w:tcBorders>
              <w:right w:val="single" w:color="000000" w:sz="10" w:space="0"/>
            </w:tcBorders>
            <w:vAlign w:val="top"/>
          </w:tcPr>
          <w:p w14:paraId="38358AC4">
            <w:pPr>
              <w:spacing w:line="437" w:lineRule="auto"/>
              <w:rPr>
                <w:rFonts w:ascii="Arial"/>
                <w:sz w:val="21"/>
              </w:rPr>
            </w:pPr>
          </w:p>
          <w:p w14:paraId="7D9826B3">
            <w:pPr>
              <w:spacing w:before="58" w:line="221" w:lineRule="auto"/>
              <w:ind w:left="123"/>
              <w:rPr>
                <w:rFonts w:ascii="FangSong_GB2312" w:hAnsi="FangSong_GB2312" w:eastAsia="FangSong_GB2312" w:cs="FangSong_GB2312"/>
                <w:sz w:val="18"/>
                <w:szCs w:val="18"/>
              </w:rPr>
            </w:pPr>
            <w:r>
              <w:rPr>
                <w:rFonts w:ascii="FangSong_GB2312" w:hAnsi="FangSong_GB2312" w:eastAsia="FangSong_GB2312" w:cs="FangSong_GB2312"/>
                <w:sz w:val="18"/>
                <w:szCs w:val="18"/>
              </w:rPr>
              <w:t>水</w:t>
            </w:r>
          </w:p>
        </w:tc>
      </w:tr>
      <w:tr w14:paraId="00DDB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67" w:type="dxa"/>
            <w:tcBorders>
              <w:left w:val="single" w:color="000000" w:sz="10" w:space="0"/>
            </w:tcBorders>
            <w:vAlign w:val="top"/>
          </w:tcPr>
          <w:p w14:paraId="7C77222E">
            <w:pPr>
              <w:spacing w:before="159" w:line="188" w:lineRule="auto"/>
              <w:ind w:left="241"/>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237" w:type="dxa"/>
            <w:vAlign w:val="top"/>
          </w:tcPr>
          <w:p w14:paraId="7BB69DB7">
            <w:pPr>
              <w:spacing w:before="129" w:line="214" w:lineRule="auto"/>
              <w:ind w:left="111"/>
              <w:rPr>
                <w:rFonts w:ascii="Times New Roman" w:hAnsi="Times New Roman" w:eastAsia="Times New Roman" w:cs="Times New Roman"/>
                <w:sz w:val="11"/>
                <w:szCs w:val="11"/>
              </w:rPr>
            </w:pPr>
            <w:r>
              <w:rPr>
                <w:rFonts w:ascii="FangSong_GB2312" w:hAnsi="FangSong_GB2312" w:eastAsia="FangSong_GB2312" w:cs="FangSong_GB2312"/>
                <w:spacing w:val="-2"/>
                <w:sz w:val="18"/>
                <w:szCs w:val="18"/>
              </w:rPr>
              <w:t>挖掘机</w:t>
            </w:r>
            <w:r>
              <w:rPr>
                <w:rFonts w:ascii="FangSong_GB2312" w:hAnsi="FangSong_GB2312" w:eastAsia="FangSong_GB2312" w:cs="FangSong_GB2312"/>
                <w:spacing w:val="-37"/>
                <w:sz w:val="18"/>
                <w:szCs w:val="18"/>
              </w:rPr>
              <w:t xml:space="preserve"> </w:t>
            </w:r>
            <w:r>
              <w:rPr>
                <w:rFonts w:ascii="Times New Roman" w:hAnsi="Times New Roman" w:eastAsia="Times New Roman" w:cs="Times New Roman"/>
                <w:spacing w:val="-2"/>
                <w:sz w:val="18"/>
                <w:szCs w:val="18"/>
              </w:rPr>
              <w:t>0.5m</w:t>
            </w:r>
            <w:r>
              <w:rPr>
                <w:rFonts w:ascii="Times New Roman" w:hAnsi="Times New Roman" w:eastAsia="Times New Roman" w:cs="Times New Roman"/>
                <w:spacing w:val="-2"/>
                <w:position w:val="5"/>
                <w:sz w:val="11"/>
                <w:szCs w:val="11"/>
              </w:rPr>
              <w:t>3</w:t>
            </w:r>
          </w:p>
        </w:tc>
        <w:tc>
          <w:tcPr>
            <w:tcW w:w="723" w:type="dxa"/>
            <w:vAlign w:val="top"/>
          </w:tcPr>
          <w:p w14:paraId="7C8BCFE8">
            <w:pPr>
              <w:spacing w:before="159" w:line="188" w:lineRule="auto"/>
              <w:ind w:left="16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86.13</w:t>
            </w:r>
          </w:p>
        </w:tc>
        <w:tc>
          <w:tcPr>
            <w:tcW w:w="724" w:type="dxa"/>
            <w:vAlign w:val="top"/>
          </w:tcPr>
          <w:p w14:paraId="0C9EA564">
            <w:pPr>
              <w:spacing w:before="159" w:line="188" w:lineRule="auto"/>
              <w:ind w:left="15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21.28</w:t>
            </w:r>
          </w:p>
        </w:tc>
        <w:tc>
          <w:tcPr>
            <w:tcW w:w="596" w:type="dxa"/>
            <w:vAlign w:val="top"/>
          </w:tcPr>
          <w:p w14:paraId="1C3DB272">
            <w:pPr>
              <w:spacing w:before="56"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20.5</w:t>
            </w:r>
          </w:p>
          <w:p w14:paraId="7A680F73">
            <w:pPr>
              <w:spacing w:before="46" w:line="163" w:lineRule="auto"/>
              <w:ind w:left="25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512" w:type="dxa"/>
            <w:vAlign w:val="top"/>
          </w:tcPr>
          <w:p w14:paraId="1A6FE8EE">
            <w:pPr>
              <w:rPr>
                <w:rFonts w:ascii="Arial"/>
                <w:sz w:val="21"/>
              </w:rPr>
            </w:pPr>
          </w:p>
        </w:tc>
        <w:tc>
          <w:tcPr>
            <w:tcW w:w="596" w:type="dxa"/>
            <w:vAlign w:val="top"/>
          </w:tcPr>
          <w:p w14:paraId="6BF687C9">
            <w:pPr>
              <w:spacing w:before="56" w:line="188"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16.8</w:t>
            </w:r>
          </w:p>
          <w:p w14:paraId="0FBA0AA5">
            <w:pPr>
              <w:spacing w:before="44" w:line="166" w:lineRule="auto"/>
              <w:ind w:left="25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98" w:type="dxa"/>
            <w:vAlign w:val="top"/>
          </w:tcPr>
          <w:p w14:paraId="06F098D7">
            <w:pPr>
              <w:spacing w:before="56"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28.9</w:t>
            </w:r>
          </w:p>
          <w:p w14:paraId="289AD536">
            <w:pPr>
              <w:spacing w:before="44" w:line="166" w:lineRule="auto"/>
              <w:ind w:left="259"/>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53" w:type="dxa"/>
            <w:vAlign w:val="top"/>
          </w:tcPr>
          <w:p w14:paraId="062BC885">
            <w:pPr>
              <w:spacing w:before="159"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w:t>
            </w:r>
          </w:p>
        </w:tc>
        <w:tc>
          <w:tcPr>
            <w:tcW w:w="686" w:type="dxa"/>
            <w:vAlign w:val="top"/>
          </w:tcPr>
          <w:p w14:paraId="7BD339EA">
            <w:pPr>
              <w:rPr>
                <w:rFonts w:ascii="Arial"/>
                <w:sz w:val="21"/>
              </w:rPr>
            </w:pPr>
          </w:p>
        </w:tc>
        <w:tc>
          <w:tcPr>
            <w:tcW w:w="686" w:type="dxa"/>
            <w:vAlign w:val="top"/>
          </w:tcPr>
          <w:p w14:paraId="1CB1955C">
            <w:pPr>
              <w:spacing w:before="159" w:line="188" w:lineRule="auto"/>
              <w:ind w:left="1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9.60</w:t>
            </w:r>
          </w:p>
        </w:tc>
        <w:tc>
          <w:tcPr>
            <w:tcW w:w="634" w:type="dxa"/>
            <w:vAlign w:val="top"/>
          </w:tcPr>
          <w:p w14:paraId="54CAC790">
            <w:pPr>
              <w:rPr>
                <w:rFonts w:ascii="Arial"/>
                <w:sz w:val="21"/>
              </w:rPr>
            </w:pPr>
          </w:p>
        </w:tc>
        <w:tc>
          <w:tcPr>
            <w:tcW w:w="478" w:type="dxa"/>
            <w:vAlign w:val="top"/>
          </w:tcPr>
          <w:p w14:paraId="550E85F5">
            <w:pPr>
              <w:rPr>
                <w:rFonts w:ascii="Arial"/>
                <w:sz w:val="21"/>
              </w:rPr>
            </w:pPr>
          </w:p>
        </w:tc>
        <w:tc>
          <w:tcPr>
            <w:tcW w:w="409" w:type="dxa"/>
            <w:tcBorders>
              <w:right w:val="single" w:color="000000" w:sz="10" w:space="0"/>
            </w:tcBorders>
            <w:vAlign w:val="top"/>
          </w:tcPr>
          <w:p w14:paraId="4717B717">
            <w:pPr>
              <w:rPr>
                <w:rFonts w:ascii="Arial"/>
                <w:sz w:val="21"/>
              </w:rPr>
            </w:pPr>
          </w:p>
        </w:tc>
      </w:tr>
      <w:tr w14:paraId="7686F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67" w:type="dxa"/>
            <w:tcBorders>
              <w:left w:val="single" w:color="000000" w:sz="10" w:space="0"/>
            </w:tcBorders>
            <w:vAlign w:val="top"/>
          </w:tcPr>
          <w:p w14:paraId="285C4F9C">
            <w:pPr>
              <w:spacing w:before="163" w:line="188"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37" w:type="dxa"/>
            <w:vAlign w:val="top"/>
          </w:tcPr>
          <w:p w14:paraId="6C3A7177">
            <w:pPr>
              <w:spacing w:before="133" w:line="214" w:lineRule="auto"/>
              <w:ind w:left="102"/>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推土机</w:t>
            </w:r>
            <w:r>
              <w:rPr>
                <w:rFonts w:ascii="FangSong_GB2312" w:hAnsi="FangSong_GB2312" w:eastAsia="FangSong_GB2312" w:cs="FangSong_GB2312"/>
                <w:spacing w:val="-33"/>
                <w:sz w:val="18"/>
                <w:szCs w:val="18"/>
              </w:rPr>
              <w:t xml:space="preserve"> </w:t>
            </w:r>
            <w:r>
              <w:rPr>
                <w:rFonts w:ascii="Times New Roman" w:hAnsi="Times New Roman" w:eastAsia="Times New Roman" w:cs="Times New Roman"/>
                <w:spacing w:val="-3"/>
                <w:sz w:val="18"/>
                <w:szCs w:val="18"/>
              </w:rPr>
              <w:t>59kW</w:t>
            </w:r>
          </w:p>
        </w:tc>
        <w:tc>
          <w:tcPr>
            <w:tcW w:w="723" w:type="dxa"/>
            <w:vAlign w:val="top"/>
          </w:tcPr>
          <w:p w14:paraId="1C4CBFB1">
            <w:pPr>
              <w:spacing w:before="163" w:line="188" w:lineRule="auto"/>
              <w:ind w:left="15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56.24</w:t>
            </w:r>
          </w:p>
        </w:tc>
        <w:tc>
          <w:tcPr>
            <w:tcW w:w="724" w:type="dxa"/>
            <w:vAlign w:val="top"/>
          </w:tcPr>
          <w:p w14:paraId="5DAD862E">
            <w:pPr>
              <w:spacing w:before="163"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9.17</w:t>
            </w:r>
          </w:p>
        </w:tc>
        <w:tc>
          <w:tcPr>
            <w:tcW w:w="596" w:type="dxa"/>
            <w:vAlign w:val="top"/>
          </w:tcPr>
          <w:p w14:paraId="2F5B21CB">
            <w:pPr>
              <w:spacing w:before="60" w:line="188" w:lineRule="auto"/>
              <w:ind w:left="156"/>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12.3</w:t>
            </w:r>
          </w:p>
          <w:p w14:paraId="68790BE1">
            <w:pPr>
              <w:spacing w:before="43" w:line="162" w:lineRule="auto"/>
              <w:ind w:left="25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512" w:type="dxa"/>
            <w:vAlign w:val="top"/>
          </w:tcPr>
          <w:p w14:paraId="7FE82F82">
            <w:pPr>
              <w:spacing w:before="60"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0.4</w:t>
            </w:r>
          </w:p>
          <w:p w14:paraId="38CDDB6E">
            <w:pPr>
              <w:spacing w:before="46" w:line="159" w:lineRule="auto"/>
              <w:ind w:left="21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596" w:type="dxa"/>
            <w:vAlign w:val="top"/>
          </w:tcPr>
          <w:p w14:paraId="2F8040DC">
            <w:pPr>
              <w:spacing w:before="60" w:line="188"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14.7</w:t>
            </w:r>
          </w:p>
          <w:p w14:paraId="4E8ECF2B">
            <w:pPr>
              <w:spacing w:before="43" w:line="162" w:lineRule="auto"/>
              <w:ind w:left="25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98" w:type="dxa"/>
            <w:vAlign w:val="top"/>
          </w:tcPr>
          <w:p w14:paraId="2765ADE7">
            <w:pPr>
              <w:spacing w:before="60" w:line="188" w:lineRule="auto"/>
              <w:ind w:left="14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w:t>
            </w:r>
          </w:p>
          <w:p w14:paraId="3D32654C">
            <w:pPr>
              <w:spacing w:before="43" w:line="162" w:lineRule="auto"/>
              <w:ind w:left="25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553" w:type="dxa"/>
            <w:vAlign w:val="top"/>
          </w:tcPr>
          <w:p w14:paraId="4BB8D7E3">
            <w:pPr>
              <w:spacing w:before="163"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2.10</w:t>
            </w:r>
          </w:p>
        </w:tc>
        <w:tc>
          <w:tcPr>
            <w:tcW w:w="686" w:type="dxa"/>
            <w:vAlign w:val="top"/>
          </w:tcPr>
          <w:p w14:paraId="34B91A9B">
            <w:pPr>
              <w:rPr>
                <w:rFonts w:ascii="Arial"/>
                <w:sz w:val="21"/>
              </w:rPr>
            </w:pPr>
          </w:p>
        </w:tc>
        <w:tc>
          <w:tcPr>
            <w:tcW w:w="686" w:type="dxa"/>
            <w:vAlign w:val="top"/>
          </w:tcPr>
          <w:p w14:paraId="11409573">
            <w:pPr>
              <w:spacing w:before="163"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6.90</w:t>
            </w:r>
          </w:p>
        </w:tc>
        <w:tc>
          <w:tcPr>
            <w:tcW w:w="634" w:type="dxa"/>
            <w:vAlign w:val="top"/>
          </w:tcPr>
          <w:p w14:paraId="46BEAB01">
            <w:pPr>
              <w:rPr>
                <w:rFonts w:ascii="Arial"/>
                <w:sz w:val="21"/>
              </w:rPr>
            </w:pPr>
          </w:p>
        </w:tc>
        <w:tc>
          <w:tcPr>
            <w:tcW w:w="478" w:type="dxa"/>
            <w:vAlign w:val="top"/>
          </w:tcPr>
          <w:p w14:paraId="3DF6068A">
            <w:pPr>
              <w:rPr>
                <w:rFonts w:ascii="Arial"/>
                <w:sz w:val="21"/>
              </w:rPr>
            </w:pPr>
          </w:p>
        </w:tc>
        <w:tc>
          <w:tcPr>
            <w:tcW w:w="409" w:type="dxa"/>
            <w:tcBorders>
              <w:right w:val="single" w:color="000000" w:sz="10" w:space="0"/>
            </w:tcBorders>
            <w:vAlign w:val="top"/>
          </w:tcPr>
          <w:p w14:paraId="7DBA2A9F">
            <w:pPr>
              <w:rPr>
                <w:rFonts w:ascii="Arial"/>
                <w:sz w:val="21"/>
              </w:rPr>
            </w:pPr>
          </w:p>
        </w:tc>
      </w:tr>
      <w:tr w14:paraId="3D633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67" w:type="dxa"/>
            <w:tcBorders>
              <w:left w:val="single" w:color="000000" w:sz="10" w:space="0"/>
            </w:tcBorders>
            <w:vAlign w:val="top"/>
          </w:tcPr>
          <w:p w14:paraId="394BDFED">
            <w:pPr>
              <w:spacing w:before="179" w:line="188" w:lineRule="auto"/>
              <w:ind w:left="227"/>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237" w:type="dxa"/>
            <w:vAlign w:val="top"/>
          </w:tcPr>
          <w:p w14:paraId="7AD7A5CF">
            <w:pPr>
              <w:spacing w:before="45" w:line="214" w:lineRule="auto"/>
              <w:ind w:left="170"/>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汽车起重机</w:t>
            </w:r>
          </w:p>
          <w:p w14:paraId="5319601F">
            <w:pPr>
              <w:spacing w:before="40" w:line="158" w:lineRule="auto"/>
              <w:ind w:left="5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8t</w:t>
            </w:r>
          </w:p>
        </w:tc>
        <w:tc>
          <w:tcPr>
            <w:tcW w:w="723" w:type="dxa"/>
            <w:vAlign w:val="top"/>
          </w:tcPr>
          <w:p w14:paraId="03393819">
            <w:pPr>
              <w:spacing w:before="179"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60.53</w:t>
            </w:r>
          </w:p>
        </w:tc>
        <w:tc>
          <w:tcPr>
            <w:tcW w:w="724" w:type="dxa"/>
            <w:vAlign w:val="top"/>
          </w:tcPr>
          <w:p w14:paraId="0A0BC8CB">
            <w:pPr>
              <w:spacing w:before="179" w:line="188" w:lineRule="auto"/>
              <w:ind w:left="1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12.41</w:t>
            </w:r>
          </w:p>
        </w:tc>
        <w:tc>
          <w:tcPr>
            <w:tcW w:w="596" w:type="dxa"/>
            <w:vAlign w:val="top"/>
          </w:tcPr>
          <w:p w14:paraId="3B71B60F">
            <w:pPr>
              <w:spacing w:before="179" w:line="188" w:lineRule="auto"/>
              <w:ind w:left="14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9.92</w:t>
            </w:r>
          </w:p>
        </w:tc>
        <w:tc>
          <w:tcPr>
            <w:tcW w:w="512" w:type="dxa"/>
            <w:vAlign w:val="top"/>
          </w:tcPr>
          <w:p w14:paraId="6EFE220C">
            <w:pPr>
              <w:rPr>
                <w:rFonts w:ascii="Arial"/>
                <w:sz w:val="21"/>
              </w:rPr>
            </w:pPr>
          </w:p>
        </w:tc>
        <w:tc>
          <w:tcPr>
            <w:tcW w:w="596" w:type="dxa"/>
            <w:vAlign w:val="top"/>
          </w:tcPr>
          <w:p w14:paraId="56B9892A">
            <w:pPr>
              <w:spacing w:before="76" w:line="188" w:lineRule="auto"/>
              <w:ind w:left="15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16.8</w:t>
            </w:r>
          </w:p>
          <w:p w14:paraId="5474CE34">
            <w:pPr>
              <w:spacing w:before="44" w:line="172" w:lineRule="auto"/>
              <w:ind w:left="257"/>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598" w:type="dxa"/>
            <w:vAlign w:val="top"/>
          </w:tcPr>
          <w:p w14:paraId="37CAC6D6">
            <w:pPr>
              <w:spacing w:before="76" w:line="188" w:lineRule="auto"/>
              <w:ind w:left="161"/>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16.0</w:t>
            </w:r>
          </w:p>
          <w:p w14:paraId="2DF7AE99">
            <w:pPr>
              <w:spacing w:before="44" w:line="172" w:lineRule="auto"/>
              <w:ind w:left="27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553" w:type="dxa"/>
            <w:vAlign w:val="top"/>
          </w:tcPr>
          <w:p w14:paraId="385DAC44">
            <w:pPr>
              <w:spacing w:before="179" w:line="188" w:lineRule="auto"/>
              <w:ind w:left="12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2.40</w:t>
            </w:r>
          </w:p>
        </w:tc>
        <w:tc>
          <w:tcPr>
            <w:tcW w:w="686" w:type="dxa"/>
            <w:vAlign w:val="top"/>
          </w:tcPr>
          <w:p w14:paraId="6E8CD94A">
            <w:pPr>
              <w:spacing w:before="179"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5.30</w:t>
            </w:r>
          </w:p>
        </w:tc>
        <w:tc>
          <w:tcPr>
            <w:tcW w:w="686" w:type="dxa"/>
            <w:vAlign w:val="top"/>
          </w:tcPr>
          <w:p w14:paraId="5CEBFBDB">
            <w:pPr>
              <w:rPr>
                <w:rFonts w:ascii="Arial"/>
                <w:sz w:val="21"/>
              </w:rPr>
            </w:pPr>
          </w:p>
        </w:tc>
        <w:tc>
          <w:tcPr>
            <w:tcW w:w="634" w:type="dxa"/>
            <w:vAlign w:val="top"/>
          </w:tcPr>
          <w:p w14:paraId="37A493E9">
            <w:pPr>
              <w:rPr>
                <w:rFonts w:ascii="Arial"/>
                <w:sz w:val="21"/>
              </w:rPr>
            </w:pPr>
          </w:p>
        </w:tc>
        <w:tc>
          <w:tcPr>
            <w:tcW w:w="478" w:type="dxa"/>
            <w:vAlign w:val="top"/>
          </w:tcPr>
          <w:p w14:paraId="50B869B5">
            <w:pPr>
              <w:rPr>
                <w:rFonts w:ascii="Arial"/>
                <w:sz w:val="21"/>
              </w:rPr>
            </w:pPr>
          </w:p>
        </w:tc>
        <w:tc>
          <w:tcPr>
            <w:tcW w:w="409" w:type="dxa"/>
            <w:tcBorders>
              <w:right w:val="single" w:color="000000" w:sz="10" w:space="0"/>
            </w:tcBorders>
            <w:vAlign w:val="top"/>
          </w:tcPr>
          <w:p w14:paraId="1F60FCED">
            <w:pPr>
              <w:rPr>
                <w:rFonts w:ascii="Arial"/>
                <w:sz w:val="21"/>
              </w:rPr>
            </w:pPr>
          </w:p>
        </w:tc>
      </w:tr>
      <w:tr w14:paraId="3EA39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567" w:type="dxa"/>
            <w:tcBorders>
              <w:left w:val="single" w:color="000000" w:sz="10" w:space="0"/>
              <w:bottom w:val="single" w:color="000000" w:sz="10" w:space="0"/>
            </w:tcBorders>
            <w:vAlign w:val="top"/>
          </w:tcPr>
          <w:p w14:paraId="3B4E5BD3">
            <w:pPr>
              <w:spacing w:before="170" w:line="188" w:lineRule="auto"/>
              <w:ind w:left="223"/>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237" w:type="dxa"/>
            <w:tcBorders>
              <w:bottom w:val="single" w:color="000000" w:sz="10" w:space="0"/>
            </w:tcBorders>
            <w:vAlign w:val="top"/>
          </w:tcPr>
          <w:p w14:paraId="0B704394">
            <w:pPr>
              <w:spacing w:before="139" w:line="214" w:lineRule="auto"/>
              <w:ind w:left="123"/>
              <w:rPr>
                <w:rFonts w:ascii="Times New Roman" w:hAnsi="Times New Roman" w:eastAsia="Times New Roman" w:cs="Times New Roman"/>
                <w:sz w:val="18"/>
                <w:szCs w:val="18"/>
              </w:rPr>
            </w:pPr>
            <w:r>
              <w:rPr>
                <w:rFonts w:ascii="FangSong_GB2312" w:hAnsi="FangSong_GB2312" w:eastAsia="FangSong_GB2312" w:cs="FangSong_GB2312"/>
                <w:spacing w:val="-3"/>
                <w:sz w:val="18"/>
                <w:szCs w:val="18"/>
              </w:rPr>
              <w:t>拖拉机</w:t>
            </w:r>
            <w:r>
              <w:rPr>
                <w:rFonts w:ascii="FangSong_GB2312" w:hAnsi="FangSong_GB2312" w:eastAsia="FangSong_GB2312" w:cs="FangSong_GB2312"/>
                <w:spacing w:val="-35"/>
                <w:sz w:val="18"/>
                <w:szCs w:val="18"/>
              </w:rPr>
              <w:t xml:space="preserve"> </w:t>
            </w:r>
            <w:r>
              <w:rPr>
                <w:rFonts w:ascii="Times New Roman" w:hAnsi="Times New Roman" w:eastAsia="Times New Roman" w:cs="Times New Roman"/>
                <w:spacing w:val="-3"/>
                <w:sz w:val="18"/>
                <w:szCs w:val="18"/>
              </w:rPr>
              <w:t>37kw</w:t>
            </w:r>
          </w:p>
        </w:tc>
        <w:tc>
          <w:tcPr>
            <w:tcW w:w="723" w:type="dxa"/>
            <w:tcBorders>
              <w:bottom w:val="single" w:color="000000" w:sz="10" w:space="0"/>
            </w:tcBorders>
            <w:vAlign w:val="top"/>
          </w:tcPr>
          <w:p w14:paraId="2B6DE167">
            <w:pPr>
              <w:spacing w:before="170" w:line="188" w:lineRule="auto"/>
              <w:ind w:left="15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27.</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5"/>
                <w:sz w:val="18"/>
                <w:szCs w:val="18"/>
              </w:rPr>
              <w:t>11</w:t>
            </w:r>
          </w:p>
        </w:tc>
        <w:tc>
          <w:tcPr>
            <w:tcW w:w="724" w:type="dxa"/>
            <w:tcBorders>
              <w:bottom w:val="single" w:color="000000" w:sz="10" w:space="0"/>
            </w:tcBorders>
            <w:vAlign w:val="top"/>
          </w:tcPr>
          <w:p w14:paraId="5721DDD3">
            <w:pPr>
              <w:spacing w:before="170" w:line="188" w:lineRule="auto"/>
              <w:ind w:left="20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2.65</w:t>
            </w:r>
          </w:p>
        </w:tc>
        <w:tc>
          <w:tcPr>
            <w:tcW w:w="596" w:type="dxa"/>
            <w:tcBorders>
              <w:bottom w:val="single" w:color="000000" w:sz="10" w:space="0"/>
            </w:tcBorders>
            <w:vAlign w:val="top"/>
          </w:tcPr>
          <w:p w14:paraId="2BAE1513">
            <w:pPr>
              <w:spacing w:before="170"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4.46</w:t>
            </w:r>
          </w:p>
        </w:tc>
        <w:tc>
          <w:tcPr>
            <w:tcW w:w="512" w:type="dxa"/>
            <w:tcBorders>
              <w:bottom w:val="single" w:color="000000" w:sz="10" w:space="0"/>
            </w:tcBorders>
            <w:vAlign w:val="top"/>
          </w:tcPr>
          <w:p w14:paraId="78563F38">
            <w:pPr>
              <w:spacing w:before="66"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0.9</w:t>
            </w:r>
          </w:p>
          <w:p w14:paraId="1B6BCC80">
            <w:pPr>
              <w:spacing w:before="46" w:line="179" w:lineRule="auto"/>
              <w:ind w:left="213"/>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596" w:type="dxa"/>
            <w:tcBorders>
              <w:bottom w:val="single" w:color="000000" w:sz="10" w:space="0"/>
            </w:tcBorders>
            <w:vAlign w:val="top"/>
          </w:tcPr>
          <w:p w14:paraId="78E50104">
            <w:pPr>
              <w:spacing w:before="170" w:line="188" w:lineRule="auto"/>
              <w:ind w:left="14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7.00</w:t>
            </w:r>
          </w:p>
        </w:tc>
        <w:tc>
          <w:tcPr>
            <w:tcW w:w="598" w:type="dxa"/>
            <w:tcBorders>
              <w:bottom w:val="single" w:color="000000" w:sz="10" w:space="0"/>
            </w:tcBorders>
            <w:vAlign w:val="top"/>
          </w:tcPr>
          <w:p w14:paraId="19082871">
            <w:pPr>
              <w:spacing w:before="170" w:line="188" w:lineRule="auto"/>
              <w:ind w:left="1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5.13</w:t>
            </w:r>
          </w:p>
        </w:tc>
        <w:tc>
          <w:tcPr>
            <w:tcW w:w="553" w:type="dxa"/>
            <w:tcBorders>
              <w:bottom w:val="single" w:color="000000" w:sz="10" w:space="0"/>
            </w:tcBorders>
            <w:vAlign w:val="top"/>
          </w:tcPr>
          <w:p w14:paraId="586265A4">
            <w:pPr>
              <w:spacing w:before="170" w:line="188" w:lineRule="auto"/>
              <w:ind w:left="14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686" w:type="dxa"/>
            <w:tcBorders>
              <w:bottom w:val="single" w:color="000000" w:sz="10" w:space="0"/>
            </w:tcBorders>
            <w:vAlign w:val="top"/>
          </w:tcPr>
          <w:p w14:paraId="5930A7DA">
            <w:pPr>
              <w:rPr>
                <w:rFonts w:ascii="Arial"/>
                <w:sz w:val="21"/>
              </w:rPr>
            </w:pPr>
          </w:p>
        </w:tc>
        <w:tc>
          <w:tcPr>
            <w:tcW w:w="686" w:type="dxa"/>
            <w:tcBorders>
              <w:bottom w:val="single" w:color="000000" w:sz="10" w:space="0"/>
            </w:tcBorders>
            <w:vAlign w:val="top"/>
          </w:tcPr>
          <w:p w14:paraId="44320885">
            <w:pPr>
              <w:rPr>
                <w:rFonts w:ascii="Arial"/>
                <w:sz w:val="21"/>
              </w:rPr>
            </w:pPr>
          </w:p>
        </w:tc>
        <w:tc>
          <w:tcPr>
            <w:tcW w:w="634" w:type="dxa"/>
            <w:tcBorders>
              <w:bottom w:val="single" w:color="000000" w:sz="10" w:space="0"/>
            </w:tcBorders>
            <w:vAlign w:val="top"/>
          </w:tcPr>
          <w:p w14:paraId="08AA69BB">
            <w:pPr>
              <w:spacing w:before="170" w:line="188" w:lineRule="auto"/>
              <w:ind w:left="17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8.60</w:t>
            </w:r>
          </w:p>
        </w:tc>
        <w:tc>
          <w:tcPr>
            <w:tcW w:w="478" w:type="dxa"/>
            <w:tcBorders>
              <w:bottom w:val="single" w:color="000000" w:sz="10" w:space="0"/>
            </w:tcBorders>
            <w:vAlign w:val="top"/>
          </w:tcPr>
          <w:p w14:paraId="789F0B6E">
            <w:pPr>
              <w:rPr>
                <w:rFonts w:ascii="Arial"/>
                <w:sz w:val="21"/>
              </w:rPr>
            </w:pPr>
          </w:p>
        </w:tc>
        <w:tc>
          <w:tcPr>
            <w:tcW w:w="409" w:type="dxa"/>
            <w:tcBorders>
              <w:bottom w:val="single" w:color="000000" w:sz="10" w:space="0"/>
              <w:right w:val="single" w:color="000000" w:sz="10" w:space="0"/>
            </w:tcBorders>
            <w:vAlign w:val="top"/>
          </w:tcPr>
          <w:p w14:paraId="2B9C0DD7">
            <w:pPr>
              <w:rPr>
                <w:rFonts w:ascii="Arial"/>
                <w:sz w:val="21"/>
              </w:rPr>
            </w:pPr>
          </w:p>
        </w:tc>
      </w:tr>
    </w:tbl>
    <w:p w14:paraId="7EFC5D12">
      <w:pPr>
        <w:spacing w:before="152" w:line="222" w:lineRule="auto"/>
        <w:ind w:right="22"/>
        <w:jc w:val="right"/>
        <w:rPr>
          <w:rFonts w:ascii="FangSong_GB2312" w:hAnsi="FangSong_GB2312" w:eastAsia="FangSong_GB2312" w:cs="FangSong_GB2312"/>
          <w:sz w:val="20"/>
          <w:szCs w:val="20"/>
        </w:rPr>
      </w:pPr>
      <w:bookmarkStart w:id="90" w:name="bookmark76"/>
      <w:bookmarkEnd w:id="90"/>
      <w:bookmarkStart w:id="91" w:name="bookmark75"/>
      <w:bookmarkEnd w:id="91"/>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35"/>
          <w:sz w:val="20"/>
          <w:szCs w:val="20"/>
        </w:rPr>
        <w:t xml:space="preserve"> </w:t>
      </w:r>
      <w:r>
        <w:rPr>
          <w:rFonts w:ascii="Times New Roman" w:hAnsi="Times New Roman" w:eastAsia="Times New Roman" w:cs="Times New Roman"/>
          <w:b/>
          <w:bCs/>
          <w:spacing w:val="5"/>
          <w:sz w:val="20"/>
          <w:szCs w:val="20"/>
        </w:rPr>
        <w:t xml:space="preserve">7.1-10    </w:t>
      </w:r>
      <w:r>
        <w:rPr>
          <w:rFonts w:ascii="FangSong_GB2312" w:hAnsi="FangSong_GB2312" w:eastAsia="FangSong_GB2312" w:cs="FangSong_GB2312"/>
          <w:b/>
          <w:bCs/>
          <w:spacing w:val="5"/>
          <w:sz w:val="20"/>
          <w:szCs w:val="20"/>
        </w:rPr>
        <w:t>主要材料单价表</w:t>
      </w:r>
      <w:r>
        <w:rPr>
          <w:rFonts w:ascii="FangSong_GB2312" w:hAnsi="FangSong_GB2312" w:eastAsia="FangSong_GB2312" w:cs="FangSong_GB2312"/>
          <w:sz w:val="20"/>
          <w:szCs w:val="20"/>
        </w:rPr>
        <w:t xml:space="preserve">                     </w:t>
      </w:r>
      <w:r>
        <w:rPr>
          <w:rFonts w:ascii="FangSong_GB2312" w:hAnsi="FangSong_GB2312" w:eastAsia="FangSong_GB2312" w:cs="FangSong_GB2312"/>
          <w:b/>
          <w:bCs/>
          <w:spacing w:val="5"/>
          <w:sz w:val="20"/>
          <w:szCs w:val="20"/>
        </w:rPr>
        <w:t>单位：元</w:t>
      </w:r>
    </w:p>
    <w:tbl>
      <w:tblPr>
        <w:tblStyle w:val="6"/>
        <w:tblW w:w="8906"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2103"/>
        <w:gridCol w:w="1739"/>
        <w:gridCol w:w="1062"/>
        <w:gridCol w:w="1661"/>
        <w:gridCol w:w="1647"/>
      </w:tblGrid>
      <w:tr w14:paraId="44933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94" w:type="dxa"/>
            <w:tcBorders>
              <w:top w:val="single" w:color="000000" w:sz="10" w:space="0"/>
              <w:left w:val="single" w:color="000000" w:sz="10" w:space="0"/>
            </w:tcBorders>
            <w:vAlign w:val="top"/>
          </w:tcPr>
          <w:p w14:paraId="050EECB0">
            <w:pPr>
              <w:spacing w:before="106" w:line="216" w:lineRule="auto"/>
              <w:ind w:left="15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103" w:type="dxa"/>
            <w:tcBorders>
              <w:top w:val="single" w:color="000000" w:sz="10" w:space="0"/>
            </w:tcBorders>
            <w:vAlign w:val="top"/>
          </w:tcPr>
          <w:p w14:paraId="1740AE5B">
            <w:pPr>
              <w:spacing w:before="106" w:line="214" w:lineRule="auto"/>
              <w:ind w:left="6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材料名称</w:t>
            </w:r>
          </w:p>
        </w:tc>
        <w:tc>
          <w:tcPr>
            <w:tcW w:w="1739" w:type="dxa"/>
            <w:tcBorders>
              <w:top w:val="single" w:color="000000" w:sz="10" w:space="0"/>
            </w:tcBorders>
            <w:vAlign w:val="top"/>
          </w:tcPr>
          <w:p w14:paraId="51AFA721">
            <w:pPr>
              <w:spacing w:before="106" w:line="214" w:lineRule="auto"/>
              <w:ind w:left="698"/>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规格</w:t>
            </w:r>
          </w:p>
        </w:tc>
        <w:tc>
          <w:tcPr>
            <w:tcW w:w="1062" w:type="dxa"/>
            <w:tcBorders>
              <w:top w:val="single" w:color="000000" w:sz="10" w:space="0"/>
            </w:tcBorders>
            <w:vAlign w:val="top"/>
          </w:tcPr>
          <w:p w14:paraId="645CC2DB">
            <w:pPr>
              <w:spacing w:before="106" w:line="214" w:lineRule="auto"/>
              <w:ind w:left="36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661" w:type="dxa"/>
            <w:tcBorders>
              <w:top w:val="single" w:color="000000" w:sz="10" w:space="0"/>
            </w:tcBorders>
            <w:vAlign w:val="top"/>
          </w:tcPr>
          <w:p w14:paraId="2C9F14D6">
            <w:pPr>
              <w:spacing w:before="106" w:line="214" w:lineRule="auto"/>
              <w:ind w:left="2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概算价格（元）</w:t>
            </w:r>
          </w:p>
        </w:tc>
        <w:tc>
          <w:tcPr>
            <w:tcW w:w="1647" w:type="dxa"/>
            <w:tcBorders>
              <w:top w:val="single" w:color="000000" w:sz="10" w:space="0"/>
              <w:right w:val="single" w:color="000000" w:sz="10" w:space="0"/>
            </w:tcBorders>
            <w:vAlign w:val="top"/>
          </w:tcPr>
          <w:p w14:paraId="6AE71912">
            <w:pPr>
              <w:spacing w:before="106" w:line="216" w:lineRule="auto"/>
              <w:ind w:left="65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备注</w:t>
            </w:r>
          </w:p>
        </w:tc>
      </w:tr>
      <w:tr w14:paraId="46B21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5DC78B5E">
            <w:pPr>
              <w:spacing w:before="145" w:line="188" w:lineRule="auto"/>
              <w:ind w:left="30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2103" w:type="dxa"/>
            <w:vAlign w:val="top"/>
          </w:tcPr>
          <w:p w14:paraId="085FCFBF">
            <w:pPr>
              <w:spacing w:before="115" w:line="221" w:lineRule="auto"/>
              <w:ind w:left="957"/>
              <w:rPr>
                <w:rFonts w:ascii="FangSong_GB2312" w:hAnsi="FangSong_GB2312" w:eastAsia="FangSong_GB2312" w:cs="FangSong_GB2312"/>
                <w:sz w:val="18"/>
                <w:szCs w:val="18"/>
              </w:rPr>
            </w:pPr>
            <w:r>
              <w:rPr>
                <w:rFonts w:ascii="FangSong_GB2312" w:hAnsi="FangSong_GB2312" w:eastAsia="FangSong_GB2312" w:cs="FangSong_GB2312"/>
                <w:sz w:val="18"/>
                <w:szCs w:val="18"/>
              </w:rPr>
              <w:t>水</w:t>
            </w:r>
          </w:p>
        </w:tc>
        <w:tc>
          <w:tcPr>
            <w:tcW w:w="1739" w:type="dxa"/>
            <w:vAlign w:val="top"/>
          </w:tcPr>
          <w:p w14:paraId="6E32F4BC">
            <w:pPr>
              <w:rPr>
                <w:rFonts w:ascii="Arial"/>
                <w:sz w:val="21"/>
              </w:rPr>
            </w:pPr>
          </w:p>
        </w:tc>
        <w:tc>
          <w:tcPr>
            <w:tcW w:w="1062" w:type="dxa"/>
            <w:vAlign w:val="top"/>
          </w:tcPr>
          <w:p w14:paraId="6B92A02A">
            <w:pPr>
              <w:spacing w:before="145"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2DF0A683">
            <w:pPr>
              <w:spacing w:before="145" w:line="188" w:lineRule="auto"/>
              <w:ind w:left="6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3.08</w:t>
            </w:r>
          </w:p>
        </w:tc>
        <w:tc>
          <w:tcPr>
            <w:tcW w:w="1647" w:type="dxa"/>
            <w:tcBorders>
              <w:right w:val="single" w:color="000000" w:sz="10" w:space="0"/>
            </w:tcBorders>
            <w:vAlign w:val="top"/>
          </w:tcPr>
          <w:p w14:paraId="0F7B4EC2">
            <w:pPr>
              <w:spacing w:before="114"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1B7F7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4AC7A91A">
            <w:pPr>
              <w:spacing w:before="147" w:line="188" w:lineRule="auto"/>
              <w:ind w:left="28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2103" w:type="dxa"/>
            <w:vAlign w:val="top"/>
          </w:tcPr>
          <w:p w14:paraId="7EBB0596">
            <w:pPr>
              <w:spacing w:before="117" w:line="227" w:lineRule="auto"/>
              <w:ind w:left="978"/>
              <w:rPr>
                <w:rFonts w:ascii="FangSong_GB2312" w:hAnsi="FangSong_GB2312" w:eastAsia="FangSong_GB2312" w:cs="FangSong_GB2312"/>
                <w:sz w:val="18"/>
                <w:szCs w:val="18"/>
              </w:rPr>
            </w:pPr>
            <w:r>
              <w:rPr>
                <w:rFonts w:ascii="FangSong_GB2312" w:hAnsi="FangSong_GB2312" w:eastAsia="FangSong_GB2312" w:cs="FangSong_GB2312"/>
                <w:sz w:val="18"/>
                <w:szCs w:val="18"/>
              </w:rPr>
              <w:t>电</w:t>
            </w:r>
          </w:p>
        </w:tc>
        <w:tc>
          <w:tcPr>
            <w:tcW w:w="1739" w:type="dxa"/>
            <w:vAlign w:val="top"/>
          </w:tcPr>
          <w:p w14:paraId="3B4814F2">
            <w:pPr>
              <w:rPr>
                <w:rFonts w:ascii="Arial"/>
                <w:sz w:val="21"/>
              </w:rPr>
            </w:pPr>
          </w:p>
        </w:tc>
        <w:tc>
          <w:tcPr>
            <w:tcW w:w="1062" w:type="dxa"/>
            <w:vAlign w:val="top"/>
          </w:tcPr>
          <w:p w14:paraId="24CAF1CA">
            <w:pPr>
              <w:spacing w:before="144" w:line="192" w:lineRule="auto"/>
              <w:ind w:left="3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kw·h</w:t>
            </w:r>
          </w:p>
        </w:tc>
        <w:tc>
          <w:tcPr>
            <w:tcW w:w="1661" w:type="dxa"/>
            <w:vAlign w:val="top"/>
          </w:tcPr>
          <w:p w14:paraId="3CB27533">
            <w:pPr>
              <w:spacing w:before="147" w:line="188" w:lineRule="auto"/>
              <w:ind w:left="69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1.15</w:t>
            </w:r>
          </w:p>
        </w:tc>
        <w:tc>
          <w:tcPr>
            <w:tcW w:w="1647" w:type="dxa"/>
            <w:tcBorders>
              <w:right w:val="single" w:color="000000" w:sz="10" w:space="0"/>
            </w:tcBorders>
            <w:vAlign w:val="top"/>
          </w:tcPr>
          <w:p w14:paraId="6B69F586">
            <w:pPr>
              <w:spacing w:before="116"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466CE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1A160390">
            <w:pPr>
              <w:spacing w:before="149" w:line="188"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2103" w:type="dxa"/>
            <w:vAlign w:val="top"/>
          </w:tcPr>
          <w:p w14:paraId="1E9CC496">
            <w:pPr>
              <w:spacing w:before="120" w:line="224" w:lineRule="auto"/>
              <w:ind w:left="958"/>
              <w:rPr>
                <w:rFonts w:ascii="FangSong_GB2312" w:hAnsi="FangSong_GB2312" w:eastAsia="FangSong_GB2312" w:cs="FangSong_GB2312"/>
                <w:sz w:val="18"/>
                <w:szCs w:val="18"/>
              </w:rPr>
            </w:pPr>
            <w:r>
              <w:rPr>
                <w:rFonts w:ascii="FangSong_GB2312" w:hAnsi="FangSong_GB2312" w:eastAsia="FangSong_GB2312" w:cs="FangSong_GB2312"/>
                <w:sz w:val="18"/>
                <w:szCs w:val="18"/>
              </w:rPr>
              <w:t>风</w:t>
            </w:r>
          </w:p>
        </w:tc>
        <w:tc>
          <w:tcPr>
            <w:tcW w:w="1739" w:type="dxa"/>
            <w:vAlign w:val="top"/>
          </w:tcPr>
          <w:p w14:paraId="46CACD02">
            <w:pPr>
              <w:rPr>
                <w:rFonts w:ascii="Arial"/>
                <w:sz w:val="21"/>
              </w:rPr>
            </w:pPr>
          </w:p>
        </w:tc>
        <w:tc>
          <w:tcPr>
            <w:tcW w:w="1062" w:type="dxa"/>
            <w:vAlign w:val="top"/>
          </w:tcPr>
          <w:p w14:paraId="69591CBC">
            <w:pPr>
              <w:spacing w:before="149"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5F6D42EE">
            <w:pPr>
              <w:spacing w:before="149" w:line="188" w:lineRule="auto"/>
              <w:ind w:left="6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0.15</w:t>
            </w:r>
          </w:p>
        </w:tc>
        <w:tc>
          <w:tcPr>
            <w:tcW w:w="1647" w:type="dxa"/>
            <w:tcBorders>
              <w:right w:val="single" w:color="000000" w:sz="10" w:space="0"/>
            </w:tcBorders>
            <w:vAlign w:val="top"/>
          </w:tcPr>
          <w:p w14:paraId="7F962BF5">
            <w:pPr>
              <w:spacing w:before="120"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5D3D8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563E771E">
            <w:pPr>
              <w:spacing w:before="153" w:line="188" w:lineRule="auto"/>
              <w:ind w:left="28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2103" w:type="dxa"/>
            <w:vAlign w:val="top"/>
          </w:tcPr>
          <w:p w14:paraId="1AE36BC8">
            <w:pPr>
              <w:spacing w:before="122" w:line="216" w:lineRule="auto"/>
              <w:ind w:left="954"/>
              <w:rPr>
                <w:rFonts w:ascii="FangSong_GB2312" w:hAnsi="FangSong_GB2312" w:eastAsia="FangSong_GB2312" w:cs="FangSong_GB2312"/>
                <w:sz w:val="18"/>
                <w:szCs w:val="18"/>
              </w:rPr>
            </w:pPr>
            <w:r>
              <w:rPr>
                <w:rFonts w:ascii="FangSong_GB2312" w:hAnsi="FangSong_GB2312" w:eastAsia="FangSong_GB2312" w:cs="FangSong_GB2312"/>
                <w:sz w:val="18"/>
                <w:szCs w:val="18"/>
              </w:rPr>
              <w:t>煤</w:t>
            </w:r>
          </w:p>
        </w:tc>
        <w:tc>
          <w:tcPr>
            <w:tcW w:w="1739" w:type="dxa"/>
            <w:vAlign w:val="top"/>
          </w:tcPr>
          <w:p w14:paraId="3C711005">
            <w:pPr>
              <w:rPr>
                <w:rFonts w:ascii="Arial"/>
                <w:sz w:val="21"/>
              </w:rPr>
            </w:pPr>
          </w:p>
        </w:tc>
        <w:tc>
          <w:tcPr>
            <w:tcW w:w="1062" w:type="dxa"/>
            <w:vAlign w:val="top"/>
          </w:tcPr>
          <w:p w14:paraId="66550424">
            <w:pPr>
              <w:spacing w:before="150" w:line="192"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661" w:type="dxa"/>
            <w:vAlign w:val="top"/>
          </w:tcPr>
          <w:p w14:paraId="5BEEAE73">
            <w:pPr>
              <w:spacing w:before="153" w:line="188" w:lineRule="auto"/>
              <w:ind w:left="6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0.60</w:t>
            </w:r>
          </w:p>
        </w:tc>
        <w:tc>
          <w:tcPr>
            <w:tcW w:w="1647" w:type="dxa"/>
            <w:tcBorders>
              <w:right w:val="single" w:color="000000" w:sz="10" w:space="0"/>
            </w:tcBorders>
            <w:vAlign w:val="top"/>
          </w:tcPr>
          <w:p w14:paraId="5E1D5D9E">
            <w:pPr>
              <w:spacing w:before="122"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12034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157E01BC">
            <w:pPr>
              <w:spacing w:before="158" w:line="185"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2103" w:type="dxa"/>
            <w:vAlign w:val="top"/>
          </w:tcPr>
          <w:p w14:paraId="0EC0A55B">
            <w:pPr>
              <w:spacing w:before="127" w:line="223" w:lineRule="auto"/>
              <w:ind w:left="877"/>
              <w:rPr>
                <w:rFonts w:ascii="FangSong_GB2312" w:hAnsi="FangSong_GB2312" w:eastAsia="FangSong_GB2312" w:cs="FangSong_GB2312"/>
                <w:sz w:val="18"/>
                <w:szCs w:val="18"/>
              </w:rPr>
            </w:pPr>
            <w:r>
              <w:rPr>
                <w:rFonts w:ascii="FangSong_GB2312" w:hAnsi="FangSong_GB2312" w:eastAsia="FangSong_GB2312" w:cs="FangSong_GB2312"/>
                <w:spacing w:val="-8"/>
                <w:sz w:val="18"/>
                <w:szCs w:val="18"/>
              </w:rPr>
              <w:t>汽油</w:t>
            </w:r>
          </w:p>
        </w:tc>
        <w:tc>
          <w:tcPr>
            <w:tcW w:w="1739" w:type="dxa"/>
            <w:vAlign w:val="top"/>
          </w:tcPr>
          <w:p w14:paraId="28F49719">
            <w:pPr>
              <w:spacing w:before="155" w:line="188" w:lineRule="auto"/>
              <w:ind w:left="73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92#</w:t>
            </w:r>
          </w:p>
        </w:tc>
        <w:tc>
          <w:tcPr>
            <w:tcW w:w="1062" w:type="dxa"/>
            <w:vAlign w:val="top"/>
          </w:tcPr>
          <w:p w14:paraId="3B85EC22">
            <w:pPr>
              <w:spacing w:before="152" w:line="192"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661" w:type="dxa"/>
            <w:vAlign w:val="top"/>
          </w:tcPr>
          <w:p w14:paraId="3E560846">
            <w:pPr>
              <w:spacing w:before="155" w:line="188" w:lineRule="auto"/>
              <w:ind w:left="687"/>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8.20</w:t>
            </w:r>
          </w:p>
        </w:tc>
        <w:tc>
          <w:tcPr>
            <w:tcW w:w="1647" w:type="dxa"/>
            <w:tcBorders>
              <w:right w:val="single" w:color="000000" w:sz="10" w:space="0"/>
            </w:tcBorders>
            <w:vAlign w:val="top"/>
          </w:tcPr>
          <w:p w14:paraId="70F539C4">
            <w:pPr>
              <w:spacing w:before="127"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00D21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07424C95">
            <w:pPr>
              <w:spacing w:before="160" w:line="188"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2103" w:type="dxa"/>
            <w:vAlign w:val="top"/>
          </w:tcPr>
          <w:p w14:paraId="3B065B11">
            <w:pPr>
              <w:spacing w:before="129" w:line="214" w:lineRule="auto"/>
              <w:ind w:left="87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柴油</w:t>
            </w:r>
          </w:p>
        </w:tc>
        <w:tc>
          <w:tcPr>
            <w:tcW w:w="1739" w:type="dxa"/>
            <w:vAlign w:val="top"/>
          </w:tcPr>
          <w:p w14:paraId="5F14A548">
            <w:pPr>
              <w:spacing w:before="160" w:line="188" w:lineRule="auto"/>
              <w:ind w:left="7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p>
        </w:tc>
        <w:tc>
          <w:tcPr>
            <w:tcW w:w="1062" w:type="dxa"/>
            <w:vAlign w:val="top"/>
          </w:tcPr>
          <w:p w14:paraId="4A16B850">
            <w:pPr>
              <w:spacing w:before="156" w:line="192"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661" w:type="dxa"/>
            <w:vAlign w:val="top"/>
          </w:tcPr>
          <w:p w14:paraId="50DC3CAA">
            <w:pPr>
              <w:spacing w:before="160" w:line="188" w:lineRule="auto"/>
              <w:ind w:left="68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7.71</w:t>
            </w:r>
          </w:p>
        </w:tc>
        <w:tc>
          <w:tcPr>
            <w:tcW w:w="1647" w:type="dxa"/>
            <w:tcBorders>
              <w:right w:val="single" w:color="000000" w:sz="10" w:space="0"/>
            </w:tcBorders>
            <w:vAlign w:val="top"/>
          </w:tcPr>
          <w:p w14:paraId="6C305D20">
            <w:pPr>
              <w:spacing w:before="129"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3B3D5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694" w:type="dxa"/>
            <w:tcBorders>
              <w:left w:val="single" w:color="000000" w:sz="10" w:space="0"/>
              <w:bottom w:val="single" w:color="000000" w:sz="10" w:space="0"/>
            </w:tcBorders>
            <w:vAlign w:val="top"/>
          </w:tcPr>
          <w:p w14:paraId="1393CF2C">
            <w:pPr>
              <w:spacing w:before="164" w:line="185"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2103" w:type="dxa"/>
            <w:tcBorders>
              <w:bottom w:val="single" w:color="000000" w:sz="10" w:space="0"/>
            </w:tcBorders>
            <w:vAlign w:val="top"/>
          </w:tcPr>
          <w:p w14:paraId="5D086E40">
            <w:pPr>
              <w:spacing w:before="131" w:line="216" w:lineRule="auto"/>
              <w:ind w:left="87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草籽</w:t>
            </w:r>
          </w:p>
        </w:tc>
        <w:tc>
          <w:tcPr>
            <w:tcW w:w="1739" w:type="dxa"/>
            <w:tcBorders>
              <w:bottom w:val="single" w:color="000000" w:sz="10" w:space="0"/>
            </w:tcBorders>
            <w:vAlign w:val="top"/>
          </w:tcPr>
          <w:p w14:paraId="5569E17F">
            <w:pPr>
              <w:spacing w:before="133" w:line="214" w:lineRule="auto"/>
              <w:ind w:left="51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小麦冬等</w:t>
            </w:r>
          </w:p>
        </w:tc>
        <w:tc>
          <w:tcPr>
            <w:tcW w:w="1062" w:type="dxa"/>
            <w:tcBorders>
              <w:bottom w:val="single" w:color="000000" w:sz="10" w:space="0"/>
            </w:tcBorders>
            <w:vAlign w:val="top"/>
          </w:tcPr>
          <w:p w14:paraId="61595A74">
            <w:pPr>
              <w:spacing w:before="158" w:line="192" w:lineRule="auto"/>
              <w:ind w:left="44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kg</w:t>
            </w:r>
          </w:p>
        </w:tc>
        <w:tc>
          <w:tcPr>
            <w:tcW w:w="1661" w:type="dxa"/>
            <w:tcBorders>
              <w:bottom w:val="single" w:color="000000" w:sz="10" w:space="0"/>
            </w:tcBorders>
            <w:vAlign w:val="top"/>
          </w:tcPr>
          <w:p w14:paraId="705B8D47">
            <w:pPr>
              <w:spacing w:before="162" w:line="188" w:lineRule="auto"/>
              <w:ind w:left="6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tc>
        <w:tc>
          <w:tcPr>
            <w:tcW w:w="1647" w:type="dxa"/>
            <w:tcBorders>
              <w:bottom w:val="single" w:color="000000" w:sz="10" w:space="0"/>
              <w:right w:val="single" w:color="000000" w:sz="10" w:space="0"/>
            </w:tcBorders>
            <w:vAlign w:val="top"/>
          </w:tcPr>
          <w:p w14:paraId="546A74F7">
            <w:pPr>
              <w:spacing w:before="134" w:line="217" w:lineRule="auto"/>
              <w:ind w:left="55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信息价</w:t>
            </w:r>
          </w:p>
        </w:tc>
      </w:tr>
    </w:tbl>
    <w:p w14:paraId="02AE4499">
      <w:pPr>
        <w:spacing w:before="134" w:line="229" w:lineRule="auto"/>
        <w:ind w:left="5507"/>
        <w:rPr>
          <w:rFonts w:ascii="FangSong_GB2312" w:hAnsi="FangSong_GB2312" w:eastAsia="FangSong_GB2312" w:cs="FangSong_GB2312"/>
          <w:sz w:val="20"/>
          <w:szCs w:val="20"/>
        </w:rPr>
      </w:pPr>
      <w:r>
        <w:pict>
          <v:shape id="_x0000_s1097" o:spid="_x0000_s1097" o:spt="202" type="#_x0000_t202" style="position:absolute;left:0pt;margin-left:223pt;margin-top:6.4pt;height:10.15pt;width:10.65pt;z-index:251771904;mso-width-relative:page;mso-height-relative:page;" filled="f" stroked="f" coordsize="21600,21600">
            <v:path/>
            <v:fill on="f" focussize="0,0"/>
            <v:stroke on="f"/>
            <v:imagedata o:title=""/>
            <o:lock v:ext="edit" aspectratio="f"/>
            <v:textbox inset="0mm,0mm,0mm,0mm">
              <w:txbxContent>
                <w:p w14:paraId="48C4A095">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txbxContent>
            </v:textbox>
          </v:shape>
        </w:pict>
      </w:r>
      <w:r>
        <w:rPr>
          <w:rFonts w:ascii="FangSong_GB2312" w:hAnsi="FangSong_GB2312" w:eastAsia="FangSong_GB2312" w:cs="FangSong_GB2312"/>
          <w:spacing w:val="8"/>
          <w:sz w:val="20"/>
          <w:szCs w:val="20"/>
        </w:rPr>
        <w:t>剑阁县绿森林业勘察设计有限公司</w:t>
      </w:r>
    </w:p>
    <w:p w14:paraId="7E2E59C9">
      <w:pPr>
        <w:spacing w:line="229" w:lineRule="auto"/>
        <w:rPr>
          <w:rFonts w:ascii="FangSong_GB2312" w:hAnsi="FangSong_GB2312" w:eastAsia="FangSong_GB2312" w:cs="FangSong_GB2312"/>
          <w:sz w:val="20"/>
          <w:szCs w:val="20"/>
        </w:rPr>
        <w:sectPr>
          <w:headerReference r:id="rId72" w:type="default"/>
          <w:pgSz w:w="11906" w:h="16839"/>
          <w:pgMar w:top="1159" w:right="1487" w:bottom="400" w:left="1391" w:header="831" w:footer="0" w:gutter="0"/>
          <w:cols w:space="720" w:num="1"/>
        </w:sectPr>
      </w:pPr>
    </w:p>
    <w:p w14:paraId="64499AB6">
      <w:pPr>
        <w:spacing w:line="167" w:lineRule="exact"/>
      </w:pPr>
    </w:p>
    <w:tbl>
      <w:tblPr>
        <w:tblStyle w:val="6"/>
        <w:tblW w:w="89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4"/>
        <w:gridCol w:w="2103"/>
        <w:gridCol w:w="1739"/>
        <w:gridCol w:w="1062"/>
        <w:gridCol w:w="1661"/>
        <w:gridCol w:w="1647"/>
      </w:tblGrid>
      <w:tr w14:paraId="25687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94" w:type="dxa"/>
            <w:tcBorders>
              <w:top w:val="single" w:color="000000" w:sz="10" w:space="0"/>
              <w:left w:val="single" w:color="000000" w:sz="10" w:space="0"/>
            </w:tcBorders>
            <w:vAlign w:val="top"/>
          </w:tcPr>
          <w:p w14:paraId="5C200C08">
            <w:pPr>
              <w:spacing w:before="107" w:line="216" w:lineRule="auto"/>
              <w:ind w:left="15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序号</w:t>
            </w:r>
          </w:p>
        </w:tc>
        <w:tc>
          <w:tcPr>
            <w:tcW w:w="2103" w:type="dxa"/>
            <w:tcBorders>
              <w:top w:val="single" w:color="000000" w:sz="10" w:space="0"/>
            </w:tcBorders>
            <w:vAlign w:val="top"/>
          </w:tcPr>
          <w:p w14:paraId="09880C8B">
            <w:pPr>
              <w:spacing w:before="107" w:line="214" w:lineRule="auto"/>
              <w:ind w:left="69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材料名称</w:t>
            </w:r>
          </w:p>
        </w:tc>
        <w:tc>
          <w:tcPr>
            <w:tcW w:w="1739" w:type="dxa"/>
            <w:tcBorders>
              <w:top w:val="single" w:color="000000" w:sz="10" w:space="0"/>
            </w:tcBorders>
            <w:vAlign w:val="top"/>
          </w:tcPr>
          <w:p w14:paraId="185B2805">
            <w:pPr>
              <w:spacing w:before="107" w:line="214" w:lineRule="auto"/>
              <w:ind w:left="698"/>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规格</w:t>
            </w:r>
          </w:p>
        </w:tc>
        <w:tc>
          <w:tcPr>
            <w:tcW w:w="1062" w:type="dxa"/>
            <w:tcBorders>
              <w:top w:val="single" w:color="000000" w:sz="10" w:space="0"/>
            </w:tcBorders>
            <w:vAlign w:val="top"/>
          </w:tcPr>
          <w:p w14:paraId="4C837562">
            <w:pPr>
              <w:spacing w:before="107" w:line="214" w:lineRule="auto"/>
              <w:ind w:left="36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1661" w:type="dxa"/>
            <w:tcBorders>
              <w:top w:val="single" w:color="000000" w:sz="10" w:space="0"/>
            </w:tcBorders>
            <w:vAlign w:val="top"/>
          </w:tcPr>
          <w:p w14:paraId="4F0ABF96">
            <w:pPr>
              <w:spacing w:before="107" w:line="214" w:lineRule="auto"/>
              <w:ind w:left="207"/>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概算价格（元）</w:t>
            </w:r>
          </w:p>
        </w:tc>
        <w:tc>
          <w:tcPr>
            <w:tcW w:w="1647" w:type="dxa"/>
            <w:tcBorders>
              <w:top w:val="single" w:color="000000" w:sz="10" w:space="0"/>
              <w:right w:val="single" w:color="000000" w:sz="10" w:space="0"/>
            </w:tcBorders>
            <w:vAlign w:val="top"/>
          </w:tcPr>
          <w:p w14:paraId="4C89EAFA">
            <w:pPr>
              <w:spacing w:before="107" w:line="216" w:lineRule="auto"/>
              <w:ind w:left="654"/>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备注</w:t>
            </w:r>
          </w:p>
        </w:tc>
      </w:tr>
      <w:tr w14:paraId="184A4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0E6E0BAC">
            <w:pPr>
              <w:spacing w:before="144" w:line="188" w:lineRule="auto"/>
              <w:ind w:left="29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2103" w:type="dxa"/>
            <w:vAlign w:val="top"/>
          </w:tcPr>
          <w:p w14:paraId="22084736">
            <w:pPr>
              <w:spacing w:before="116" w:line="215" w:lineRule="auto"/>
              <w:ind w:left="77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标准砖</w:t>
            </w:r>
          </w:p>
        </w:tc>
        <w:tc>
          <w:tcPr>
            <w:tcW w:w="1739" w:type="dxa"/>
            <w:vAlign w:val="top"/>
          </w:tcPr>
          <w:p w14:paraId="273E60EB">
            <w:pPr>
              <w:spacing w:before="144" w:line="188"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50mm</w:t>
            </w:r>
          </w:p>
        </w:tc>
        <w:tc>
          <w:tcPr>
            <w:tcW w:w="1062" w:type="dxa"/>
            <w:vAlign w:val="top"/>
          </w:tcPr>
          <w:p w14:paraId="132B0CBB">
            <w:pPr>
              <w:spacing w:before="116" w:line="217" w:lineRule="auto"/>
              <w:ind w:left="363"/>
              <w:rPr>
                <w:rFonts w:ascii="FangSong_GB2312" w:hAnsi="FangSong_GB2312" w:eastAsia="FangSong_GB2312" w:cs="FangSong_GB2312"/>
                <w:sz w:val="18"/>
                <w:szCs w:val="18"/>
              </w:rPr>
            </w:pPr>
            <w:r>
              <w:rPr>
                <w:rFonts w:ascii="FangSong_GB2312" w:hAnsi="FangSong_GB2312" w:eastAsia="FangSong_GB2312" w:cs="FangSong_GB2312"/>
                <w:spacing w:val="-7"/>
                <w:sz w:val="18"/>
                <w:szCs w:val="18"/>
              </w:rPr>
              <w:t>千匹</w:t>
            </w:r>
          </w:p>
        </w:tc>
        <w:tc>
          <w:tcPr>
            <w:tcW w:w="1661" w:type="dxa"/>
            <w:vAlign w:val="top"/>
          </w:tcPr>
          <w:p w14:paraId="0F92C908">
            <w:pPr>
              <w:spacing w:before="144" w:line="188" w:lineRule="auto"/>
              <w:ind w:left="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430.00</w:t>
            </w:r>
          </w:p>
        </w:tc>
        <w:tc>
          <w:tcPr>
            <w:tcW w:w="1647" w:type="dxa"/>
            <w:tcBorders>
              <w:right w:val="single" w:color="000000" w:sz="10" w:space="0"/>
            </w:tcBorders>
            <w:vAlign w:val="top"/>
          </w:tcPr>
          <w:p w14:paraId="4410917E">
            <w:pPr>
              <w:spacing w:before="115"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4EB6F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767A9BF0">
            <w:pPr>
              <w:spacing w:before="148" w:line="188"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2103" w:type="dxa"/>
            <w:vAlign w:val="top"/>
          </w:tcPr>
          <w:p w14:paraId="38A8EE18">
            <w:pPr>
              <w:spacing w:before="118" w:line="215" w:lineRule="auto"/>
              <w:ind w:left="868"/>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水泥</w:t>
            </w:r>
          </w:p>
        </w:tc>
        <w:tc>
          <w:tcPr>
            <w:tcW w:w="1739" w:type="dxa"/>
            <w:vAlign w:val="top"/>
          </w:tcPr>
          <w:p w14:paraId="3FA3BB7B">
            <w:pPr>
              <w:spacing w:before="148" w:line="188" w:lineRule="auto"/>
              <w:ind w:left="71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32.5</w:t>
            </w:r>
          </w:p>
        </w:tc>
        <w:tc>
          <w:tcPr>
            <w:tcW w:w="1062" w:type="dxa"/>
            <w:vAlign w:val="top"/>
          </w:tcPr>
          <w:p w14:paraId="76E9BCD0">
            <w:pPr>
              <w:spacing w:before="163" w:line="171" w:lineRule="auto"/>
              <w:ind w:left="506"/>
              <w:rPr>
                <w:rFonts w:ascii="Times New Roman" w:hAnsi="Times New Roman" w:eastAsia="Times New Roman" w:cs="Times New Roman"/>
                <w:sz w:val="18"/>
                <w:szCs w:val="18"/>
              </w:rPr>
            </w:pPr>
            <w:r>
              <w:rPr>
                <w:rFonts w:ascii="Times New Roman" w:hAnsi="Times New Roman" w:eastAsia="Times New Roman" w:cs="Times New Roman"/>
                <w:sz w:val="18"/>
                <w:szCs w:val="18"/>
              </w:rPr>
              <w:t>t</w:t>
            </w:r>
          </w:p>
        </w:tc>
        <w:tc>
          <w:tcPr>
            <w:tcW w:w="1661" w:type="dxa"/>
            <w:vAlign w:val="top"/>
          </w:tcPr>
          <w:p w14:paraId="61683C5A">
            <w:pPr>
              <w:spacing w:before="148" w:line="188" w:lineRule="auto"/>
              <w:ind w:left="5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360.00</w:t>
            </w:r>
          </w:p>
        </w:tc>
        <w:tc>
          <w:tcPr>
            <w:tcW w:w="1647" w:type="dxa"/>
            <w:tcBorders>
              <w:right w:val="single" w:color="000000" w:sz="10" w:space="0"/>
            </w:tcBorders>
            <w:vAlign w:val="top"/>
          </w:tcPr>
          <w:p w14:paraId="6161F3FE">
            <w:pPr>
              <w:spacing w:before="117"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61890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324A2F28">
            <w:pPr>
              <w:spacing w:before="150"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2103" w:type="dxa"/>
            <w:vAlign w:val="top"/>
          </w:tcPr>
          <w:p w14:paraId="30BFF685">
            <w:pPr>
              <w:spacing w:before="122" w:line="214" w:lineRule="auto"/>
              <w:ind w:left="300"/>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干混砌筑砂浆</w:t>
            </w:r>
            <w:r>
              <w:rPr>
                <w:rFonts w:ascii="FangSong_GB2312" w:hAnsi="FangSong_GB2312" w:eastAsia="FangSong_GB2312" w:cs="FangSong_GB2312"/>
                <w:spacing w:val="-39"/>
                <w:sz w:val="18"/>
                <w:szCs w:val="18"/>
              </w:rPr>
              <w:t xml:space="preserve"> </w:t>
            </w:r>
            <w:r>
              <w:rPr>
                <w:rFonts w:ascii="Times New Roman" w:hAnsi="Times New Roman" w:eastAsia="Times New Roman" w:cs="Times New Roman"/>
                <w:spacing w:val="-2"/>
                <w:sz w:val="18"/>
                <w:szCs w:val="18"/>
              </w:rPr>
              <w:t>M7.5</w:t>
            </w:r>
          </w:p>
        </w:tc>
        <w:tc>
          <w:tcPr>
            <w:tcW w:w="1739" w:type="dxa"/>
            <w:vAlign w:val="top"/>
          </w:tcPr>
          <w:p w14:paraId="0A758581">
            <w:pPr>
              <w:rPr>
                <w:rFonts w:ascii="Arial"/>
                <w:sz w:val="21"/>
              </w:rPr>
            </w:pPr>
          </w:p>
        </w:tc>
        <w:tc>
          <w:tcPr>
            <w:tcW w:w="1062" w:type="dxa"/>
            <w:vAlign w:val="top"/>
          </w:tcPr>
          <w:p w14:paraId="287A67A4">
            <w:pPr>
              <w:spacing w:before="150"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6D066A44">
            <w:pPr>
              <w:spacing w:before="150" w:line="188" w:lineRule="auto"/>
              <w:ind w:left="5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365.00</w:t>
            </w:r>
          </w:p>
        </w:tc>
        <w:tc>
          <w:tcPr>
            <w:tcW w:w="1647" w:type="dxa"/>
            <w:tcBorders>
              <w:right w:val="single" w:color="000000" w:sz="10" w:space="0"/>
            </w:tcBorders>
            <w:vAlign w:val="top"/>
          </w:tcPr>
          <w:p w14:paraId="62A694F8">
            <w:pPr>
              <w:spacing w:before="122"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5061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070B4631">
            <w:pPr>
              <w:spacing w:before="155"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tc>
        <w:tc>
          <w:tcPr>
            <w:tcW w:w="2103" w:type="dxa"/>
            <w:vAlign w:val="top"/>
          </w:tcPr>
          <w:p w14:paraId="476299BE">
            <w:pPr>
              <w:spacing w:before="124" w:line="214" w:lineRule="auto"/>
              <w:ind w:left="324"/>
              <w:rPr>
                <w:rFonts w:ascii="Times New Roman" w:hAnsi="Times New Roman" w:eastAsia="Times New Roman" w:cs="Times New Roman"/>
                <w:sz w:val="18"/>
                <w:szCs w:val="18"/>
              </w:rPr>
            </w:pPr>
            <w:r>
              <w:rPr>
                <w:rFonts w:ascii="FangSong_GB2312" w:hAnsi="FangSong_GB2312" w:eastAsia="FangSong_GB2312" w:cs="FangSong_GB2312"/>
                <w:spacing w:val="-2"/>
                <w:sz w:val="18"/>
                <w:szCs w:val="18"/>
              </w:rPr>
              <w:t>干混抹灰砂浆</w:t>
            </w:r>
            <w:r>
              <w:rPr>
                <w:rFonts w:ascii="FangSong_GB2312" w:hAnsi="FangSong_GB2312" w:eastAsia="FangSong_GB2312" w:cs="FangSong_GB2312"/>
                <w:spacing w:val="-43"/>
                <w:sz w:val="18"/>
                <w:szCs w:val="18"/>
              </w:rPr>
              <w:t xml:space="preserve"> </w:t>
            </w:r>
            <w:r>
              <w:rPr>
                <w:rFonts w:ascii="Times New Roman" w:hAnsi="Times New Roman" w:eastAsia="Times New Roman" w:cs="Times New Roman"/>
                <w:spacing w:val="-2"/>
                <w:sz w:val="18"/>
                <w:szCs w:val="18"/>
              </w:rPr>
              <w:t>M10</w:t>
            </w:r>
          </w:p>
        </w:tc>
        <w:tc>
          <w:tcPr>
            <w:tcW w:w="1739" w:type="dxa"/>
            <w:vAlign w:val="top"/>
          </w:tcPr>
          <w:p w14:paraId="2C9458AA">
            <w:pPr>
              <w:rPr>
                <w:rFonts w:ascii="Arial"/>
                <w:sz w:val="21"/>
              </w:rPr>
            </w:pPr>
          </w:p>
        </w:tc>
        <w:tc>
          <w:tcPr>
            <w:tcW w:w="1062" w:type="dxa"/>
            <w:vAlign w:val="top"/>
          </w:tcPr>
          <w:p w14:paraId="66019911">
            <w:pPr>
              <w:spacing w:before="155"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25490D33">
            <w:pPr>
              <w:spacing w:before="155" w:line="188" w:lineRule="auto"/>
              <w:ind w:left="5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375.00</w:t>
            </w:r>
          </w:p>
        </w:tc>
        <w:tc>
          <w:tcPr>
            <w:tcW w:w="1647" w:type="dxa"/>
            <w:tcBorders>
              <w:right w:val="single" w:color="000000" w:sz="10" w:space="0"/>
            </w:tcBorders>
            <w:vAlign w:val="top"/>
          </w:tcPr>
          <w:p w14:paraId="24D3D108">
            <w:pPr>
              <w:spacing w:before="124"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4F9DF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6810E133">
            <w:pPr>
              <w:spacing w:before="157"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tc>
        <w:tc>
          <w:tcPr>
            <w:tcW w:w="2103" w:type="dxa"/>
            <w:vAlign w:val="top"/>
          </w:tcPr>
          <w:p w14:paraId="6A7A203F">
            <w:pPr>
              <w:spacing w:before="129" w:line="217" w:lineRule="auto"/>
              <w:ind w:left="606"/>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C15</w:t>
            </w:r>
            <w:r>
              <w:rPr>
                <w:rFonts w:ascii="Times New Roman" w:hAnsi="Times New Roman" w:eastAsia="Times New Roman" w:cs="Times New Roman"/>
                <w:spacing w:val="14"/>
                <w:w w:val="101"/>
                <w:sz w:val="18"/>
                <w:szCs w:val="18"/>
              </w:rPr>
              <w:t xml:space="preserve"> </w:t>
            </w:r>
            <w:r>
              <w:rPr>
                <w:rFonts w:ascii="FangSong_GB2312" w:hAnsi="FangSong_GB2312" w:eastAsia="FangSong_GB2312" w:cs="FangSong_GB2312"/>
                <w:spacing w:val="-4"/>
                <w:sz w:val="18"/>
                <w:szCs w:val="18"/>
              </w:rPr>
              <w:t>商品砼</w:t>
            </w:r>
          </w:p>
        </w:tc>
        <w:tc>
          <w:tcPr>
            <w:tcW w:w="1739" w:type="dxa"/>
            <w:vAlign w:val="top"/>
          </w:tcPr>
          <w:p w14:paraId="2FEEB70F">
            <w:pPr>
              <w:rPr>
                <w:rFonts w:ascii="Arial"/>
                <w:sz w:val="21"/>
              </w:rPr>
            </w:pPr>
          </w:p>
        </w:tc>
        <w:tc>
          <w:tcPr>
            <w:tcW w:w="1062" w:type="dxa"/>
            <w:vAlign w:val="top"/>
          </w:tcPr>
          <w:p w14:paraId="48FB6663">
            <w:pPr>
              <w:spacing w:before="157"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343609E1">
            <w:pPr>
              <w:spacing w:before="157" w:line="188" w:lineRule="auto"/>
              <w:ind w:left="5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398.74</w:t>
            </w:r>
          </w:p>
        </w:tc>
        <w:tc>
          <w:tcPr>
            <w:tcW w:w="1647" w:type="dxa"/>
            <w:tcBorders>
              <w:right w:val="single" w:color="000000" w:sz="10" w:space="0"/>
            </w:tcBorders>
            <w:vAlign w:val="top"/>
          </w:tcPr>
          <w:p w14:paraId="23A52ADE">
            <w:pPr>
              <w:spacing w:before="128"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5EB9B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694" w:type="dxa"/>
            <w:tcBorders>
              <w:left w:val="single" w:color="000000" w:sz="10" w:space="0"/>
            </w:tcBorders>
            <w:vAlign w:val="top"/>
          </w:tcPr>
          <w:p w14:paraId="6754FE69">
            <w:pPr>
              <w:spacing w:before="161"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tc>
        <w:tc>
          <w:tcPr>
            <w:tcW w:w="2103" w:type="dxa"/>
            <w:vAlign w:val="top"/>
          </w:tcPr>
          <w:p w14:paraId="7C100547">
            <w:pPr>
              <w:spacing w:before="131" w:line="217" w:lineRule="auto"/>
              <w:ind w:left="606"/>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C20</w:t>
            </w:r>
            <w:r>
              <w:rPr>
                <w:rFonts w:ascii="Times New Roman" w:hAnsi="Times New Roman" w:eastAsia="Times New Roman" w:cs="Times New Roman"/>
                <w:spacing w:val="14"/>
                <w:w w:val="101"/>
                <w:sz w:val="18"/>
                <w:szCs w:val="18"/>
              </w:rPr>
              <w:t xml:space="preserve"> </w:t>
            </w:r>
            <w:r>
              <w:rPr>
                <w:rFonts w:ascii="FangSong_GB2312" w:hAnsi="FangSong_GB2312" w:eastAsia="FangSong_GB2312" w:cs="FangSong_GB2312"/>
                <w:spacing w:val="-4"/>
                <w:sz w:val="18"/>
                <w:szCs w:val="18"/>
              </w:rPr>
              <w:t>商品砼</w:t>
            </w:r>
          </w:p>
        </w:tc>
        <w:tc>
          <w:tcPr>
            <w:tcW w:w="1739" w:type="dxa"/>
            <w:vAlign w:val="top"/>
          </w:tcPr>
          <w:p w14:paraId="75AE4A34">
            <w:pPr>
              <w:rPr>
                <w:rFonts w:ascii="Arial"/>
                <w:sz w:val="21"/>
              </w:rPr>
            </w:pPr>
          </w:p>
        </w:tc>
        <w:tc>
          <w:tcPr>
            <w:tcW w:w="1062" w:type="dxa"/>
            <w:vAlign w:val="top"/>
          </w:tcPr>
          <w:p w14:paraId="677A1804">
            <w:pPr>
              <w:spacing w:before="161"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vAlign w:val="top"/>
          </w:tcPr>
          <w:p w14:paraId="42655257">
            <w:pPr>
              <w:spacing w:before="161" w:line="188" w:lineRule="auto"/>
              <w:ind w:left="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417.70</w:t>
            </w:r>
          </w:p>
        </w:tc>
        <w:tc>
          <w:tcPr>
            <w:tcW w:w="1647" w:type="dxa"/>
            <w:tcBorders>
              <w:right w:val="single" w:color="000000" w:sz="10" w:space="0"/>
            </w:tcBorders>
            <w:vAlign w:val="top"/>
          </w:tcPr>
          <w:p w14:paraId="7BA41C0E">
            <w:pPr>
              <w:spacing w:before="130"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r w14:paraId="76D3D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694" w:type="dxa"/>
            <w:tcBorders>
              <w:left w:val="single" w:color="000000" w:sz="10" w:space="0"/>
              <w:bottom w:val="single" w:color="000000" w:sz="10" w:space="0"/>
            </w:tcBorders>
            <w:vAlign w:val="top"/>
          </w:tcPr>
          <w:p w14:paraId="6796951F">
            <w:pPr>
              <w:spacing w:before="163" w:line="188" w:lineRule="auto"/>
              <w:ind w:left="261"/>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tc>
        <w:tc>
          <w:tcPr>
            <w:tcW w:w="2103" w:type="dxa"/>
            <w:tcBorders>
              <w:bottom w:val="single" w:color="000000" w:sz="10" w:space="0"/>
            </w:tcBorders>
            <w:vAlign w:val="top"/>
          </w:tcPr>
          <w:p w14:paraId="595F44EE">
            <w:pPr>
              <w:spacing w:before="133" w:line="217" w:lineRule="auto"/>
              <w:ind w:left="606"/>
              <w:rPr>
                <w:rFonts w:ascii="FangSong_GB2312" w:hAnsi="FangSong_GB2312" w:eastAsia="FangSong_GB2312" w:cs="FangSong_GB2312"/>
                <w:sz w:val="18"/>
                <w:szCs w:val="18"/>
              </w:rPr>
            </w:pPr>
            <w:r>
              <w:rPr>
                <w:rFonts w:ascii="Times New Roman" w:hAnsi="Times New Roman" w:eastAsia="Times New Roman" w:cs="Times New Roman"/>
                <w:spacing w:val="-4"/>
                <w:sz w:val="18"/>
                <w:szCs w:val="18"/>
              </w:rPr>
              <w:t>C25</w:t>
            </w:r>
            <w:r>
              <w:rPr>
                <w:rFonts w:ascii="Times New Roman" w:hAnsi="Times New Roman" w:eastAsia="Times New Roman" w:cs="Times New Roman"/>
                <w:spacing w:val="14"/>
                <w:w w:val="101"/>
                <w:sz w:val="18"/>
                <w:szCs w:val="18"/>
              </w:rPr>
              <w:t xml:space="preserve"> </w:t>
            </w:r>
            <w:r>
              <w:rPr>
                <w:rFonts w:ascii="FangSong_GB2312" w:hAnsi="FangSong_GB2312" w:eastAsia="FangSong_GB2312" w:cs="FangSong_GB2312"/>
                <w:spacing w:val="-4"/>
                <w:sz w:val="18"/>
                <w:szCs w:val="18"/>
              </w:rPr>
              <w:t>商品砼</w:t>
            </w:r>
          </w:p>
        </w:tc>
        <w:tc>
          <w:tcPr>
            <w:tcW w:w="1739" w:type="dxa"/>
            <w:tcBorders>
              <w:bottom w:val="single" w:color="000000" w:sz="10" w:space="0"/>
            </w:tcBorders>
            <w:vAlign w:val="top"/>
          </w:tcPr>
          <w:p w14:paraId="7DCFF097">
            <w:pPr>
              <w:rPr>
                <w:rFonts w:ascii="Arial"/>
                <w:sz w:val="21"/>
              </w:rPr>
            </w:pPr>
          </w:p>
        </w:tc>
        <w:tc>
          <w:tcPr>
            <w:tcW w:w="1062" w:type="dxa"/>
            <w:tcBorders>
              <w:bottom w:val="single" w:color="000000" w:sz="10" w:space="0"/>
            </w:tcBorders>
            <w:vAlign w:val="top"/>
          </w:tcPr>
          <w:p w14:paraId="41A50E59">
            <w:pPr>
              <w:spacing w:before="163" w:line="188" w:lineRule="auto"/>
              <w:ind w:left="434"/>
              <w:rPr>
                <w:rFonts w:ascii="Times New Roman" w:hAnsi="Times New Roman" w:eastAsia="Times New Roman" w:cs="Times New Roman"/>
                <w:sz w:val="18"/>
                <w:szCs w:val="18"/>
              </w:rPr>
            </w:pPr>
            <w:r>
              <w:rPr>
                <w:rFonts w:ascii="Times New Roman" w:hAnsi="Times New Roman" w:eastAsia="Times New Roman" w:cs="Times New Roman"/>
                <w:sz w:val="18"/>
                <w:szCs w:val="18"/>
              </w:rPr>
              <w:t>m³</w:t>
            </w:r>
          </w:p>
        </w:tc>
        <w:tc>
          <w:tcPr>
            <w:tcW w:w="1661" w:type="dxa"/>
            <w:tcBorders>
              <w:bottom w:val="single" w:color="000000" w:sz="10" w:space="0"/>
            </w:tcBorders>
            <w:vAlign w:val="top"/>
          </w:tcPr>
          <w:p w14:paraId="0399440E">
            <w:pPr>
              <w:spacing w:before="163" w:line="188" w:lineRule="auto"/>
              <w:ind w:left="58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429.20</w:t>
            </w:r>
          </w:p>
        </w:tc>
        <w:tc>
          <w:tcPr>
            <w:tcW w:w="1647" w:type="dxa"/>
            <w:tcBorders>
              <w:bottom w:val="single" w:color="000000" w:sz="10" w:space="0"/>
              <w:right w:val="single" w:color="000000" w:sz="10" w:space="0"/>
            </w:tcBorders>
            <w:vAlign w:val="top"/>
          </w:tcPr>
          <w:p w14:paraId="7EB274C7">
            <w:pPr>
              <w:spacing w:before="132" w:line="216" w:lineRule="auto"/>
              <w:ind w:left="479"/>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主体单价</w:t>
            </w:r>
          </w:p>
        </w:tc>
      </w:tr>
    </w:tbl>
    <w:p w14:paraId="45FF62DD">
      <w:pPr>
        <w:spacing w:before="307" w:line="215" w:lineRule="auto"/>
        <w:ind w:left="37"/>
        <w:outlineLvl w:val="1"/>
        <w:rPr>
          <w:rFonts w:ascii="FangSong_GB2312" w:hAnsi="FangSong_GB2312" w:eastAsia="FangSong_GB2312" w:cs="FangSong_GB2312"/>
          <w:sz w:val="30"/>
          <w:szCs w:val="30"/>
        </w:rPr>
      </w:pPr>
      <w:r>
        <w:rPr>
          <w:rFonts w:ascii="Times New Roman" w:hAnsi="Times New Roman" w:eastAsia="Times New Roman" w:cs="Times New Roman"/>
          <w:b/>
          <w:bCs/>
          <w:spacing w:val="-3"/>
          <w:sz w:val="30"/>
          <w:szCs w:val="30"/>
        </w:rPr>
        <w:t>7.2.</w:t>
      </w:r>
      <w:r>
        <w:rPr>
          <w:rFonts w:ascii="FangSong_GB2312" w:hAnsi="FangSong_GB2312" w:eastAsia="FangSong_GB2312" w:cs="FangSong_GB2312"/>
          <w:b/>
          <w:bCs/>
          <w:spacing w:val="-3"/>
          <w:sz w:val="30"/>
          <w:szCs w:val="30"/>
        </w:rPr>
        <w:t>水土保持效益分析</w:t>
      </w:r>
    </w:p>
    <w:p w14:paraId="740E7AC3">
      <w:pPr>
        <w:pStyle w:val="2"/>
        <w:spacing w:line="346" w:lineRule="auto"/>
      </w:pPr>
    </w:p>
    <w:p w14:paraId="35789A69">
      <w:pPr>
        <w:spacing w:before="91" w:line="214" w:lineRule="auto"/>
        <w:ind w:left="37"/>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7.2.1  </w:t>
      </w:r>
      <w:r>
        <w:rPr>
          <w:rFonts w:ascii="FangSong_GB2312" w:hAnsi="FangSong_GB2312" w:eastAsia="FangSong_GB2312" w:cs="FangSong_GB2312"/>
          <w:b/>
          <w:bCs/>
          <w:spacing w:val="-2"/>
          <w:sz w:val="28"/>
          <w:szCs w:val="28"/>
        </w:rPr>
        <w:t>水土保持效益计算指标</w:t>
      </w:r>
    </w:p>
    <w:p w14:paraId="5C4AAEAC">
      <w:pPr>
        <w:spacing w:before="214" w:line="359" w:lineRule="auto"/>
        <w:ind w:left="50" w:right="28" w:firstLine="466"/>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本项目施工扰动地表面积</w:t>
      </w:r>
      <w:r>
        <w:rPr>
          <w:rFonts w:ascii="FangSong_GB2312" w:hAnsi="FangSong_GB2312" w:eastAsia="FangSong_GB2312" w:cs="FangSong_GB2312"/>
          <w:spacing w:val="-44"/>
          <w:sz w:val="24"/>
          <w:szCs w:val="24"/>
        </w:rPr>
        <w:t xml:space="preserve"> </w:t>
      </w:r>
      <w:r>
        <w:rPr>
          <w:rFonts w:ascii="Times New Roman" w:hAnsi="Times New Roman" w:eastAsia="Times New Roman" w:cs="Times New Roman"/>
          <w:spacing w:val="-1"/>
          <w:sz w:val="24"/>
          <w:szCs w:val="24"/>
        </w:rPr>
        <w:t>0.33hm²</w:t>
      </w:r>
      <w:r>
        <w:rPr>
          <w:rFonts w:ascii="Times New Roman" w:hAnsi="Times New Roman" w:eastAsia="Times New Roman" w:cs="Times New Roman"/>
          <w:spacing w:val="-24"/>
          <w:sz w:val="24"/>
          <w:szCs w:val="24"/>
        </w:rPr>
        <w:t xml:space="preserve"> </w:t>
      </w:r>
      <w:r>
        <w:rPr>
          <w:rFonts w:ascii="FangSong_GB2312" w:hAnsi="FangSong_GB2312" w:eastAsia="FangSong_GB2312" w:cs="FangSong_GB2312"/>
          <w:spacing w:val="-1"/>
          <w:sz w:val="24"/>
          <w:szCs w:val="24"/>
        </w:rPr>
        <w:t>,</w:t>
      </w:r>
      <w:r>
        <w:rPr>
          <w:rFonts w:ascii="FangSong_GB2312" w:hAnsi="FangSong_GB2312" w:eastAsia="FangSong_GB2312" w:cs="FangSong_GB2312"/>
          <w:spacing w:val="72"/>
          <w:sz w:val="24"/>
          <w:szCs w:val="24"/>
        </w:rPr>
        <w:t xml:space="preserve"> </w:t>
      </w:r>
      <w:r>
        <w:rPr>
          <w:rFonts w:ascii="FangSong_GB2312" w:hAnsi="FangSong_GB2312" w:eastAsia="FangSong_GB2312" w:cs="FangSong_GB2312"/>
          <w:spacing w:val="-1"/>
          <w:sz w:val="24"/>
          <w:szCs w:val="24"/>
        </w:rPr>
        <w:t>经过水土保持措施治理后，计算水土流失防</w:t>
      </w:r>
      <w:r>
        <w:rPr>
          <w:rFonts w:ascii="FangSong_GB2312" w:hAnsi="FangSong_GB2312" w:eastAsia="FangSong_GB2312" w:cs="FangSong_GB2312"/>
          <w:spacing w:val="-3"/>
          <w:sz w:val="24"/>
          <w:szCs w:val="24"/>
        </w:rPr>
        <w:t>治目标六项指标：</w:t>
      </w:r>
    </w:p>
    <w:p w14:paraId="06550CBE">
      <w:pPr>
        <w:spacing w:before="1" w:line="215" w:lineRule="auto"/>
        <w:ind w:left="535"/>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rFonts w:ascii="FangSong_GB2312" w:hAnsi="FangSong_GB2312" w:eastAsia="FangSong_GB2312" w:cs="FangSong_GB2312"/>
          <w:spacing w:val="-7"/>
          <w:sz w:val="24"/>
          <w:szCs w:val="24"/>
        </w:rPr>
        <w:t>、水土流失治理度</w:t>
      </w:r>
    </w:p>
    <w:p w14:paraId="7319E149">
      <w:pPr>
        <w:spacing w:before="141" w:line="322" w:lineRule="exact"/>
        <w:ind w:left="516"/>
        <w:rPr>
          <w:rFonts w:ascii="Times New Roman" w:hAnsi="Times New Roman" w:eastAsia="Times New Roman" w:cs="Times New Roman"/>
          <w:sz w:val="24"/>
          <w:szCs w:val="24"/>
        </w:rPr>
      </w:pPr>
      <w:r>
        <w:rPr>
          <w:rFonts w:ascii="FangSong_GB2312" w:hAnsi="FangSong_GB2312" w:eastAsia="FangSong_GB2312" w:cs="FangSong_GB2312"/>
          <w:position w:val="2"/>
          <w:sz w:val="24"/>
          <w:szCs w:val="24"/>
        </w:rPr>
        <w:t>水土流失治理度</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水土流失治理面积</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建设区水土流</w:t>
      </w:r>
      <w:r>
        <w:rPr>
          <w:rFonts w:ascii="FangSong_GB2312" w:hAnsi="FangSong_GB2312" w:eastAsia="FangSong_GB2312" w:cs="FangSong_GB2312"/>
          <w:spacing w:val="-1"/>
          <w:position w:val="2"/>
          <w:sz w:val="24"/>
          <w:szCs w:val="24"/>
        </w:rPr>
        <w:t>失总面积</w:t>
      </w:r>
      <w:r>
        <w:rPr>
          <w:rFonts w:ascii="Times New Roman" w:hAnsi="Times New Roman" w:eastAsia="Times New Roman" w:cs="Times New Roman"/>
          <w:spacing w:val="-1"/>
          <w:position w:val="2"/>
          <w:sz w:val="24"/>
          <w:szCs w:val="24"/>
        </w:rPr>
        <w:t>)×100%</w:t>
      </w:r>
    </w:p>
    <w:p w14:paraId="48EA2C32">
      <w:pPr>
        <w:spacing w:before="189" w:line="216" w:lineRule="auto"/>
        <w:ind w:left="512"/>
        <w:rPr>
          <w:rFonts w:ascii="FangSong_GB2312" w:hAnsi="FangSong_GB2312" w:eastAsia="FangSong_GB2312" w:cs="FangSong_GB2312"/>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4"/>
          <w:sz w:val="24"/>
          <w:szCs w:val="24"/>
        </w:rPr>
        <w:t>、土壤流失控制比</w:t>
      </w:r>
    </w:p>
    <w:p w14:paraId="4576904A">
      <w:pPr>
        <w:spacing w:before="188" w:line="214" w:lineRule="auto"/>
        <w:ind w:left="520"/>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土壤流失控制比＝项目区容许土壤流失量</w:t>
      </w:r>
      <w:r>
        <w:rPr>
          <w:rFonts w:ascii="Times New Roman" w:hAnsi="Times New Roman" w:eastAsia="Times New Roman" w:cs="Times New Roman"/>
          <w:spacing w:val="-1"/>
          <w:sz w:val="24"/>
          <w:szCs w:val="24"/>
        </w:rPr>
        <w:t>/</w:t>
      </w:r>
      <w:r>
        <w:rPr>
          <w:rFonts w:ascii="FangSong_GB2312" w:hAnsi="FangSong_GB2312" w:eastAsia="FangSong_GB2312" w:cs="FangSong_GB2312"/>
          <w:spacing w:val="-1"/>
          <w:sz w:val="24"/>
          <w:szCs w:val="24"/>
        </w:rPr>
        <w:t>方案实施后土壤侵蚀强度</w:t>
      </w:r>
    </w:p>
    <w:p w14:paraId="65E1450F">
      <w:pPr>
        <w:spacing w:before="187" w:line="216" w:lineRule="auto"/>
        <w:ind w:left="52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项目区容许土壤流失量</w:t>
      </w:r>
      <w:r>
        <w:rPr>
          <w:rFonts w:ascii="FangSong_GB2312" w:hAnsi="FangSong_GB2312" w:eastAsia="FangSong_GB2312" w:cs="FangSong_GB2312"/>
          <w:spacing w:val="-40"/>
          <w:sz w:val="24"/>
          <w:szCs w:val="24"/>
        </w:rPr>
        <w:t xml:space="preserve"> </w:t>
      </w:r>
      <w:r>
        <w:rPr>
          <w:rFonts w:ascii="Times New Roman" w:hAnsi="Times New Roman" w:eastAsia="Times New Roman" w:cs="Times New Roman"/>
          <w:spacing w:val="-3"/>
          <w:sz w:val="24"/>
          <w:szCs w:val="24"/>
        </w:rPr>
        <w:t>500t/km²</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·a</w:t>
      </w:r>
      <w:r>
        <w:rPr>
          <w:rFonts w:ascii="FangSong_GB2312" w:hAnsi="FangSong_GB2312" w:eastAsia="FangSong_GB2312" w:cs="FangSong_GB2312"/>
          <w:spacing w:val="-3"/>
          <w:sz w:val="24"/>
          <w:szCs w:val="24"/>
        </w:rPr>
        <w:t>。</w:t>
      </w:r>
    </w:p>
    <w:p w14:paraId="040E122E">
      <w:pPr>
        <w:spacing w:before="187" w:line="214" w:lineRule="auto"/>
        <w:ind w:left="517"/>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、渣土防护率</w:t>
      </w:r>
    </w:p>
    <w:p w14:paraId="41E8AADB">
      <w:pPr>
        <w:spacing w:before="144" w:line="323" w:lineRule="exact"/>
        <w:ind w:left="529"/>
        <w:rPr>
          <w:rFonts w:ascii="Times New Roman" w:hAnsi="Times New Roman" w:eastAsia="Times New Roman" w:cs="Times New Roman"/>
          <w:sz w:val="24"/>
          <w:szCs w:val="24"/>
        </w:rPr>
      </w:pPr>
      <w:r>
        <w:rPr>
          <w:rFonts w:ascii="FangSong_GB2312" w:hAnsi="FangSong_GB2312" w:eastAsia="FangSong_GB2312" w:cs="FangSong_GB2312"/>
          <w:spacing w:val="-1"/>
          <w:position w:val="2"/>
          <w:sz w:val="24"/>
          <w:szCs w:val="24"/>
        </w:rPr>
        <w:t>渣土防护率</w:t>
      </w:r>
      <w:r>
        <w:rPr>
          <w:rFonts w:ascii="Times New Roman" w:hAnsi="Times New Roman" w:eastAsia="Times New Roman" w:cs="Times New Roman"/>
          <w:spacing w:val="-1"/>
          <w:position w:val="2"/>
          <w:sz w:val="24"/>
          <w:szCs w:val="24"/>
        </w:rPr>
        <w:t>=(</w:t>
      </w:r>
      <w:r>
        <w:rPr>
          <w:rFonts w:ascii="FangSong_GB2312" w:hAnsi="FangSong_GB2312" w:eastAsia="FangSong_GB2312" w:cs="FangSong_GB2312"/>
          <w:spacing w:val="-1"/>
          <w:position w:val="2"/>
          <w:sz w:val="24"/>
          <w:szCs w:val="24"/>
        </w:rPr>
        <w:t>实际拦渣量</w:t>
      </w:r>
      <w:r>
        <w:rPr>
          <w:rFonts w:ascii="Times New Roman" w:hAnsi="Times New Roman" w:eastAsia="Times New Roman" w:cs="Times New Roman"/>
          <w:spacing w:val="-1"/>
          <w:position w:val="2"/>
          <w:sz w:val="24"/>
          <w:szCs w:val="24"/>
        </w:rPr>
        <w:t>/</w:t>
      </w:r>
      <w:r>
        <w:rPr>
          <w:rFonts w:ascii="FangSong_GB2312" w:hAnsi="FangSong_GB2312" w:eastAsia="FangSong_GB2312" w:cs="FangSong_GB2312"/>
          <w:spacing w:val="-1"/>
          <w:position w:val="2"/>
          <w:sz w:val="24"/>
          <w:szCs w:val="24"/>
        </w:rPr>
        <w:t>总弃渣量</w:t>
      </w:r>
      <w:r>
        <w:rPr>
          <w:rFonts w:ascii="Times New Roman" w:hAnsi="Times New Roman" w:eastAsia="Times New Roman" w:cs="Times New Roman"/>
          <w:spacing w:val="-1"/>
          <w:position w:val="2"/>
          <w:sz w:val="24"/>
          <w:szCs w:val="24"/>
        </w:rPr>
        <w:t>)×100%</w:t>
      </w:r>
    </w:p>
    <w:p w14:paraId="760C442F">
      <w:pPr>
        <w:spacing w:before="188" w:line="214" w:lineRule="auto"/>
        <w:ind w:left="511"/>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4</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5"/>
          <w:sz w:val="24"/>
          <w:szCs w:val="24"/>
        </w:rPr>
        <w:t>、表土保护率</w:t>
      </w:r>
    </w:p>
    <w:p w14:paraId="4AFFC735">
      <w:pPr>
        <w:spacing w:before="144" w:line="323" w:lineRule="exact"/>
        <w:ind w:left="515"/>
        <w:rPr>
          <w:rFonts w:ascii="Times New Roman" w:hAnsi="Times New Roman" w:eastAsia="Times New Roman" w:cs="Times New Roman"/>
          <w:sz w:val="24"/>
          <w:szCs w:val="24"/>
        </w:rPr>
      </w:pPr>
      <w:r>
        <w:rPr>
          <w:rFonts w:ascii="FangSong_GB2312" w:hAnsi="FangSong_GB2312" w:eastAsia="FangSong_GB2312" w:cs="FangSong_GB2312"/>
          <w:spacing w:val="-1"/>
          <w:position w:val="2"/>
          <w:sz w:val="24"/>
          <w:szCs w:val="24"/>
        </w:rPr>
        <w:t>表土保护率</w:t>
      </w:r>
      <w:r>
        <w:rPr>
          <w:rFonts w:ascii="Times New Roman" w:hAnsi="Times New Roman" w:eastAsia="Times New Roman" w:cs="Times New Roman"/>
          <w:spacing w:val="-1"/>
          <w:position w:val="2"/>
          <w:sz w:val="24"/>
          <w:szCs w:val="24"/>
        </w:rPr>
        <w:t>=(</w:t>
      </w:r>
      <w:r>
        <w:rPr>
          <w:rFonts w:ascii="FangSong_GB2312" w:hAnsi="FangSong_GB2312" w:eastAsia="FangSong_GB2312" w:cs="FangSong_GB2312"/>
          <w:spacing w:val="-1"/>
          <w:position w:val="2"/>
          <w:sz w:val="24"/>
          <w:szCs w:val="24"/>
        </w:rPr>
        <w:t>保护表土数量</w:t>
      </w:r>
      <w:r>
        <w:rPr>
          <w:rFonts w:ascii="Times New Roman" w:hAnsi="Times New Roman" w:eastAsia="Times New Roman" w:cs="Times New Roman"/>
          <w:spacing w:val="-1"/>
          <w:position w:val="2"/>
          <w:sz w:val="24"/>
          <w:szCs w:val="24"/>
        </w:rPr>
        <w:t>/</w:t>
      </w:r>
      <w:r>
        <w:rPr>
          <w:rFonts w:ascii="FangSong_GB2312" w:hAnsi="FangSong_GB2312" w:eastAsia="FangSong_GB2312" w:cs="FangSong_GB2312"/>
          <w:spacing w:val="-1"/>
          <w:position w:val="2"/>
          <w:sz w:val="24"/>
          <w:szCs w:val="24"/>
        </w:rPr>
        <w:t>可剥离表土总量</w:t>
      </w:r>
      <w:r>
        <w:rPr>
          <w:rFonts w:ascii="Times New Roman" w:hAnsi="Times New Roman" w:eastAsia="Times New Roman" w:cs="Times New Roman"/>
          <w:spacing w:val="-1"/>
          <w:position w:val="2"/>
          <w:sz w:val="24"/>
          <w:szCs w:val="24"/>
        </w:rPr>
        <w:t>)×100%</w:t>
      </w:r>
    </w:p>
    <w:p w14:paraId="44F3A57A">
      <w:pPr>
        <w:spacing w:before="186" w:line="216" w:lineRule="auto"/>
        <w:ind w:left="519"/>
        <w:rPr>
          <w:rFonts w:ascii="FangSong_GB2312" w:hAnsi="FangSong_GB2312" w:eastAsia="FangSong_GB2312" w:cs="FangSong_GB2312"/>
          <w:sz w:val="24"/>
          <w:szCs w:val="24"/>
        </w:rPr>
      </w:pPr>
      <w:r>
        <w:rPr>
          <w:rFonts w:ascii="Times New Roman" w:hAnsi="Times New Roman" w:eastAsia="Times New Roman" w:cs="Times New Roman"/>
          <w:spacing w:val="-5"/>
          <w:sz w:val="24"/>
          <w:szCs w:val="24"/>
        </w:rPr>
        <w:t>5</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5"/>
          <w:sz w:val="24"/>
          <w:szCs w:val="24"/>
        </w:rPr>
        <w:t>、林草植被恢复率</w:t>
      </w:r>
    </w:p>
    <w:p w14:paraId="49FDA603">
      <w:pPr>
        <w:spacing w:before="144" w:line="323" w:lineRule="exact"/>
        <w:ind w:left="515"/>
        <w:rPr>
          <w:rFonts w:ascii="Times New Roman" w:hAnsi="Times New Roman" w:eastAsia="Times New Roman" w:cs="Times New Roman"/>
          <w:sz w:val="24"/>
          <w:szCs w:val="24"/>
        </w:rPr>
      </w:pPr>
      <w:r>
        <w:rPr>
          <w:rFonts w:ascii="FangSong_GB2312" w:hAnsi="FangSong_GB2312" w:eastAsia="FangSong_GB2312" w:cs="FangSong_GB2312"/>
          <w:position w:val="2"/>
          <w:sz w:val="24"/>
          <w:szCs w:val="24"/>
        </w:rPr>
        <w:t>林草植被恢复系数</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林草植被面积</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可恢复林草植</w:t>
      </w:r>
      <w:r>
        <w:rPr>
          <w:rFonts w:ascii="FangSong_GB2312" w:hAnsi="FangSong_GB2312" w:eastAsia="FangSong_GB2312" w:cs="FangSong_GB2312"/>
          <w:spacing w:val="-1"/>
          <w:position w:val="2"/>
          <w:sz w:val="24"/>
          <w:szCs w:val="24"/>
        </w:rPr>
        <w:t>被面积</w:t>
      </w:r>
      <w:r>
        <w:rPr>
          <w:rFonts w:ascii="Times New Roman" w:hAnsi="Times New Roman" w:eastAsia="Times New Roman" w:cs="Times New Roman"/>
          <w:spacing w:val="-1"/>
          <w:position w:val="2"/>
          <w:sz w:val="24"/>
          <w:szCs w:val="24"/>
        </w:rPr>
        <w:t>)×100%</w:t>
      </w:r>
    </w:p>
    <w:p w14:paraId="063A9834">
      <w:pPr>
        <w:spacing w:before="186" w:line="216" w:lineRule="auto"/>
        <w:ind w:left="518"/>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6</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6"/>
          <w:sz w:val="24"/>
          <w:szCs w:val="24"/>
        </w:rPr>
        <w:t>、林草覆盖率</w:t>
      </w:r>
    </w:p>
    <w:p w14:paraId="3FEC4A2A">
      <w:pPr>
        <w:spacing w:before="144" w:line="323" w:lineRule="exact"/>
        <w:ind w:left="515"/>
        <w:rPr>
          <w:rFonts w:ascii="Times New Roman" w:hAnsi="Times New Roman" w:eastAsia="Times New Roman" w:cs="Times New Roman"/>
          <w:sz w:val="24"/>
          <w:szCs w:val="24"/>
        </w:rPr>
      </w:pPr>
      <w:r>
        <w:rPr>
          <w:rFonts w:ascii="FangSong_GB2312" w:hAnsi="FangSong_GB2312" w:eastAsia="FangSong_GB2312" w:cs="FangSong_GB2312"/>
          <w:position w:val="2"/>
          <w:sz w:val="24"/>
          <w:szCs w:val="24"/>
        </w:rPr>
        <w:t>林草覆盖率</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林草植被面积</w:t>
      </w:r>
      <w:r>
        <w:rPr>
          <w:rFonts w:ascii="Times New Roman" w:hAnsi="Times New Roman" w:eastAsia="Times New Roman" w:cs="Times New Roman"/>
          <w:position w:val="2"/>
          <w:sz w:val="24"/>
          <w:szCs w:val="24"/>
        </w:rPr>
        <w:t>/</w:t>
      </w:r>
      <w:r>
        <w:rPr>
          <w:rFonts w:ascii="FangSong_GB2312" w:hAnsi="FangSong_GB2312" w:eastAsia="FangSong_GB2312" w:cs="FangSong_GB2312"/>
          <w:position w:val="2"/>
          <w:sz w:val="24"/>
          <w:szCs w:val="24"/>
        </w:rPr>
        <w:t>项目建设区</w:t>
      </w:r>
      <w:r>
        <w:rPr>
          <w:rFonts w:ascii="FangSong_GB2312" w:hAnsi="FangSong_GB2312" w:eastAsia="FangSong_GB2312" w:cs="FangSong_GB2312"/>
          <w:spacing w:val="-1"/>
          <w:position w:val="2"/>
          <w:sz w:val="24"/>
          <w:szCs w:val="24"/>
        </w:rPr>
        <w:t>总面积</w:t>
      </w:r>
      <w:r>
        <w:rPr>
          <w:rFonts w:ascii="Times New Roman" w:hAnsi="Times New Roman" w:eastAsia="Times New Roman" w:cs="Times New Roman"/>
          <w:spacing w:val="-1"/>
          <w:position w:val="2"/>
          <w:sz w:val="24"/>
          <w:szCs w:val="24"/>
        </w:rPr>
        <w:t>)×100%</w:t>
      </w:r>
    </w:p>
    <w:p w14:paraId="11173459">
      <w:pPr>
        <w:spacing w:before="188" w:line="359" w:lineRule="auto"/>
        <w:ind w:left="35" w:right="26" w:firstLine="479"/>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根据《全国水土保持规划国家级水土流失重点预防区和重</w:t>
      </w:r>
      <w:r>
        <w:rPr>
          <w:rFonts w:ascii="FangSong_GB2312" w:hAnsi="FangSong_GB2312" w:eastAsia="FangSong_GB2312" w:cs="FangSong_GB2312"/>
          <w:spacing w:val="6"/>
          <w:sz w:val="24"/>
          <w:szCs w:val="24"/>
        </w:rPr>
        <w:t>点治理区复核划分成</w:t>
      </w:r>
      <w:r>
        <w:rPr>
          <w:rFonts w:ascii="FangSong_GB2312" w:hAnsi="FangSong_GB2312" w:eastAsia="FangSong_GB2312" w:cs="FangSong_GB2312"/>
          <w:sz w:val="24"/>
          <w:szCs w:val="24"/>
        </w:rPr>
        <w:t>果》（办水保〔</w:t>
      </w:r>
      <w:r>
        <w:rPr>
          <w:rFonts w:ascii="Times New Roman" w:hAnsi="Times New Roman" w:eastAsia="Times New Roman" w:cs="Times New Roman"/>
          <w:sz w:val="24"/>
          <w:szCs w:val="24"/>
        </w:rPr>
        <w:t>2013</w:t>
      </w:r>
      <w:r>
        <w:rPr>
          <w:rFonts w:ascii="FangSong_GB2312" w:hAnsi="FangSong_GB2312" w:eastAsia="FangSong_GB2312" w:cs="FangSong_GB2312"/>
          <w:sz w:val="24"/>
          <w:szCs w:val="24"/>
        </w:rPr>
        <w:t>〕</w:t>
      </w:r>
      <w:r>
        <w:rPr>
          <w:rFonts w:ascii="Times New Roman" w:hAnsi="Times New Roman" w:eastAsia="Times New Roman" w:cs="Times New Roman"/>
          <w:sz w:val="24"/>
          <w:szCs w:val="24"/>
        </w:rPr>
        <w:t>188</w:t>
      </w:r>
      <w:r>
        <w:rPr>
          <w:rFonts w:ascii="Times New Roman" w:hAnsi="Times New Roman" w:eastAsia="Times New Roman" w:cs="Times New Roman"/>
          <w:spacing w:val="23"/>
          <w:sz w:val="24"/>
          <w:szCs w:val="24"/>
        </w:rPr>
        <w:t xml:space="preserve"> </w:t>
      </w:r>
      <w:r>
        <w:rPr>
          <w:rFonts w:ascii="FangSong_GB2312" w:hAnsi="FangSong_GB2312" w:eastAsia="FangSong_GB2312" w:cs="FangSong_GB2312"/>
          <w:sz w:val="24"/>
          <w:szCs w:val="24"/>
        </w:rPr>
        <w:t>号</w:t>
      </w:r>
      <w:r>
        <w:rPr>
          <w:rFonts w:ascii="FangSong_GB2312" w:hAnsi="FangSong_GB2312" w:eastAsia="FangSong_GB2312" w:cs="FangSong_GB2312"/>
          <w:spacing w:val="13"/>
          <w:sz w:val="24"/>
          <w:szCs w:val="24"/>
        </w:rPr>
        <w:t>），</w:t>
      </w:r>
      <w:r>
        <w:rPr>
          <w:rFonts w:ascii="FangSong_GB2312" w:hAnsi="FangSong_GB2312" w:eastAsia="FangSong_GB2312" w:cs="FangSong_GB2312"/>
          <w:sz w:val="24"/>
          <w:szCs w:val="24"/>
        </w:rPr>
        <w:t>项目所在地广元市剑阁县属于国家级水土流失重点</w:t>
      </w:r>
      <w:r>
        <w:rPr>
          <w:rFonts w:ascii="FangSong_GB2312" w:hAnsi="FangSong_GB2312" w:eastAsia="FangSong_GB2312" w:cs="FangSong_GB2312"/>
          <w:spacing w:val="-1"/>
          <w:sz w:val="24"/>
          <w:szCs w:val="24"/>
        </w:rPr>
        <w:t>治理区（嘉陵江及沱江中下游国家级水土流失重点治理区</w:t>
      </w:r>
      <w:r>
        <w:rPr>
          <w:rFonts w:ascii="FangSong_GB2312" w:hAnsi="FangSong_GB2312" w:eastAsia="FangSong_GB2312" w:cs="FangSong_GB2312"/>
          <w:spacing w:val="12"/>
          <w:sz w:val="24"/>
          <w:szCs w:val="24"/>
        </w:rPr>
        <w:t>），</w:t>
      </w:r>
      <w:r>
        <w:rPr>
          <w:rFonts w:ascii="FangSong_GB2312" w:hAnsi="FangSong_GB2312" w:eastAsia="FangSong_GB2312" w:cs="FangSong_GB2312"/>
          <w:spacing w:val="-1"/>
          <w:sz w:val="24"/>
          <w:szCs w:val="24"/>
        </w:rPr>
        <w:t>结合《生产建设项目水</w:t>
      </w:r>
      <w:r>
        <w:rPr>
          <w:rFonts w:ascii="FangSong_GB2312" w:hAnsi="FangSong_GB2312" w:eastAsia="FangSong_GB2312" w:cs="FangSong_GB2312"/>
          <w:spacing w:val="-2"/>
          <w:sz w:val="24"/>
          <w:szCs w:val="24"/>
        </w:rPr>
        <w:t>土流失防治标准》（</w:t>
      </w:r>
      <w:r>
        <w:rPr>
          <w:rFonts w:ascii="Times New Roman" w:hAnsi="Times New Roman" w:eastAsia="Times New Roman" w:cs="Times New Roman"/>
          <w:spacing w:val="-2"/>
          <w:sz w:val="24"/>
          <w:szCs w:val="24"/>
        </w:rPr>
        <w:t>GB/T 50434-2018</w:t>
      </w:r>
      <w:r>
        <w:rPr>
          <w:rFonts w:ascii="FangSong_GB2312" w:hAnsi="FangSong_GB2312" w:eastAsia="FangSong_GB2312" w:cs="FangSong_GB2312"/>
          <w:spacing w:val="-2"/>
          <w:sz w:val="24"/>
          <w:szCs w:val="24"/>
        </w:rPr>
        <w:t>）第</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2"/>
          <w:sz w:val="24"/>
          <w:szCs w:val="24"/>
        </w:rPr>
        <w:t xml:space="preserve">4.0.1 </w:t>
      </w:r>
      <w:r>
        <w:rPr>
          <w:rFonts w:ascii="FangSong_GB2312" w:hAnsi="FangSong_GB2312" w:eastAsia="FangSong_GB2312" w:cs="FangSong_GB2312"/>
          <w:spacing w:val="-2"/>
          <w:sz w:val="24"/>
          <w:szCs w:val="24"/>
        </w:rPr>
        <w:t>条规定，</w:t>
      </w:r>
      <w:r>
        <w:rPr>
          <w:rFonts w:ascii="Times New Roman" w:hAnsi="Times New Roman" w:eastAsia="Times New Roman" w:cs="Times New Roman"/>
          <w:spacing w:val="-2"/>
          <w:sz w:val="24"/>
          <w:szCs w:val="24"/>
        </w:rPr>
        <w:t>“</w:t>
      </w:r>
      <w:r>
        <w:rPr>
          <w:rFonts w:ascii="FangSong_GB2312" w:hAnsi="FangSong_GB2312" w:eastAsia="FangSong_GB2312" w:cs="FangSong_GB2312"/>
          <w:spacing w:val="-2"/>
          <w:sz w:val="24"/>
          <w:szCs w:val="24"/>
        </w:rPr>
        <w:t>项目位于各级人民政府和相</w:t>
      </w:r>
      <w:r>
        <w:rPr>
          <w:rFonts w:ascii="FangSong_GB2312" w:hAnsi="FangSong_GB2312" w:eastAsia="FangSong_GB2312" w:cs="FangSong_GB2312"/>
          <w:spacing w:val="-3"/>
          <w:sz w:val="24"/>
          <w:szCs w:val="24"/>
        </w:rPr>
        <w:t>关机构确定的水土流失重点预防区和治理区的，应执行一级标准</w:t>
      </w:r>
      <w:r>
        <w:rPr>
          <w:rFonts w:ascii="Times New Roman" w:hAnsi="Times New Roman" w:eastAsia="Times New Roman" w:cs="Times New Roman"/>
          <w:spacing w:val="-3"/>
          <w:sz w:val="24"/>
          <w:szCs w:val="24"/>
        </w:rPr>
        <w:t>”</w:t>
      </w:r>
      <w:r>
        <w:rPr>
          <w:rFonts w:ascii="FangSong_GB2312" w:hAnsi="FangSong_GB2312" w:eastAsia="FangSong_GB2312" w:cs="FangSong_GB2312"/>
          <w:spacing w:val="-3"/>
          <w:sz w:val="24"/>
          <w:szCs w:val="24"/>
        </w:rPr>
        <w:t>，从而确定</w:t>
      </w:r>
      <w:r>
        <w:rPr>
          <w:rFonts w:ascii="FangSong_GB2312" w:hAnsi="FangSong_GB2312" w:eastAsia="FangSong_GB2312" w:cs="FangSong_GB2312"/>
          <w:spacing w:val="-4"/>
          <w:sz w:val="24"/>
          <w:szCs w:val="24"/>
        </w:rPr>
        <w:t>本项目水</w:t>
      </w:r>
    </w:p>
    <w:p w14:paraId="3B026A38">
      <w:pPr>
        <w:spacing w:before="102" w:line="229" w:lineRule="auto"/>
        <w:ind w:left="5412"/>
        <w:rPr>
          <w:rFonts w:ascii="FangSong_GB2312" w:hAnsi="FangSong_GB2312" w:eastAsia="FangSong_GB2312" w:cs="FangSong_GB2312"/>
          <w:sz w:val="20"/>
          <w:szCs w:val="20"/>
        </w:rPr>
      </w:pPr>
      <w:r>
        <w:pict>
          <v:shape id="_x0000_s1098" o:spid="_x0000_s1098" o:spt="202" type="#_x0000_t202" style="position:absolute;left:0pt;margin-left:218.25pt;margin-top:4.95pt;height:10pt;width:10.65pt;z-index:251772928;mso-width-relative:page;mso-height-relative:page;" filled="f" stroked="f" coordsize="21600,21600">
            <v:path/>
            <v:fill on="f" focussize="0,0"/>
            <v:stroke on="f"/>
            <v:imagedata o:title=""/>
            <o:lock v:ext="edit" aspectratio="f"/>
            <v:textbox inset="0mm,0mm,0mm,0mm">
              <w:txbxContent>
                <w:p w14:paraId="3CD087E5">
                  <w:pPr>
                    <w:spacing w:before="20" w:line="185"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txbxContent>
            </v:textbox>
          </v:shape>
        </w:pict>
      </w:r>
      <w:r>
        <w:rPr>
          <w:rFonts w:ascii="FangSong_GB2312" w:hAnsi="FangSong_GB2312" w:eastAsia="FangSong_GB2312" w:cs="FangSong_GB2312"/>
          <w:spacing w:val="8"/>
          <w:sz w:val="20"/>
          <w:szCs w:val="20"/>
        </w:rPr>
        <w:t>剑阁县绿森林业勘察设计有限公司</w:t>
      </w:r>
    </w:p>
    <w:p w14:paraId="0FA2D12F">
      <w:pPr>
        <w:spacing w:line="229" w:lineRule="auto"/>
        <w:rPr>
          <w:rFonts w:ascii="FangSong_GB2312" w:hAnsi="FangSong_GB2312" w:eastAsia="FangSong_GB2312" w:cs="FangSong_GB2312"/>
          <w:sz w:val="20"/>
          <w:szCs w:val="20"/>
        </w:rPr>
        <w:sectPr>
          <w:headerReference r:id="rId73" w:type="default"/>
          <w:pgSz w:w="11906" w:h="16839"/>
          <w:pgMar w:top="1159" w:right="1487" w:bottom="400" w:left="1486" w:header="831" w:footer="0" w:gutter="0"/>
          <w:cols w:space="720" w:num="1"/>
        </w:sectPr>
      </w:pPr>
    </w:p>
    <w:p w14:paraId="2E2E4C52">
      <w:pPr>
        <w:spacing w:before="202" w:line="213" w:lineRule="auto"/>
        <w:ind w:left="13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土流失防治指标值执行建设类项目一级标准。</w:t>
      </w:r>
    </w:p>
    <w:p w14:paraId="431711C0">
      <w:pPr>
        <w:spacing w:before="190" w:line="359" w:lineRule="auto"/>
        <w:ind w:left="132" w:right="5" w:firstLine="474"/>
        <w:jc w:val="both"/>
        <w:rPr>
          <w:rFonts w:ascii="FangSong_GB2312" w:hAnsi="FangSong_GB2312" w:eastAsia="FangSong_GB2312" w:cs="FangSong_GB2312"/>
          <w:sz w:val="24"/>
          <w:szCs w:val="24"/>
        </w:rPr>
      </w:pPr>
      <w:r>
        <w:rPr>
          <w:rFonts w:ascii="FangSong_GB2312" w:hAnsi="FangSong_GB2312" w:eastAsia="FangSong_GB2312" w:cs="FangSong_GB2312"/>
          <w:spacing w:val="-16"/>
          <w:sz w:val="24"/>
          <w:szCs w:val="24"/>
        </w:rPr>
        <w:t>根据《水利部办公厅关于印发</w:t>
      </w:r>
      <w:r>
        <w:rPr>
          <w:rFonts w:ascii="Times New Roman" w:hAnsi="Times New Roman" w:eastAsia="Times New Roman" w:cs="Times New Roman"/>
          <w:spacing w:val="-16"/>
          <w:sz w:val="24"/>
          <w:szCs w:val="24"/>
        </w:rPr>
        <w:t>&lt;</w:t>
      </w:r>
      <w:r>
        <w:rPr>
          <w:rFonts w:ascii="FangSong_GB2312" w:hAnsi="FangSong_GB2312" w:eastAsia="FangSong_GB2312" w:cs="FangSong_GB2312"/>
          <w:spacing w:val="-16"/>
          <w:sz w:val="24"/>
          <w:szCs w:val="24"/>
        </w:rPr>
        <w:t>全国水土保持区</w:t>
      </w:r>
      <w:r>
        <w:rPr>
          <w:rFonts w:ascii="FangSong_GB2312" w:hAnsi="FangSong_GB2312" w:eastAsia="FangSong_GB2312" w:cs="FangSong_GB2312"/>
          <w:spacing w:val="-17"/>
          <w:sz w:val="24"/>
          <w:szCs w:val="24"/>
        </w:rPr>
        <w:t>划（试行）</w:t>
      </w:r>
      <w:r>
        <w:rPr>
          <w:rFonts w:ascii="Times New Roman" w:hAnsi="Times New Roman" w:eastAsia="Times New Roman" w:cs="Times New Roman"/>
          <w:spacing w:val="-17"/>
          <w:sz w:val="24"/>
          <w:szCs w:val="24"/>
        </w:rPr>
        <w:t>&gt;</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17"/>
          <w:sz w:val="24"/>
          <w:szCs w:val="24"/>
        </w:rPr>
        <w:t>的通知》（办水保〔</w:t>
      </w:r>
      <w:r>
        <w:rPr>
          <w:rFonts w:ascii="Times New Roman" w:hAnsi="Times New Roman" w:eastAsia="Times New Roman" w:cs="Times New Roman"/>
          <w:spacing w:val="-17"/>
          <w:sz w:val="24"/>
          <w:szCs w:val="24"/>
        </w:rPr>
        <w:t>2012</w:t>
      </w:r>
      <w:r>
        <w:rPr>
          <w:rFonts w:ascii="FangSong_GB2312" w:hAnsi="FangSong_GB2312" w:eastAsia="FangSong_GB2312" w:cs="FangSong_GB2312"/>
          <w:spacing w:val="-17"/>
          <w:sz w:val="24"/>
          <w:szCs w:val="24"/>
        </w:rPr>
        <w:t>〕</w:t>
      </w:r>
      <w:r>
        <w:rPr>
          <w:rFonts w:ascii="FangSong_GB2312" w:hAnsi="FangSong_GB2312" w:eastAsia="FangSong_GB2312" w:cs="FangSong_GB2312"/>
          <w:sz w:val="24"/>
          <w:szCs w:val="24"/>
        </w:rPr>
        <w:t xml:space="preserve"> </w:t>
      </w:r>
      <w:r>
        <w:rPr>
          <w:rFonts w:ascii="Times New Roman" w:hAnsi="Times New Roman" w:eastAsia="Times New Roman" w:cs="Times New Roman"/>
          <w:sz w:val="24"/>
          <w:szCs w:val="24"/>
        </w:rPr>
        <w:t>512</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z w:val="24"/>
          <w:szCs w:val="24"/>
        </w:rPr>
        <w:t>号</w:t>
      </w:r>
      <w:r>
        <w:rPr>
          <w:rFonts w:ascii="FangSong_GB2312" w:hAnsi="FangSong_GB2312" w:eastAsia="FangSong_GB2312" w:cs="FangSong_GB2312"/>
          <w:spacing w:val="12"/>
          <w:sz w:val="24"/>
          <w:szCs w:val="24"/>
        </w:rPr>
        <w:t>），</w:t>
      </w:r>
      <w:r>
        <w:rPr>
          <w:rFonts w:ascii="FangSong_GB2312" w:hAnsi="FangSong_GB2312" w:eastAsia="FangSong_GB2312" w:cs="FangSong_GB2312"/>
          <w:sz w:val="24"/>
          <w:szCs w:val="24"/>
        </w:rPr>
        <w:t>项目所在地广元市剑阁县属于西南紫色土区，根据《生产建设项目水土流失防治标准》（</w:t>
      </w:r>
      <w:r>
        <w:rPr>
          <w:rFonts w:ascii="Times New Roman" w:hAnsi="Times New Roman" w:eastAsia="Times New Roman" w:cs="Times New Roman"/>
          <w:sz w:val="24"/>
          <w:szCs w:val="24"/>
        </w:rPr>
        <w:t>GB/T 50434-2018</w:t>
      </w:r>
      <w:r>
        <w:rPr>
          <w:rFonts w:ascii="FangSong_GB2312" w:hAnsi="FangSong_GB2312" w:eastAsia="FangSong_GB2312" w:cs="FangSong_GB2312"/>
          <w:sz w:val="24"/>
          <w:szCs w:val="24"/>
        </w:rPr>
        <w:t>）表</w:t>
      </w:r>
      <w:r>
        <w:rPr>
          <w:rFonts w:ascii="FangSong_GB2312" w:hAnsi="FangSong_GB2312" w:eastAsia="FangSong_GB2312" w:cs="FangSong_GB2312"/>
          <w:spacing w:val="-56"/>
          <w:sz w:val="24"/>
          <w:szCs w:val="24"/>
        </w:rPr>
        <w:t xml:space="preserve"> </w:t>
      </w:r>
      <w:r>
        <w:rPr>
          <w:rFonts w:ascii="Times New Roman" w:hAnsi="Times New Roman" w:eastAsia="Times New Roman" w:cs="Times New Roman"/>
          <w:spacing w:val="-1"/>
          <w:sz w:val="24"/>
          <w:szCs w:val="24"/>
        </w:rPr>
        <w:t xml:space="preserve">4.0.2-6 </w:t>
      </w:r>
      <w:r>
        <w:rPr>
          <w:rFonts w:ascii="FangSong_GB2312" w:hAnsi="FangSong_GB2312" w:eastAsia="FangSong_GB2312" w:cs="FangSong_GB2312"/>
          <w:spacing w:val="-1"/>
          <w:sz w:val="24"/>
          <w:szCs w:val="24"/>
        </w:rPr>
        <w:t>确定项目区水土流失防治指标值。</w:t>
      </w:r>
    </w:p>
    <w:p w14:paraId="17826CCD">
      <w:pPr>
        <w:spacing w:line="215" w:lineRule="auto"/>
        <w:ind w:left="610"/>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本项目水土流失防治指标修正见表</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1"/>
          <w:sz w:val="24"/>
          <w:szCs w:val="24"/>
        </w:rPr>
        <w:t>7.2-1</w:t>
      </w:r>
      <w:r>
        <w:rPr>
          <w:rFonts w:ascii="FangSong_GB2312" w:hAnsi="FangSong_GB2312" w:eastAsia="FangSong_GB2312" w:cs="FangSong_GB2312"/>
          <w:spacing w:val="-1"/>
          <w:sz w:val="24"/>
          <w:szCs w:val="24"/>
        </w:rPr>
        <w:t>。</w:t>
      </w:r>
    </w:p>
    <w:p w14:paraId="5B0EF01A">
      <w:pPr>
        <w:spacing w:before="183" w:line="222" w:lineRule="auto"/>
        <w:ind w:left="2949"/>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7"/>
          <w:sz w:val="20"/>
          <w:szCs w:val="20"/>
        </w:rPr>
        <w:t xml:space="preserve"> </w:t>
      </w:r>
      <w:r>
        <w:rPr>
          <w:rFonts w:ascii="Times New Roman" w:hAnsi="Times New Roman" w:eastAsia="Times New Roman" w:cs="Times New Roman"/>
          <w:b/>
          <w:bCs/>
          <w:spacing w:val="5"/>
          <w:sz w:val="20"/>
          <w:szCs w:val="20"/>
        </w:rPr>
        <w:t xml:space="preserve">7.2-1    </w:t>
      </w:r>
      <w:r>
        <w:rPr>
          <w:rFonts w:ascii="FangSong_GB2312" w:hAnsi="FangSong_GB2312" w:eastAsia="FangSong_GB2312" w:cs="FangSong_GB2312"/>
          <w:b/>
          <w:bCs/>
          <w:spacing w:val="5"/>
          <w:sz w:val="20"/>
          <w:szCs w:val="20"/>
        </w:rPr>
        <w:t>水土流失防治指标修正表</w:t>
      </w:r>
    </w:p>
    <w:tbl>
      <w:tblPr>
        <w:tblStyle w:val="6"/>
        <w:tblW w:w="8933"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59"/>
        <w:gridCol w:w="1465"/>
        <w:gridCol w:w="1465"/>
        <w:gridCol w:w="1465"/>
        <w:gridCol w:w="1479"/>
      </w:tblGrid>
      <w:tr w14:paraId="0FEC2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059" w:type="dxa"/>
            <w:vMerge w:val="restart"/>
            <w:tcBorders>
              <w:top w:val="single" w:color="000000" w:sz="10" w:space="0"/>
              <w:left w:val="single" w:color="000000" w:sz="10" w:space="0"/>
              <w:bottom w:val="nil"/>
            </w:tcBorders>
            <w:vAlign w:val="top"/>
          </w:tcPr>
          <w:p w14:paraId="164AAD85">
            <w:pPr>
              <w:spacing w:before="246" w:line="216" w:lineRule="auto"/>
              <w:ind w:left="1179"/>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防治目标</w:t>
            </w:r>
          </w:p>
        </w:tc>
        <w:tc>
          <w:tcPr>
            <w:tcW w:w="2930" w:type="dxa"/>
            <w:gridSpan w:val="2"/>
            <w:tcBorders>
              <w:top w:val="single" w:color="000000" w:sz="10" w:space="0"/>
            </w:tcBorders>
            <w:vAlign w:val="top"/>
          </w:tcPr>
          <w:p w14:paraId="5FB7517B">
            <w:pPr>
              <w:spacing w:before="76" w:line="215" w:lineRule="auto"/>
              <w:ind w:left="1122"/>
              <w:rPr>
                <w:rFonts w:ascii="FangSong_GB2312" w:hAnsi="FangSong_GB2312" w:eastAsia="FangSong_GB2312" w:cs="FangSong_GB2312"/>
                <w:sz w:val="18"/>
                <w:szCs w:val="18"/>
              </w:rPr>
            </w:pPr>
            <w:r>
              <w:rPr>
                <w:rFonts w:ascii="FangSong_GB2312" w:hAnsi="FangSong_GB2312" w:eastAsia="FangSong_GB2312" w:cs="FangSong_GB2312"/>
                <w:spacing w:val="-5"/>
                <w:sz w:val="18"/>
                <w:szCs w:val="18"/>
              </w:rPr>
              <w:t>一级标准</w:t>
            </w:r>
          </w:p>
        </w:tc>
        <w:tc>
          <w:tcPr>
            <w:tcW w:w="2944" w:type="dxa"/>
            <w:gridSpan w:val="2"/>
            <w:tcBorders>
              <w:top w:val="single" w:color="000000" w:sz="10" w:space="0"/>
              <w:right w:val="single" w:color="000000" w:sz="10" w:space="0"/>
            </w:tcBorders>
            <w:vAlign w:val="top"/>
          </w:tcPr>
          <w:p w14:paraId="4D3D00BE">
            <w:pPr>
              <w:spacing w:before="76" w:line="215" w:lineRule="auto"/>
              <w:ind w:left="111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采用标准</w:t>
            </w:r>
          </w:p>
        </w:tc>
      </w:tr>
      <w:tr w14:paraId="71DF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59" w:type="dxa"/>
            <w:vMerge w:val="continue"/>
            <w:tcBorders>
              <w:top w:val="nil"/>
              <w:left w:val="single" w:color="000000" w:sz="10" w:space="0"/>
            </w:tcBorders>
            <w:vAlign w:val="top"/>
          </w:tcPr>
          <w:p w14:paraId="6F47AC83">
            <w:pPr>
              <w:rPr>
                <w:rFonts w:ascii="Arial"/>
                <w:sz w:val="21"/>
              </w:rPr>
            </w:pPr>
          </w:p>
        </w:tc>
        <w:tc>
          <w:tcPr>
            <w:tcW w:w="1465" w:type="dxa"/>
            <w:vAlign w:val="top"/>
          </w:tcPr>
          <w:p w14:paraId="541BDCE7">
            <w:pPr>
              <w:spacing w:before="107" w:line="216" w:lineRule="auto"/>
              <w:ind w:left="46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施工期</w:t>
            </w:r>
          </w:p>
        </w:tc>
        <w:tc>
          <w:tcPr>
            <w:tcW w:w="1465" w:type="dxa"/>
            <w:vAlign w:val="top"/>
          </w:tcPr>
          <w:p w14:paraId="713AD9CC">
            <w:pPr>
              <w:spacing w:before="106" w:line="215" w:lineRule="auto"/>
              <w:ind w:left="289"/>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设计水平年</w:t>
            </w:r>
          </w:p>
        </w:tc>
        <w:tc>
          <w:tcPr>
            <w:tcW w:w="1465" w:type="dxa"/>
            <w:vAlign w:val="top"/>
          </w:tcPr>
          <w:p w14:paraId="6A2934A8">
            <w:pPr>
              <w:spacing w:before="107" w:line="216" w:lineRule="auto"/>
              <w:ind w:left="474"/>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施工期</w:t>
            </w:r>
          </w:p>
        </w:tc>
        <w:tc>
          <w:tcPr>
            <w:tcW w:w="1479" w:type="dxa"/>
            <w:tcBorders>
              <w:right w:val="single" w:color="000000" w:sz="10" w:space="0"/>
            </w:tcBorders>
            <w:vAlign w:val="top"/>
          </w:tcPr>
          <w:p w14:paraId="1EA4762E">
            <w:pPr>
              <w:spacing w:before="106" w:line="215" w:lineRule="auto"/>
              <w:ind w:left="29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设计水平年</w:t>
            </w:r>
          </w:p>
        </w:tc>
      </w:tr>
      <w:tr w14:paraId="5783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59" w:type="dxa"/>
            <w:tcBorders>
              <w:left w:val="single" w:color="000000" w:sz="10" w:space="0"/>
            </w:tcBorders>
            <w:vAlign w:val="top"/>
          </w:tcPr>
          <w:p w14:paraId="6D3CF276">
            <w:pPr>
              <w:spacing w:before="108" w:line="216" w:lineRule="auto"/>
              <w:ind w:left="636"/>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水土流失治理度（</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w:t>
            </w:r>
          </w:p>
        </w:tc>
        <w:tc>
          <w:tcPr>
            <w:tcW w:w="1465" w:type="dxa"/>
            <w:vAlign w:val="top"/>
          </w:tcPr>
          <w:p w14:paraId="6B9053B2">
            <w:pPr>
              <w:spacing w:before="215" w:line="86" w:lineRule="exact"/>
              <w:ind w:left="637"/>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65" w:type="dxa"/>
            <w:vAlign w:val="top"/>
          </w:tcPr>
          <w:p w14:paraId="7DA9148E">
            <w:pPr>
              <w:spacing w:before="139"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1465" w:type="dxa"/>
            <w:vAlign w:val="top"/>
          </w:tcPr>
          <w:p w14:paraId="1FCA1F2C">
            <w:pPr>
              <w:spacing w:before="215" w:line="86" w:lineRule="exact"/>
              <w:ind w:left="644"/>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79" w:type="dxa"/>
            <w:tcBorders>
              <w:right w:val="single" w:color="000000" w:sz="10" w:space="0"/>
            </w:tcBorders>
            <w:vAlign w:val="top"/>
          </w:tcPr>
          <w:p w14:paraId="3F090FD0">
            <w:pPr>
              <w:spacing w:before="139" w:line="188" w:lineRule="auto"/>
              <w:ind w:left="6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r>
      <w:tr w14:paraId="0F639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59" w:type="dxa"/>
            <w:tcBorders>
              <w:left w:val="single" w:color="000000" w:sz="10" w:space="0"/>
            </w:tcBorders>
            <w:vAlign w:val="top"/>
          </w:tcPr>
          <w:p w14:paraId="3E2678EE">
            <w:pPr>
              <w:spacing w:before="111" w:line="216" w:lineRule="auto"/>
              <w:ind w:left="896"/>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土壤流失控制比</w:t>
            </w:r>
          </w:p>
        </w:tc>
        <w:tc>
          <w:tcPr>
            <w:tcW w:w="1465" w:type="dxa"/>
            <w:vAlign w:val="top"/>
          </w:tcPr>
          <w:p w14:paraId="037090B7">
            <w:pPr>
              <w:spacing w:before="218" w:line="86" w:lineRule="exact"/>
              <w:ind w:left="637"/>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65" w:type="dxa"/>
            <w:vAlign w:val="top"/>
          </w:tcPr>
          <w:p w14:paraId="2D30DD6B">
            <w:pPr>
              <w:spacing w:before="142" w:line="188" w:lineRule="auto"/>
              <w:ind w:left="5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0.85</w:t>
            </w:r>
          </w:p>
        </w:tc>
        <w:tc>
          <w:tcPr>
            <w:tcW w:w="1465" w:type="dxa"/>
            <w:vAlign w:val="top"/>
          </w:tcPr>
          <w:p w14:paraId="507594F2">
            <w:pPr>
              <w:spacing w:before="218" w:line="86" w:lineRule="exact"/>
              <w:ind w:left="644"/>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79" w:type="dxa"/>
            <w:tcBorders>
              <w:right w:val="single" w:color="000000" w:sz="10" w:space="0"/>
            </w:tcBorders>
            <w:vAlign w:val="top"/>
          </w:tcPr>
          <w:p w14:paraId="012F1ECE">
            <w:pPr>
              <w:spacing w:before="142" w:line="188" w:lineRule="auto"/>
              <w:ind w:left="64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r>
      <w:tr w14:paraId="0FFF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59" w:type="dxa"/>
            <w:tcBorders>
              <w:left w:val="single" w:color="000000" w:sz="10" w:space="0"/>
            </w:tcBorders>
            <w:vAlign w:val="top"/>
          </w:tcPr>
          <w:p w14:paraId="4D4A3B68">
            <w:pPr>
              <w:spacing w:before="115" w:line="214" w:lineRule="auto"/>
              <w:ind w:left="826"/>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渣土防护率（</w:t>
            </w:r>
            <w:r>
              <w:rPr>
                <w:rFonts w:ascii="Times New Roman" w:hAnsi="Times New Roman" w:eastAsia="Times New Roman" w:cs="Times New Roman"/>
                <w:spacing w:val="-3"/>
                <w:sz w:val="18"/>
                <w:szCs w:val="18"/>
              </w:rPr>
              <w:t>%</w:t>
            </w:r>
            <w:r>
              <w:rPr>
                <w:rFonts w:ascii="FangSong_GB2312" w:hAnsi="FangSong_GB2312" w:eastAsia="FangSong_GB2312" w:cs="FangSong_GB2312"/>
                <w:spacing w:val="-3"/>
                <w:sz w:val="18"/>
                <w:szCs w:val="18"/>
              </w:rPr>
              <w:t>）</w:t>
            </w:r>
          </w:p>
        </w:tc>
        <w:tc>
          <w:tcPr>
            <w:tcW w:w="1465" w:type="dxa"/>
            <w:vAlign w:val="top"/>
          </w:tcPr>
          <w:p w14:paraId="6E768FE3">
            <w:pPr>
              <w:spacing w:before="146" w:line="188" w:lineRule="auto"/>
              <w:ind w:left="6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465" w:type="dxa"/>
            <w:vAlign w:val="top"/>
          </w:tcPr>
          <w:p w14:paraId="5123CC81">
            <w:pPr>
              <w:spacing w:before="146"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1465" w:type="dxa"/>
            <w:vAlign w:val="top"/>
          </w:tcPr>
          <w:p w14:paraId="39ADD590">
            <w:pPr>
              <w:spacing w:before="146" w:line="188" w:lineRule="auto"/>
              <w:ind w:left="6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1479" w:type="dxa"/>
            <w:tcBorders>
              <w:right w:val="single" w:color="000000" w:sz="10" w:space="0"/>
            </w:tcBorders>
            <w:vAlign w:val="top"/>
          </w:tcPr>
          <w:p w14:paraId="76A6B02F">
            <w:pPr>
              <w:spacing w:before="146" w:line="188" w:lineRule="auto"/>
              <w:ind w:left="6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r>
      <w:tr w14:paraId="57AFA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59" w:type="dxa"/>
            <w:tcBorders>
              <w:left w:val="single" w:color="000000" w:sz="10" w:space="0"/>
            </w:tcBorders>
            <w:vAlign w:val="top"/>
          </w:tcPr>
          <w:p w14:paraId="096A212A">
            <w:pPr>
              <w:spacing w:before="117" w:line="214" w:lineRule="auto"/>
              <w:ind w:left="81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表土保护率（</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w:t>
            </w:r>
          </w:p>
        </w:tc>
        <w:tc>
          <w:tcPr>
            <w:tcW w:w="1465" w:type="dxa"/>
            <w:vAlign w:val="top"/>
          </w:tcPr>
          <w:p w14:paraId="025437B5">
            <w:pPr>
              <w:spacing w:before="148" w:line="188" w:lineRule="auto"/>
              <w:ind w:left="64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1465" w:type="dxa"/>
            <w:vAlign w:val="top"/>
          </w:tcPr>
          <w:p w14:paraId="0FD35AA1">
            <w:pPr>
              <w:spacing w:before="148"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1465" w:type="dxa"/>
            <w:vAlign w:val="top"/>
          </w:tcPr>
          <w:p w14:paraId="3BFC1BC1">
            <w:pPr>
              <w:spacing w:before="148" w:line="188" w:lineRule="auto"/>
              <w:ind w:left="65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c>
          <w:tcPr>
            <w:tcW w:w="1479" w:type="dxa"/>
            <w:tcBorders>
              <w:right w:val="single" w:color="000000" w:sz="10" w:space="0"/>
            </w:tcBorders>
            <w:vAlign w:val="top"/>
          </w:tcPr>
          <w:p w14:paraId="7C5CFAAF">
            <w:pPr>
              <w:spacing w:before="148" w:line="188" w:lineRule="auto"/>
              <w:ind w:left="6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tc>
      </w:tr>
      <w:tr w14:paraId="65D61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059" w:type="dxa"/>
            <w:tcBorders>
              <w:left w:val="single" w:color="000000" w:sz="10" w:space="0"/>
            </w:tcBorders>
            <w:vAlign w:val="top"/>
          </w:tcPr>
          <w:p w14:paraId="44F68CDE">
            <w:pPr>
              <w:spacing w:before="120" w:line="216" w:lineRule="auto"/>
              <w:ind w:left="63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林草植被恢复率（</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w:t>
            </w:r>
          </w:p>
        </w:tc>
        <w:tc>
          <w:tcPr>
            <w:tcW w:w="1465" w:type="dxa"/>
            <w:vAlign w:val="top"/>
          </w:tcPr>
          <w:p w14:paraId="6EB88630">
            <w:pPr>
              <w:spacing w:before="229" w:line="86" w:lineRule="exact"/>
              <w:ind w:left="637"/>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65" w:type="dxa"/>
            <w:vAlign w:val="top"/>
          </w:tcPr>
          <w:p w14:paraId="41BC0A43">
            <w:pPr>
              <w:spacing w:before="153"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c>
          <w:tcPr>
            <w:tcW w:w="1465" w:type="dxa"/>
            <w:vAlign w:val="top"/>
          </w:tcPr>
          <w:p w14:paraId="70AD67C7">
            <w:pPr>
              <w:spacing w:before="229" w:line="86" w:lineRule="exact"/>
              <w:ind w:left="644"/>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79" w:type="dxa"/>
            <w:tcBorders>
              <w:right w:val="single" w:color="000000" w:sz="10" w:space="0"/>
            </w:tcBorders>
            <w:vAlign w:val="top"/>
          </w:tcPr>
          <w:p w14:paraId="3701EF51">
            <w:pPr>
              <w:spacing w:before="153" w:line="188" w:lineRule="auto"/>
              <w:ind w:left="6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tc>
      </w:tr>
      <w:tr w14:paraId="4D8D9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059" w:type="dxa"/>
            <w:tcBorders>
              <w:left w:val="single" w:color="000000" w:sz="10" w:space="0"/>
              <w:bottom w:val="single" w:color="000000" w:sz="10" w:space="0"/>
            </w:tcBorders>
            <w:vAlign w:val="top"/>
          </w:tcPr>
          <w:p w14:paraId="446046C9">
            <w:pPr>
              <w:spacing w:before="122" w:line="216" w:lineRule="auto"/>
              <w:ind w:left="81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林草覆盖率（</w:t>
            </w:r>
            <w:r>
              <w:rPr>
                <w:rFonts w:ascii="Times New Roman" w:hAnsi="Times New Roman" w:eastAsia="Times New Roman" w:cs="Times New Roman"/>
                <w:spacing w:val="-1"/>
                <w:sz w:val="18"/>
                <w:szCs w:val="18"/>
              </w:rPr>
              <w:t>%</w:t>
            </w:r>
            <w:r>
              <w:rPr>
                <w:rFonts w:ascii="FangSong_GB2312" w:hAnsi="FangSong_GB2312" w:eastAsia="FangSong_GB2312" w:cs="FangSong_GB2312"/>
                <w:spacing w:val="-1"/>
                <w:sz w:val="18"/>
                <w:szCs w:val="18"/>
              </w:rPr>
              <w:t>）</w:t>
            </w:r>
          </w:p>
        </w:tc>
        <w:tc>
          <w:tcPr>
            <w:tcW w:w="1465" w:type="dxa"/>
            <w:tcBorders>
              <w:bottom w:val="single" w:color="000000" w:sz="10" w:space="0"/>
            </w:tcBorders>
            <w:vAlign w:val="top"/>
          </w:tcPr>
          <w:p w14:paraId="10D2F69F">
            <w:pPr>
              <w:spacing w:before="231" w:line="86" w:lineRule="exact"/>
              <w:ind w:left="637"/>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65" w:type="dxa"/>
            <w:tcBorders>
              <w:bottom w:val="single" w:color="000000" w:sz="10" w:space="0"/>
            </w:tcBorders>
            <w:vAlign w:val="top"/>
          </w:tcPr>
          <w:p w14:paraId="16668823">
            <w:pPr>
              <w:spacing w:before="155" w:line="188" w:lineRule="auto"/>
              <w:ind w:left="64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tc>
        <w:tc>
          <w:tcPr>
            <w:tcW w:w="1465" w:type="dxa"/>
            <w:tcBorders>
              <w:bottom w:val="single" w:color="000000" w:sz="10" w:space="0"/>
            </w:tcBorders>
            <w:vAlign w:val="top"/>
          </w:tcPr>
          <w:p w14:paraId="2A1AA781">
            <w:pPr>
              <w:spacing w:before="231" w:line="86" w:lineRule="exact"/>
              <w:ind w:left="644"/>
              <w:rPr>
                <w:rFonts w:ascii="Times New Roman" w:hAnsi="Times New Roman" w:eastAsia="Times New Roman" w:cs="Times New Roman"/>
                <w:sz w:val="18"/>
                <w:szCs w:val="18"/>
              </w:rPr>
            </w:pPr>
            <w:r>
              <w:rPr>
                <w:rFonts w:ascii="Times New Roman" w:hAnsi="Times New Roman" w:eastAsia="Times New Roman" w:cs="Times New Roman"/>
                <w:spacing w:val="3"/>
                <w:position w:val="-2"/>
                <w:sz w:val="18"/>
                <w:szCs w:val="18"/>
              </w:rPr>
              <w:t>—</w:t>
            </w:r>
          </w:p>
        </w:tc>
        <w:tc>
          <w:tcPr>
            <w:tcW w:w="1479" w:type="dxa"/>
            <w:tcBorders>
              <w:bottom w:val="single" w:color="000000" w:sz="10" w:space="0"/>
              <w:right w:val="single" w:color="000000" w:sz="10" w:space="0"/>
            </w:tcBorders>
            <w:vAlign w:val="top"/>
          </w:tcPr>
          <w:p w14:paraId="45ADF9A4">
            <w:pPr>
              <w:spacing w:before="155" w:line="188" w:lineRule="auto"/>
              <w:ind w:left="6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r>
    </w:tbl>
    <w:p w14:paraId="6971CCD0">
      <w:pPr>
        <w:spacing w:before="35" w:line="214" w:lineRule="auto"/>
        <w:ind w:left="609"/>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水土流失防治六项指标统计计算结果见表</w:t>
      </w:r>
      <w:r>
        <w:rPr>
          <w:rFonts w:ascii="FangSong_GB2312" w:hAnsi="FangSong_GB2312" w:eastAsia="FangSong_GB2312" w:cs="FangSong_GB2312"/>
          <w:spacing w:val="-47"/>
          <w:sz w:val="24"/>
          <w:szCs w:val="24"/>
        </w:rPr>
        <w:t xml:space="preserve"> </w:t>
      </w:r>
      <w:r>
        <w:rPr>
          <w:rFonts w:ascii="Times New Roman" w:hAnsi="Times New Roman" w:eastAsia="Times New Roman" w:cs="Times New Roman"/>
          <w:spacing w:val="-1"/>
          <w:sz w:val="24"/>
          <w:szCs w:val="24"/>
        </w:rPr>
        <w:t>7.2-2</w:t>
      </w:r>
      <w:r>
        <w:rPr>
          <w:rFonts w:ascii="FangSong_GB2312" w:hAnsi="FangSong_GB2312" w:eastAsia="FangSong_GB2312" w:cs="FangSong_GB2312"/>
          <w:spacing w:val="-1"/>
          <w:sz w:val="24"/>
          <w:szCs w:val="24"/>
        </w:rPr>
        <w:t>。</w:t>
      </w:r>
    </w:p>
    <w:p w14:paraId="14D327E1">
      <w:pPr>
        <w:spacing w:before="186" w:line="222" w:lineRule="auto"/>
        <w:ind w:left="2949"/>
        <w:rPr>
          <w:rFonts w:ascii="FangSong_GB2312" w:hAnsi="FangSong_GB2312" w:eastAsia="FangSong_GB2312" w:cs="FangSong_GB2312"/>
          <w:sz w:val="20"/>
          <w:szCs w:val="20"/>
        </w:rPr>
      </w:pPr>
      <w:r>
        <w:rPr>
          <w:rFonts w:ascii="FangSong_GB2312" w:hAnsi="FangSong_GB2312" w:eastAsia="FangSong_GB2312" w:cs="FangSong_GB2312"/>
          <w:b/>
          <w:bCs/>
          <w:spacing w:val="5"/>
          <w:sz w:val="20"/>
          <w:szCs w:val="20"/>
        </w:rPr>
        <w:t>表</w:t>
      </w:r>
      <w:r>
        <w:rPr>
          <w:rFonts w:ascii="FangSong_GB2312" w:hAnsi="FangSong_GB2312" w:eastAsia="FangSong_GB2312" w:cs="FangSong_GB2312"/>
          <w:spacing w:val="-27"/>
          <w:sz w:val="20"/>
          <w:szCs w:val="20"/>
        </w:rPr>
        <w:t xml:space="preserve"> </w:t>
      </w:r>
      <w:r>
        <w:rPr>
          <w:rFonts w:ascii="Times New Roman" w:hAnsi="Times New Roman" w:eastAsia="Times New Roman" w:cs="Times New Roman"/>
          <w:b/>
          <w:bCs/>
          <w:spacing w:val="5"/>
          <w:sz w:val="20"/>
          <w:szCs w:val="20"/>
        </w:rPr>
        <w:t xml:space="preserve">7.2-2    </w:t>
      </w:r>
      <w:r>
        <w:rPr>
          <w:rFonts w:ascii="FangSong_GB2312" w:hAnsi="FangSong_GB2312" w:eastAsia="FangSong_GB2312" w:cs="FangSong_GB2312"/>
          <w:b/>
          <w:bCs/>
          <w:spacing w:val="5"/>
          <w:sz w:val="20"/>
          <w:szCs w:val="20"/>
        </w:rPr>
        <w:t>水土流失防治指标计算表</w:t>
      </w:r>
    </w:p>
    <w:tbl>
      <w:tblPr>
        <w:tblStyle w:val="6"/>
        <w:tblW w:w="909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8"/>
        <w:gridCol w:w="888"/>
        <w:gridCol w:w="2742"/>
        <w:gridCol w:w="1003"/>
        <w:gridCol w:w="878"/>
        <w:gridCol w:w="1207"/>
        <w:gridCol w:w="1026"/>
      </w:tblGrid>
      <w:tr w14:paraId="52DC7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48" w:type="dxa"/>
            <w:tcBorders>
              <w:top w:val="single" w:color="000000" w:sz="10" w:space="0"/>
              <w:left w:val="single" w:color="000000" w:sz="10" w:space="0"/>
            </w:tcBorders>
            <w:vAlign w:val="top"/>
          </w:tcPr>
          <w:p w14:paraId="04D7D569">
            <w:pPr>
              <w:spacing w:before="82" w:line="216" w:lineRule="auto"/>
              <w:ind w:left="320"/>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防治指标</w:t>
            </w:r>
          </w:p>
        </w:tc>
        <w:tc>
          <w:tcPr>
            <w:tcW w:w="888" w:type="dxa"/>
            <w:tcBorders>
              <w:top w:val="single" w:color="000000" w:sz="10" w:space="0"/>
            </w:tcBorders>
            <w:vAlign w:val="top"/>
          </w:tcPr>
          <w:p w14:paraId="5B5AE062">
            <w:pPr>
              <w:spacing w:before="83" w:line="214" w:lineRule="auto"/>
              <w:ind w:left="203"/>
              <w:rPr>
                <w:rFonts w:ascii="FangSong_GB2312" w:hAnsi="FangSong_GB2312" w:eastAsia="FangSong_GB2312" w:cs="FangSong_GB2312"/>
                <w:sz w:val="18"/>
                <w:szCs w:val="18"/>
              </w:rPr>
            </w:pPr>
            <w:r>
              <w:rPr>
                <w:rFonts w:ascii="FangSong_GB2312" w:hAnsi="FangSong_GB2312" w:eastAsia="FangSong_GB2312" w:cs="FangSong_GB2312"/>
                <w:spacing w:val="-14"/>
                <w:sz w:val="18"/>
                <w:szCs w:val="18"/>
              </w:rPr>
              <w:t>目标值</w:t>
            </w:r>
          </w:p>
        </w:tc>
        <w:tc>
          <w:tcPr>
            <w:tcW w:w="2742" w:type="dxa"/>
            <w:tcBorders>
              <w:top w:val="single" w:color="000000" w:sz="10" w:space="0"/>
            </w:tcBorders>
            <w:vAlign w:val="top"/>
          </w:tcPr>
          <w:p w14:paraId="18AD2E05">
            <w:pPr>
              <w:spacing w:before="82" w:line="214" w:lineRule="auto"/>
              <w:ind w:left="1017"/>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计算依据</w:t>
            </w:r>
          </w:p>
        </w:tc>
        <w:tc>
          <w:tcPr>
            <w:tcW w:w="1003" w:type="dxa"/>
            <w:tcBorders>
              <w:top w:val="single" w:color="000000" w:sz="10" w:space="0"/>
            </w:tcBorders>
            <w:vAlign w:val="top"/>
          </w:tcPr>
          <w:p w14:paraId="52EF09C5">
            <w:pPr>
              <w:spacing w:before="82" w:line="214" w:lineRule="auto"/>
              <w:ind w:left="332"/>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单位</w:t>
            </w:r>
          </w:p>
        </w:tc>
        <w:tc>
          <w:tcPr>
            <w:tcW w:w="878" w:type="dxa"/>
            <w:tcBorders>
              <w:top w:val="single" w:color="000000" w:sz="10" w:space="0"/>
            </w:tcBorders>
            <w:vAlign w:val="top"/>
          </w:tcPr>
          <w:p w14:paraId="6B00613F">
            <w:pPr>
              <w:spacing w:before="83" w:line="217" w:lineRule="auto"/>
              <w:ind w:left="273"/>
              <w:rPr>
                <w:rFonts w:ascii="FangSong_GB2312" w:hAnsi="FangSong_GB2312" w:eastAsia="FangSong_GB2312" w:cs="FangSong_GB2312"/>
                <w:sz w:val="18"/>
                <w:szCs w:val="18"/>
              </w:rPr>
            </w:pPr>
            <w:r>
              <w:rPr>
                <w:rFonts w:ascii="FangSong_GB2312" w:hAnsi="FangSong_GB2312" w:eastAsia="FangSong_GB2312" w:cs="FangSong_GB2312"/>
                <w:spacing w:val="-6"/>
                <w:sz w:val="18"/>
                <w:szCs w:val="18"/>
              </w:rPr>
              <w:t>数量</w:t>
            </w:r>
          </w:p>
        </w:tc>
        <w:tc>
          <w:tcPr>
            <w:tcW w:w="1207" w:type="dxa"/>
            <w:tcBorders>
              <w:top w:val="single" w:color="000000" w:sz="10" w:space="0"/>
            </w:tcBorders>
            <w:vAlign w:val="top"/>
          </w:tcPr>
          <w:p w14:paraId="0A31053C">
            <w:pPr>
              <w:spacing w:before="82" w:line="214" w:lineRule="auto"/>
              <w:ind w:left="261"/>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计算结果</w:t>
            </w:r>
          </w:p>
        </w:tc>
        <w:tc>
          <w:tcPr>
            <w:tcW w:w="1026" w:type="dxa"/>
            <w:tcBorders>
              <w:top w:val="single" w:color="000000" w:sz="10" w:space="0"/>
              <w:right w:val="single" w:color="000000" w:sz="10" w:space="0"/>
            </w:tcBorders>
            <w:vAlign w:val="top"/>
          </w:tcPr>
          <w:p w14:paraId="21C17809">
            <w:pPr>
              <w:spacing w:before="82" w:line="216" w:lineRule="auto"/>
              <w:ind w:left="16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达标情况</w:t>
            </w:r>
          </w:p>
        </w:tc>
      </w:tr>
      <w:tr w14:paraId="5ED86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55A61F46">
            <w:pPr>
              <w:spacing w:before="159" w:line="239" w:lineRule="auto"/>
              <w:ind w:left="571" w:right="135" w:hanging="448"/>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水土流失治理</w:t>
            </w:r>
            <w:r>
              <w:rPr>
                <w:rFonts w:ascii="FangSong_GB2312" w:hAnsi="FangSong_GB2312" w:eastAsia="FangSong_GB2312" w:cs="FangSong_GB2312"/>
                <w:sz w:val="18"/>
                <w:szCs w:val="18"/>
              </w:rPr>
              <w:t>度</w:t>
            </w:r>
          </w:p>
        </w:tc>
        <w:tc>
          <w:tcPr>
            <w:tcW w:w="888" w:type="dxa"/>
            <w:vMerge w:val="restart"/>
            <w:tcBorders>
              <w:bottom w:val="nil"/>
            </w:tcBorders>
            <w:vAlign w:val="top"/>
          </w:tcPr>
          <w:p w14:paraId="76A45EA1">
            <w:pPr>
              <w:spacing w:line="262" w:lineRule="auto"/>
              <w:rPr>
                <w:rFonts w:ascii="Arial"/>
                <w:sz w:val="21"/>
              </w:rPr>
            </w:pPr>
          </w:p>
          <w:p w14:paraId="5FD77BEF">
            <w:pPr>
              <w:spacing w:before="52" w:line="188"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97%</w:t>
            </w:r>
          </w:p>
        </w:tc>
        <w:tc>
          <w:tcPr>
            <w:tcW w:w="2742" w:type="dxa"/>
            <w:vAlign w:val="top"/>
          </w:tcPr>
          <w:p w14:paraId="4EA28197">
            <w:pPr>
              <w:spacing w:before="90" w:line="216" w:lineRule="auto"/>
              <w:ind w:left="65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水土流失治理面积</w:t>
            </w:r>
          </w:p>
        </w:tc>
        <w:tc>
          <w:tcPr>
            <w:tcW w:w="1003" w:type="dxa"/>
            <w:vAlign w:val="top"/>
          </w:tcPr>
          <w:p w14:paraId="474A7A07">
            <w:pPr>
              <w:spacing w:before="118"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vAlign w:val="top"/>
          </w:tcPr>
          <w:p w14:paraId="5CC8DC04">
            <w:pPr>
              <w:spacing w:before="121"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207" w:type="dxa"/>
            <w:vMerge w:val="restart"/>
            <w:tcBorders>
              <w:bottom w:val="nil"/>
            </w:tcBorders>
            <w:vAlign w:val="top"/>
          </w:tcPr>
          <w:p w14:paraId="39E34E16">
            <w:pPr>
              <w:spacing w:line="253" w:lineRule="auto"/>
              <w:rPr>
                <w:rFonts w:ascii="Arial"/>
                <w:sz w:val="21"/>
              </w:rPr>
            </w:pPr>
          </w:p>
          <w:p w14:paraId="1EFAFAD3">
            <w:pPr>
              <w:spacing w:before="51" w:line="188"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026" w:type="dxa"/>
            <w:vMerge w:val="restart"/>
            <w:tcBorders>
              <w:bottom w:val="nil"/>
              <w:right w:val="single" w:color="000000" w:sz="10" w:space="0"/>
            </w:tcBorders>
            <w:vAlign w:val="top"/>
          </w:tcPr>
          <w:p w14:paraId="2F1865FD">
            <w:pPr>
              <w:spacing w:before="275"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2F782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continue"/>
            <w:tcBorders>
              <w:top w:val="nil"/>
              <w:left w:val="single" w:color="000000" w:sz="10" w:space="0"/>
            </w:tcBorders>
            <w:vAlign w:val="top"/>
          </w:tcPr>
          <w:p w14:paraId="288CC3B2">
            <w:pPr>
              <w:rPr>
                <w:rFonts w:ascii="Arial"/>
                <w:sz w:val="21"/>
              </w:rPr>
            </w:pPr>
          </w:p>
        </w:tc>
        <w:tc>
          <w:tcPr>
            <w:tcW w:w="888" w:type="dxa"/>
            <w:vMerge w:val="continue"/>
            <w:tcBorders>
              <w:top w:val="nil"/>
            </w:tcBorders>
            <w:vAlign w:val="top"/>
          </w:tcPr>
          <w:p w14:paraId="1F1C8A81">
            <w:pPr>
              <w:rPr>
                <w:rFonts w:ascii="Arial"/>
                <w:sz w:val="21"/>
              </w:rPr>
            </w:pPr>
          </w:p>
        </w:tc>
        <w:tc>
          <w:tcPr>
            <w:tcW w:w="2742" w:type="dxa"/>
            <w:vAlign w:val="top"/>
          </w:tcPr>
          <w:p w14:paraId="7DAE5E4B">
            <w:pPr>
              <w:spacing w:before="93" w:line="216" w:lineRule="auto"/>
              <w:ind w:left="832"/>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水土流失面积</w:t>
            </w:r>
          </w:p>
        </w:tc>
        <w:tc>
          <w:tcPr>
            <w:tcW w:w="1003" w:type="dxa"/>
            <w:vAlign w:val="top"/>
          </w:tcPr>
          <w:p w14:paraId="5A4ACD22">
            <w:pPr>
              <w:spacing w:before="121"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vAlign w:val="top"/>
          </w:tcPr>
          <w:p w14:paraId="564B7146">
            <w:pPr>
              <w:spacing w:before="124"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207" w:type="dxa"/>
            <w:vMerge w:val="continue"/>
            <w:tcBorders>
              <w:top w:val="nil"/>
            </w:tcBorders>
            <w:vAlign w:val="top"/>
          </w:tcPr>
          <w:p w14:paraId="5DF40014">
            <w:pPr>
              <w:rPr>
                <w:rFonts w:ascii="Arial"/>
                <w:sz w:val="21"/>
              </w:rPr>
            </w:pPr>
          </w:p>
        </w:tc>
        <w:tc>
          <w:tcPr>
            <w:tcW w:w="1026" w:type="dxa"/>
            <w:vMerge w:val="continue"/>
            <w:tcBorders>
              <w:top w:val="nil"/>
              <w:right w:val="single" w:color="000000" w:sz="10" w:space="0"/>
            </w:tcBorders>
            <w:vAlign w:val="top"/>
          </w:tcPr>
          <w:p w14:paraId="27215BE5">
            <w:pPr>
              <w:rPr>
                <w:rFonts w:ascii="Arial"/>
                <w:sz w:val="21"/>
              </w:rPr>
            </w:pPr>
          </w:p>
        </w:tc>
      </w:tr>
      <w:tr w14:paraId="31B75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1897B822">
            <w:pPr>
              <w:spacing w:before="164" w:line="245" w:lineRule="auto"/>
              <w:ind w:left="599" w:right="135" w:hanging="473"/>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土壤流失控制</w:t>
            </w:r>
            <w:r>
              <w:rPr>
                <w:rFonts w:ascii="FangSong_GB2312" w:hAnsi="FangSong_GB2312" w:eastAsia="FangSong_GB2312" w:cs="FangSong_GB2312"/>
                <w:sz w:val="18"/>
                <w:szCs w:val="18"/>
              </w:rPr>
              <w:t>比</w:t>
            </w:r>
          </w:p>
        </w:tc>
        <w:tc>
          <w:tcPr>
            <w:tcW w:w="888" w:type="dxa"/>
            <w:vMerge w:val="restart"/>
            <w:tcBorders>
              <w:bottom w:val="nil"/>
            </w:tcBorders>
            <w:vAlign w:val="top"/>
          </w:tcPr>
          <w:p w14:paraId="41881B6D">
            <w:pPr>
              <w:spacing w:line="265" w:lineRule="auto"/>
              <w:rPr>
                <w:rFonts w:ascii="Arial"/>
                <w:sz w:val="21"/>
              </w:rPr>
            </w:pPr>
          </w:p>
          <w:p w14:paraId="0D868CB7">
            <w:pPr>
              <w:spacing w:before="52" w:line="188" w:lineRule="auto"/>
              <w:ind w:left="34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tc>
        <w:tc>
          <w:tcPr>
            <w:tcW w:w="2742" w:type="dxa"/>
            <w:vAlign w:val="top"/>
          </w:tcPr>
          <w:p w14:paraId="135B9B51">
            <w:pPr>
              <w:spacing w:before="94" w:line="214" w:lineRule="auto"/>
              <w:ind w:left="83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项目区容许值</w:t>
            </w:r>
          </w:p>
        </w:tc>
        <w:tc>
          <w:tcPr>
            <w:tcW w:w="1003" w:type="dxa"/>
            <w:vAlign w:val="top"/>
          </w:tcPr>
          <w:p w14:paraId="2D6A4EA8">
            <w:pPr>
              <w:spacing w:before="121"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t/km²</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3"/>
                <w:sz w:val="18"/>
                <w:szCs w:val="18"/>
              </w:rPr>
              <w:t>·a</w:t>
            </w:r>
          </w:p>
        </w:tc>
        <w:tc>
          <w:tcPr>
            <w:tcW w:w="878" w:type="dxa"/>
            <w:vAlign w:val="top"/>
          </w:tcPr>
          <w:p w14:paraId="3C4AE339">
            <w:pPr>
              <w:spacing w:before="124" w:line="188" w:lineRule="auto"/>
              <w:ind w:left="31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1207" w:type="dxa"/>
            <w:vMerge w:val="restart"/>
            <w:tcBorders>
              <w:bottom w:val="nil"/>
            </w:tcBorders>
            <w:vAlign w:val="top"/>
          </w:tcPr>
          <w:p w14:paraId="03821FC6">
            <w:pPr>
              <w:spacing w:line="256" w:lineRule="auto"/>
              <w:rPr>
                <w:rFonts w:ascii="Arial"/>
                <w:sz w:val="21"/>
              </w:rPr>
            </w:pPr>
          </w:p>
          <w:p w14:paraId="7A39C325">
            <w:pPr>
              <w:spacing w:before="51" w:line="188" w:lineRule="auto"/>
              <w:ind w:left="472"/>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1.25</w:t>
            </w:r>
          </w:p>
        </w:tc>
        <w:tc>
          <w:tcPr>
            <w:tcW w:w="1026" w:type="dxa"/>
            <w:vMerge w:val="restart"/>
            <w:tcBorders>
              <w:bottom w:val="nil"/>
              <w:right w:val="single" w:color="000000" w:sz="10" w:space="0"/>
            </w:tcBorders>
            <w:vAlign w:val="top"/>
          </w:tcPr>
          <w:p w14:paraId="4E016C67">
            <w:pPr>
              <w:spacing w:before="278"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05725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continue"/>
            <w:tcBorders>
              <w:top w:val="nil"/>
              <w:left w:val="single" w:color="000000" w:sz="10" w:space="0"/>
            </w:tcBorders>
            <w:vAlign w:val="top"/>
          </w:tcPr>
          <w:p w14:paraId="402A41FA">
            <w:pPr>
              <w:rPr>
                <w:rFonts w:ascii="Arial"/>
                <w:sz w:val="21"/>
              </w:rPr>
            </w:pPr>
          </w:p>
        </w:tc>
        <w:tc>
          <w:tcPr>
            <w:tcW w:w="888" w:type="dxa"/>
            <w:vMerge w:val="continue"/>
            <w:tcBorders>
              <w:top w:val="nil"/>
            </w:tcBorders>
            <w:vAlign w:val="top"/>
          </w:tcPr>
          <w:p w14:paraId="06E7FE81">
            <w:pPr>
              <w:rPr>
                <w:rFonts w:ascii="Arial"/>
                <w:sz w:val="21"/>
              </w:rPr>
            </w:pPr>
          </w:p>
        </w:tc>
        <w:tc>
          <w:tcPr>
            <w:tcW w:w="2742" w:type="dxa"/>
            <w:vAlign w:val="top"/>
          </w:tcPr>
          <w:p w14:paraId="1CF6218F">
            <w:pPr>
              <w:spacing w:before="96" w:line="214" w:lineRule="auto"/>
              <w:ind w:left="925"/>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方案目标值</w:t>
            </w:r>
          </w:p>
        </w:tc>
        <w:tc>
          <w:tcPr>
            <w:tcW w:w="1003" w:type="dxa"/>
            <w:vAlign w:val="top"/>
          </w:tcPr>
          <w:p w14:paraId="1D4084CA">
            <w:pPr>
              <w:spacing w:before="123" w:line="192" w:lineRule="auto"/>
              <w:ind w:left="24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t/km²</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3"/>
                <w:sz w:val="18"/>
                <w:szCs w:val="18"/>
              </w:rPr>
              <w:t>·a</w:t>
            </w:r>
          </w:p>
        </w:tc>
        <w:tc>
          <w:tcPr>
            <w:tcW w:w="878" w:type="dxa"/>
            <w:vAlign w:val="top"/>
          </w:tcPr>
          <w:p w14:paraId="53AB52C8">
            <w:pPr>
              <w:spacing w:before="127" w:line="188" w:lineRule="auto"/>
              <w:ind w:left="3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w:t>
            </w:r>
          </w:p>
        </w:tc>
        <w:tc>
          <w:tcPr>
            <w:tcW w:w="1207" w:type="dxa"/>
            <w:vMerge w:val="continue"/>
            <w:tcBorders>
              <w:top w:val="nil"/>
            </w:tcBorders>
            <w:vAlign w:val="top"/>
          </w:tcPr>
          <w:p w14:paraId="727181E9">
            <w:pPr>
              <w:rPr>
                <w:rFonts w:ascii="Arial"/>
                <w:sz w:val="21"/>
              </w:rPr>
            </w:pPr>
          </w:p>
        </w:tc>
        <w:tc>
          <w:tcPr>
            <w:tcW w:w="1026" w:type="dxa"/>
            <w:vMerge w:val="continue"/>
            <w:tcBorders>
              <w:top w:val="nil"/>
              <w:right w:val="single" w:color="000000" w:sz="10" w:space="0"/>
            </w:tcBorders>
            <w:vAlign w:val="top"/>
          </w:tcPr>
          <w:p w14:paraId="1592DC9C">
            <w:pPr>
              <w:rPr>
                <w:rFonts w:ascii="Arial"/>
                <w:sz w:val="21"/>
              </w:rPr>
            </w:pPr>
          </w:p>
        </w:tc>
      </w:tr>
      <w:tr w14:paraId="2F55A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3A87D55A">
            <w:pPr>
              <w:spacing w:before="283" w:line="214" w:lineRule="auto"/>
              <w:ind w:left="222"/>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渣土防护率</w:t>
            </w:r>
          </w:p>
        </w:tc>
        <w:tc>
          <w:tcPr>
            <w:tcW w:w="888" w:type="dxa"/>
            <w:vMerge w:val="restart"/>
            <w:tcBorders>
              <w:bottom w:val="nil"/>
            </w:tcBorders>
            <w:vAlign w:val="top"/>
          </w:tcPr>
          <w:p w14:paraId="4F7B4CF9">
            <w:pPr>
              <w:spacing w:line="270" w:lineRule="auto"/>
              <w:rPr>
                <w:rFonts w:ascii="Arial"/>
                <w:sz w:val="21"/>
              </w:rPr>
            </w:pPr>
          </w:p>
          <w:p w14:paraId="2F5CC654">
            <w:pPr>
              <w:spacing w:before="52" w:line="188"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92%</w:t>
            </w:r>
          </w:p>
        </w:tc>
        <w:tc>
          <w:tcPr>
            <w:tcW w:w="2742" w:type="dxa"/>
            <w:vAlign w:val="top"/>
          </w:tcPr>
          <w:p w14:paraId="00ABF6CC">
            <w:pPr>
              <w:spacing w:before="98" w:line="214" w:lineRule="auto"/>
              <w:ind w:left="21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实际拦挡永久弃渣和临时堆土</w:t>
            </w:r>
          </w:p>
        </w:tc>
        <w:tc>
          <w:tcPr>
            <w:tcW w:w="1003" w:type="dxa"/>
            <w:vAlign w:val="top"/>
          </w:tcPr>
          <w:p w14:paraId="4A89DD39">
            <w:pPr>
              <w:spacing w:before="99" w:line="220" w:lineRule="auto"/>
              <w:ind w:left="309"/>
              <w:rPr>
                <w:rFonts w:ascii="Times New Roman" w:hAnsi="Times New Roman" w:eastAsia="Times New Roman" w:cs="Times New Roman"/>
                <w:sz w:val="18"/>
                <w:szCs w:val="18"/>
              </w:rPr>
            </w:pPr>
            <w:r>
              <w:rPr>
                <w:rFonts w:ascii="FangSong_GB2312" w:hAnsi="FangSong_GB2312" w:eastAsia="FangSong_GB2312" w:cs="FangSong_GB2312"/>
                <w:spacing w:val="-7"/>
                <w:sz w:val="18"/>
                <w:szCs w:val="18"/>
              </w:rPr>
              <w:t>万</w:t>
            </w:r>
            <w:r>
              <w:rPr>
                <w:rFonts w:ascii="FangSong_GB2312" w:hAnsi="FangSong_GB2312" w:eastAsia="FangSong_GB2312" w:cs="FangSong_GB2312"/>
                <w:spacing w:val="-42"/>
                <w:sz w:val="18"/>
                <w:szCs w:val="18"/>
              </w:rPr>
              <w:t xml:space="preserve"> </w:t>
            </w:r>
            <w:r>
              <w:rPr>
                <w:rFonts w:ascii="Times New Roman" w:hAnsi="Times New Roman" w:eastAsia="Times New Roman" w:cs="Times New Roman"/>
                <w:spacing w:val="-7"/>
                <w:sz w:val="18"/>
                <w:szCs w:val="18"/>
              </w:rPr>
              <w:t>m³</w:t>
            </w:r>
          </w:p>
        </w:tc>
        <w:tc>
          <w:tcPr>
            <w:tcW w:w="878" w:type="dxa"/>
            <w:vAlign w:val="top"/>
          </w:tcPr>
          <w:p w14:paraId="156FF9A6">
            <w:pPr>
              <w:spacing w:before="129"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restart"/>
            <w:tcBorders>
              <w:bottom w:val="nil"/>
            </w:tcBorders>
            <w:vAlign w:val="top"/>
          </w:tcPr>
          <w:p w14:paraId="34D5BCF7">
            <w:pPr>
              <w:spacing w:line="261" w:lineRule="auto"/>
              <w:rPr>
                <w:rFonts w:ascii="Arial"/>
                <w:sz w:val="21"/>
              </w:rPr>
            </w:pPr>
          </w:p>
          <w:p w14:paraId="732E06C0">
            <w:pPr>
              <w:spacing w:before="51" w:line="188"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026" w:type="dxa"/>
            <w:vMerge w:val="restart"/>
            <w:tcBorders>
              <w:bottom w:val="nil"/>
              <w:right w:val="single" w:color="000000" w:sz="10" w:space="0"/>
            </w:tcBorders>
            <w:vAlign w:val="top"/>
          </w:tcPr>
          <w:p w14:paraId="3867EE1A">
            <w:pPr>
              <w:spacing w:before="283"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36C0B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continue"/>
            <w:tcBorders>
              <w:top w:val="nil"/>
              <w:left w:val="single" w:color="000000" w:sz="10" w:space="0"/>
            </w:tcBorders>
            <w:vAlign w:val="top"/>
          </w:tcPr>
          <w:p w14:paraId="2A2071D9">
            <w:pPr>
              <w:rPr>
                <w:rFonts w:ascii="Arial"/>
                <w:sz w:val="21"/>
              </w:rPr>
            </w:pPr>
          </w:p>
        </w:tc>
        <w:tc>
          <w:tcPr>
            <w:tcW w:w="888" w:type="dxa"/>
            <w:vMerge w:val="continue"/>
            <w:tcBorders>
              <w:top w:val="nil"/>
            </w:tcBorders>
            <w:vAlign w:val="top"/>
          </w:tcPr>
          <w:p w14:paraId="7BD6489A">
            <w:pPr>
              <w:rPr>
                <w:rFonts w:ascii="Arial"/>
                <w:sz w:val="21"/>
              </w:rPr>
            </w:pPr>
          </w:p>
        </w:tc>
        <w:tc>
          <w:tcPr>
            <w:tcW w:w="2742" w:type="dxa"/>
            <w:vAlign w:val="top"/>
          </w:tcPr>
          <w:p w14:paraId="21F539F8">
            <w:pPr>
              <w:spacing w:before="101" w:line="215" w:lineRule="auto"/>
              <w:ind w:left="567"/>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永久弃渣和临时堆土</w:t>
            </w:r>
          </w:p>
        </w:tc>
        <w:tc>
          <w:tcPr>
            <w:tcW w:w="1003" w:type="dxa"/>
            <w:vAlign w:val="top"/>
          </w:tcPr>
          <w:p w14:paraId="6BBA7AF1">
            <w:pPr>
              <w:spacing w:before="101" w:line="220" w:lineRule="auto"/>
              <w:ind w:left="309"/>
              <w:rPr>
                <w:rFonts w:ascii="Times New Roman" w:hAnsi="Times New Roman" w:eastAsia="Times New Roman" w:cs="Times New Roman"/>
                <w:sz w:val="18"/>
                <w:szCs w:val="18"/>
              </w:rPr>
            </w:pPr>
            <w:r>
              <w:rPr>
                <w:rFonts w:ascii="FangSong_GB2312" w:hAnsi="FangSong_GB2312" w:eastAsia="FangSong_GB2312" w:cs="FangSong_GB2312"/>
                <w:spacing w:val="-7"/>
                <w:sz w:val="18"/>
                <w:szCs w:val="18"/>
              </w:rPr>
              <w:t>万</w:t>
            </w:r>
            <w:r>
              <w:rPr>
                <w:rFonts w:ascii="FangSong_GB2312" w:hAnsi="FangSong_GB2312" w:eastAsia="FangSong_GB2312" w:cs="FangSong_GB2312"/>
                <w:spacing w:val="-42"/>
                <w:sz w:val="18"/>
                <w:szCs w:val="18"/>
              </w:rPr>
              <w:t xml:space="preserve"> </w:t>
            </w:r>
            <w:r>
              <w:rPr>
                <w:rFonts w:ascii="Times New Roman" w:hAnsi="Times New Roman" w:eastAsia="Times New Roman" w:cs="Times New Roman"/>
                <w:spacing w:val="-7"/>
                <w:sz w:val="18"/>
                <w:szCs w:val="18"/>
              </w:rPr>
              <w:t>m³</w:t>
            </w:r>
          </w:p>
        </w:tc>
        <w:tc>
          <w:tcPr>
            <w:tcW w:w="878" w:type="dxa"/>
            <w:vAlign w:val="top"/>
          </w:tcPr>
          <w:p w14:paraId="1B79BCC7">
            <w:pPr>
              <w:spacing w:before="132"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continue"/>
            <w:tcBorders>
              <w:top w:val="nil"/>
            </w:tcBorders>
            <w:vAlign w:val="top"/>
          </w:tcPr>
          <w:p w14:paraId="7E8B803A">
            <w:pPr>
              <w:rPr>
                <w:rFonts w:ascii="Arial"/>
                <w:sz w:val="21"/>
              </w:rPr>
            </w:pPr>
          </w:p>
        </w:tc>
        <w:tc>
          <w:tcPr>
            <w:tcW w:w="1026" w:type="dxa"/>
            <w:vMerge w:val="continue"/>
            <w:tcBorders>
              <w:top w:val="nil"/>
              <w:right w:val="single" w:color="000000" w:sz="10" w:space="0"/>
            </w:tcBorders>
            <w:vAlign w:val="top"/>
          </w:tcPr>
          <w:p w14:paraId="695FF659">
            <w:pPr>
              <w:rPr>
                <w:rFonts w:ascii="Arial"/>
                <w:sz w:val="21"/>
              </w:rPr>
            </w:pPr>
          </w:p>
        </w:tc>
      </w:tr>
      <w:tr w14:paraId="604CD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0378B92E">
            <w:pPr>
              <w:spacing w:before="286" w:line="214" w:lineRule="auto"/>
              <w:ind w:left="21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表土保护率</w:t>
            </w:r>
          </w:p>
        </w:tc>
        <w:tc>
          <w:tcPr>
            <w:tcW w:w="888" w:type="dxa"/>
            <w:vMerge w:val="restart"/>
            <w:tcBorders>
              <w:bottom w:val="nil"/>
            </w:tcBorders>
            <w:vAlign w:val="top"/>
          </w:tcPr>
          <w:p w14:paraId="113FD313">
            <w:pPr>
              <w:spacing w:line="273" w:lineRule="auto"/>
              <w:rPr>
                <w:rFonts w:ascii="Arial"/>
                <w:sz w:val="21"/>
              </w:rPr>
            </w:pPr>
          </w:p>
          <w:p w14:paraId="53416F74">
            <w:pPr>
              <w:spacing w:before="52" w:line="188"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92%</w:t>
            </w:r>
          </w:p>
        </w:tc>
        <w:tc>
          <w:tcPr>
            <w:tcW w:w="2742" w:type="dxa"/>
            <w:vAlign w:val="top"/>
          </w:tcPr>
          <w:p w14:paraId="7EB65BA3">
            <w:pPr>
              <w:spacing w:before="102" w:line="216" w:lineRule="auto"/>
              <w:ind w:left="831"/>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保护表土数量</w:t>
            </w:r>
          </w:p>
        </w:tc>
        <w:tc>
          <w:tcPr>
            <w:tcW w:w="1003" w:type="dxa"/>
            <w:vAlign w:val="top"/>
          </w:tcPr>
          <w:p w14:paraId="7D0F1BC7">
            <w:pPr>
              <w:spacing w:before="102" w:line="220" w:lineRule="auto"/>
              <w:ind w:left="309"/>
              <w:rPr>
                <w:rFonts w:ascii="Times New Roman" w:hAnsi="Times New Roman" w:eastAsia="Times New Roman" w:cs="Times New Roman"/>
                <w:sz w:val="18"/>
                <w:szCs w:val="18"/>
              </w:rPr>
            </w:pPr>
            <w:r>
              <w:rPr>
                <w:rFonts w:ascii="FangSong_GB2312" w:hAnsi="FangSong_GB2312" w:eastAsia="FangSong_GB2312" w:cs="FangSong_GB2312"/>
                <w:spacing w:val="-7"/>
                <w:sz w:val="18"/>
                <w:szCs w:val="18"/>
              </w:rPr>
              <w:t>万</w:t>
            </w:r>
            <w:r>
              <w:rPr>
                <w:rFonts w:ascii="FangSong_GB2312" w:hAnsi="FangSong_GB2312" w:eastAsia="FangSong_GB2312" w:cs="FangSong_GB2312"/>
                <w:spacing w:val="-42"/>
                <w:sz w:val="18"/>
                <w:szCs w:val="18"/>
              </w:rPr>
              <w:t xml:space="preserve"> </w:t>
            </w:r>
            <w:r>
              <w:rPr>
                <w:rFonts w:ascii="Times New Roman" w:hAnsi="Times New Roman" w:eastAsia="Times New Roman" w:cs="Times New Roman"/>
                <w:spacing w:val="-7"/>
                <w:sz w:val="18"/>
                <w:szCs w:val="18"/>
              </w:rPr>
              <w:t>m³</w:t>
            </w:r>
          </w:p>
        </w:tc>
        <w:tc>
          <w:tcPr>
            <w:tcW w:w="878" w:type="dxa"/>
            <w:vAlign w:val="top"/>
          </w:tcPr>
          <w:p w14:paraId="7CD21A37">
            <w:pPr>
              <w:spacing w:before="132"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restart"/>
            <w:tcBorders>
              <w:bottom w:val="nil"/>
            </w:tcBorders>
            <w:vAlign w:val="top"/>
          </w:tcPr>
          <w:p w14:paraId="219AB527">
            <w:pPr>
              <w:spacing w:line="263" w:lineRule="auto"/>
              <w:rPr>
                <w:rFonts w:ascii="Arial"/>
                <w:sz w:val="21"/>
              </w:rPr>
            </w:pPr>
          </w:p>
          <w:p w14:paraId="7AC28D5B">
            <w:pPr>
              <w:spacing w:before="52" w:line="188"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026" w:type="dxa"/>
            <w:vMerge w:val="restart"/>
            <w:tcBorders>
              <w:bottom w:val="nil"/>
              <w:right w:val="single" w:color="000000" w:sz="10" w:space="0"/>
            </w:tcBorders>
            <w:vAlign w:val="top"/>
          </w:tcPr>
          <w:p w14:paraId="05C0EBEC">
            <w:pPr>
              <w:spacing w:before="286"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667A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continue"/>
            <w:tcBorders>
              <w:top w:val="nil"/>
              <w:left w:val="single" w:color="000000" w:sz="10" w:space="0"/>
            </w:tcBorders>
            <w:vAlign w:val="top"/>
          </w:tcPr>
          <w:p w14:paraId="47FA3752">
            <w:pPr>
              <w:rPr>
                <w:rFonts w:ascii="Arial"/>
                <w:sz w:val="21"/>
              </w:rPr>
            </w:pPr>
          </w:p>
        </w:tc>
        <w:tc>
          <w:tcPr>
            <w:tcW w:w="888" w:type="dxa"/>
            <w:vMerge w:val="continue"/>
            <w:tcBorders>
              <w:top w:val="nil"/>
            </w:tcBorders>
            <w:vAlign w:val="top"/>
          </w:tcPr>
          <w:p w14:paraId="060AD1F2">
            <w:pPr>
              <w:rPr>
                <w:rFonts w:ascii="Arial"/>
                <w:sz w:val="21"/>
              </w:rPr>
            </w:pPr>
          </w:p>
        </w:tc>
        <w:tc>
          <w:tcPr>
            <w:tcW w:w="2742" w:type="dxa"/>
            <w:vAlign w:val="top"/>
          </w:tcPr>
          <w:p w14:paraId="3540B49B">
            <w:pPr>
              <w:spacing w:before="104" w:line="216" w:lineRule="auto"/>
              <w:ind w:left="75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可剥离表土总量</w:t>
            </w:r>
          </w:p>
        </w:tc>
        <w:tc>
          <w:tcPr>
            <w:tcW w:w="1003" w:type="dxa"/>
            <w:vAlign w:val="top"/>
          </w:tcPr>
          <w:p w14:paraId="3918884C">
            <w:pPr>
              <w:spacing w:before="104" w:line="220" w:lineRule="auto"/>
              <w:ind w:left="309"/>
              <w:rPr>
                <w:rFonts w:ascii="Times New Roman" w:hAnsi="Times New Roman" w:eastAsia="Times New Roman" w:cs="Times New Roman"/>
                <w:sz w:val="18"/>
                <w:szCs w:val="18"/>
              </w:rPr>
            </w:pPr>
            <w:r>
              <w:rPr>
                <w:rFonts w:ascii="FangSong_GB2312" w:hAnsi="FangSong_GB2312" w:eastAsia="FangSong_GB2312" w:cs="FangSong_GB2312"/>
                <w:spacing w:val="-7"/>
                <w:sz w:val="18"/>
                <w:szCs w:val="18"/>
              </w:rPr>
              <w:t>万</w:t>
            </w:r>
            <w:r>
              <w:rPr>
                <w:rFonts w:ascii="FangSong_GB2312" w:hAnsi="FangSong_GB2312" w:eastAsia="FangSong_GB2312" w:cs="FangSong_GB2312"/>
                <w:spacing w:val="-42"/>
                <w:sz w:val="18"/>
                <w:szCs w:val="18"/>
              </w:rPr>
              <w:t xml:space="preserve"> </w:t>
            </w:r>
            <w:r>
              <w:rPr>
                <w:rFonts w:ascii="Times New Roman" w:hAnsi="Times New Roman" w:eastAsia="Times New Roman" w:cs="Times New Roman"/>
                <w:spacing w:val="-7"/>
                <w:sz w:val="18"/>
                <w:szCs w:val="18"/>
              </w:rPr>
              <w:t>m³</w:t>
            </w:r>
          </w:p>
        </w:tc>
        <w:tc>
          <w:tcPr>
            <w:tcW w:w="878" w:type="dxa"/>
            <w:vAlign w:val="top"/>
          </w:tcPr>
          <w:p w14:paraId="57942311">
            <w:pPr>
              <w:spacing w:before="135"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continue"/>
            <w:tcBorders>
              <w:top w:val="nil"/>
            </w:tcBorders>
            <w:vAlign w:val="top"/>
          </w:tcPr>
          <w:p w14:paraId="48302538">
            <w:pPr>
              <w:rPr>
                <w:rFonts w:ascii="Arial"/>
                <w:sz w:val="21"/>
              </w:rPr>
            </w:pPr>
          </w:p>
        </w:tc>
        <w:tc>
          <w:tcPr>
            <w:tcW w:w="1026" w:type="dxa"/>
            <w:vMerge w:val="continue"/>
            <w:tcBorders>
              <w:top w:val="nil"/>
              <w:right w:val="single" w:color="000000" w:sz="10" w:space="0"/>
            </w:tcBorders>
            <w:vAlign w:val="top"/>
          </w:tcPr>
          <w:p w14:paraId="4DCA2965">
            <w:pPr>
              <w:rPr>
                <w:rFonts w:ascii="Arial"/>
                <w:sz w:val="21"/>
              </w:rPr>
            </w:pPr>
          </w:p>
        </w:tc>
      </w:tr>
      <w:tr w14:paraId="0F051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4D7B31D4">
            <w:pPr>
              <w:spacing w:before="171"/>
              <w:ind w:left="577" w:right="135" w:hanging="455"/>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林草植被恢复</w:t>
            </w:r>
            <w:r>
              <w:rPr>
                <w:rFonts w:ascii="FangSong_GB2312" w:hAnsi="FangSong_GB2312" w:eastAsia="FangSong_GB2312" w:cs="FangSong_GB2312"/>
                <w:sz w:val="18"/>
                <w:szCs w:val="18"/>
              </w:rPr>
              <w:t>率</w:t>
            </w:r>
          </w:p>
        </w:tc>
        <w:tc>
          <w:tcPr>
            <w:tcW w:w="888" w:type="dxa"/>
            <w:vMerge w:val="restart"/>
            <w:tcBorders>
              <w:bottom w:val="nil"/>
            </w:tcBorders>
            <w:vAlign w:val="top"/>
          </w:tcPr>
          <w:p w14:paraId="0909EA23">
            <w:pPr>
              <w:spacing w:line="278" w:lineRule="auto"/>
              <w:rPr>
                <w:rFonts w:ascii="Arial"/>
                <w:sz w:val="21"/>
              </w:rPr>
            </w:pPr>
          </w:p>
          <w:p w14:paraId="7E1727F3">
            <w:pPr>
              <w:spacing w:before="52" w:line="188" w:lineRule="auto"/>
              <w:ind w:left="27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97%</w:t>
            </w:r>
          </w:p>
        </w:tc>
        <w:tc>
          <w:tcPr>
            <w:tcW w:w="2742" w:type="dxa"/>
            <w:vAlign w:val="top"/>
          </w:tcPr>
          <w:p w14:paraId="52BC9556">
            <w:pPr>
              <w:spacing w:before="104" w:line="216" w:lineRule="auto"/>
              <w:ind w:left="832"/>
              <w:rPr>
                <w:rFonts w:ascii="FangSong_GB2312" w:hAnsi="FangSong_GB2312" w:eastAsia="FangSong_GB2312" w:cs="FangSong_GB2312"/>
                <w:sz w:val="18"/>
                <w:szCs w:val="18"/>
              </w:rPr>
            </w:pPr>
            <w:r>
              <w:rPr>
                <w:rFonts w:ascii="FangSong_GB2312" w:hAnsi="FangSong_GB2312" w:eastAsia="FangSong_GB2312" w:cs="FangSong_GB2312"/>
                <w:spacing w:val="-1"/>
                <w:sz w:val="18"/>
                <w:szCs w:val="18"/>
              </w:rPr>
              <w:t>林草植被面积</w:t>
            </w:r>
          </w:p>
        </w:tc>
        <w:tc>
          <w:tcPr>
            <w:tcW w:w="1003" w:type="dxa"/>
            <w:vAlign w:val="top"/>
          </w:tcPr>
          <w:p w14:paraId="4DE42053">
            <w:pPr>
              <w:spacing w:before="134"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vAlign w:val="top"/>
          </w:tcPr>
          <w:p w14:paraId="24368DE8">
            <w:pPr>
              <w:spacing w:before="137"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restart"/>
            <w:tcBorders>
              <w:bottom w:val="nil"/>
            </w:tcBorders>
            <w:vAlign w:val="top"/>
          </w:tcPr>
          <w:p w14:paraId="16B73BDF">
            <w:pPr>
              <w:spacing w:line="269" w:lineRule="auto"/>
              <w:rPr>
                <w:rFonts w:ascii="Arial"/>
                <w:sz w:val="21"/>
              </w:rPr>
            </w:pPr>
          </w:p>
          <w:p w14:paraId="4409BC86">
            <w:pPr>
              <w:spacing w:before="51" w:line="188" w:lineRule="auto"/>
              <w:ind w:left="4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tc>
        <w:tc>
          <w:tcPr>
            <w:tcW w:w="1026" w:type="dxa"/>
            <w:vMerge w:val="restart"/>
            <w:tcBorders>
              <w:bottom w:val="nil"/>
              <w:right w:val="single" w:color="000000" w:sz="10" w:space="0"/>
            </w:tcBorders>
            <w:vAlign w:val="top"/>
          </w:tcPr>
          <w:p w14:paraId="17B358CC">
            <w:pPr>
              <w:spacing w:before="291"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35D5E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continue"/>
            <w:tcBorders>
              <w:top w:val="nil"/>
              <w:left w:val="single" w:color="000000" w:sz="10" w:space="0"/>
            </w:tcBorders>
            <w:vAlign w:val="top"/>
          </w:tcPr>
          <w:p w14:paraId="68410C02">
            <w:pPr>
              <w:rPr>
                <w:rFonts w:ascii="Arial"/>
                <w:sz w:val="21"/>
              </w:rPr>
            </w:pPr>
          </w:p>
        </w:tc>
        <w:tc>
          <w:tcPr>
            <w:tcW w:w="888" w:type="dxa"/>
            <w:vMerge w:val="continue"/>
            <w:tcBorders>
              <w:top w:val="nil"/>
            </w:tcBorders>
            <w:vAlign w:val="top"/>
          </w:tcPr>
          <w:p w14:paraId="324F382D">
            <w:pPr>
              <w:rPr>
                <w:rFonts w:ascii="Arial"/>
                <w:sz w:val="21"/>
              </w:rPr>
            </w:pPr>
          </w:p>
        </w:tc>
        <w:tc>
          <w:tcPr>
            <w:tcW w:w="2742" w:type="dxa"/>
            <w:vAlign w:val="top"/>
          </w:tcPr>
          <w:p w14:paraId="4A865C7D">
            <w:pPr>
              <w:spacing w:before="109" w:line="216" w:lineRule="auto"/>
              <w:ind w:left="930"/>
              <w:rPr>
                <w:rFonts w:ascii="FangSong_GB2312" w:hAnsi="FangSong_GB2312" w:eastAsia="FangSong_GB2312" w:cs="FangSong_GB2312"/>
                <w:sz w:val="18"/>
                <w:szCs w:val="18"/>
              </w:rPr>
            </w:pPr>
            <w:r>
              <w:rPr>
                <w:rFonts w:ascii="FangSong_GB2312" w:hAnsi="FangSong_GB2312" w:eastAsia="FangSong_GB2312" w:cs="FangSong_GB2312"/>
                <w:spacing w:val="-3"/>
                <w:sz w:val="18"/>
                <w:szCs w:val="18"/>
              </w:rPr>
              <w:t>可绿化面积</w:t>
            </w:r>
          </w:p>
        </w:tc>
        <w:tc>
          <w:tcPr>
            <w:tcW w:w="1003" w:type="dxa"/>
            <w:vAlign w:val="top"/>
          </w:tcPr>
          <w:p w14:paraId="1F48B854">
            <w:pPr>
              <w:spacing w:before="137"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vAlign w:val="top"/>
          </w:tcPr>
          <w:p w14:paraId="722C84B7">
            <w:pPr>
              <w:spacing w:before="140"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continue"/>
            <w:tcBorders>
              <w:top w:val="nil"/>
            </w:tcBorders>
            <w:vAlign w:val="top"/>
          </w:tcPr>
          <w:p w14:paraId="189F91B7">
            <w:pPr>
              <w:rPr>
                <w:rFonts w:ascii="Arial"/>
                <w:sz w:val="21"/>
              </w:rPr>
            </w:pPr>
          </w:p>
        </w:tc>
        <w:tc>
          <w:tcPr>
            <w:tcW w:w="1026" w:type="dxa"/>
            <w:vMerge w:val="continue"/>
            <w:tcBorders>
              <w:top w:val="nil"/>
              <w:right w:val="single" w:color="000000" w:sz="10" w:space="0"/>
            </w:tcBorders>
            <w:vAlign w:val="top"/>
          </w:tcPr>
          <w:p w14:paraId="3E8AD807">
            <w:pPr>
              <w:rPr>
                <w:rFonts w:ascii="Arial"/>
                <w:sz w:val="21"/>
              </w:rPr>
            </w:pPr>
          </w:p>
        </w:tc>
      </w:tr>
      <w:tr w14:paraId="20518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48" w:type="dxa"/>
            <w:vMerge w:val="restart"/>
            <w:tcBorders>
              <w:left w:val="single" w:color="000000" w:sz="10" w:space="0"/>
              <w:bottom w:val="nil"/>
            </w:tcBorders>
            <w:vAlign w:val="top"/>
          </w:tcPr>
          <w:p w14:paraId="5FFC1831">
            <w:pPr>
              <w:spacing w:before="292" w:line="216" w:lineRule="auto"/>
              <w:ind w:left="211"/>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林草覆盖率</w:t>
            </w:r>
          </w:p>
        </w:tc>
        <w:tc>
          <w:tcPr>
            <w:tcW w:w="888" w:type="dxa"/>
            <w:vMerge w:val="restart"/>
            <w:tcBorders>
              <w:bottom w:val="nil"/>
            </w:tcBorders>
            <w:vAlign w:val="top"/>
          </w:tcPr>
          <w:p w14:paraId="476A26A8">
            <w:pPr>
              <w:spacing w:line="281" w:lineRule="auto"/>
              <w:rPr>
                <w:rFonts w:ascii="Arial"/>
                <w:sz w:val="21"/>
              </w:rPr>
            </w:pPr>
          </w:p>
          <w:p w14:paraId="78231152">
            <w:pPr>
              <w:spacing w:before="52" w:line="188" w:lineRule="auto"/>
              <w:ind w:left="27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tc>
        <w:tc>
          <w:tcPr>
            <w:tcW w:w="2742" w:type="dxa"/>
            <w:vAlign w:val="top"/>
          </w:tcPr>
          <w:p w14:paraId="7FA0153E">
            <w:pPr>
              <w:spacing w:before="107" w:line="216" w:lineRule="auto"/>
              <w:ind w:left="920"/>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林草总面积</w:t>
            </w:r>
          </w:p>
        </w:tc>
        <w:tc>
          <w:tcPr>
            <w:tcW w:w="1003" w:type="dxa"/>
            <w:vAlign w:val="top"/>
          </w:tcPr>
          <w:p w14:paraId="632A5443">
            <w:pPr>
              <w:spacing w:before="137"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vAlign w:val="top"/>
          </w:tcPr>
          <w:p w14:paraId="2CD62B96">
            <w:pPr>
              <w:spacing w:before="140"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w:t>
            </w:r>
          </w:p>
        </w:tc>
        <w:tc>
          <w:tcPr>
            <w:tcW w:w="1207" w:type="dxa"/>
            <w:vMerge w:val="restart"/>
            <w:tcBorders>
              <w:bottom w:val="nil"/>
            </w:tcBorders>
            <w:vAlign w:val="top"/>
          </w:tcPr>
          <w:p w14:paraId="49D3E504">
            <w:pPr>
              <w:spacing w:line="271" w:lineRule="auto"/>
              <w:rPr>
                <w:rFonts w:ascii="Arial"/>
                <w:sz w:val="21"/>
              </w:rPr>
            </w:pPr>
          </w:p>
          <w:p w14:paraId="17ECDE52">
            <w:pPr>
              <w:spacing w:before="52" w:line="188" w:lineRule="auto"/>
              <w:ind w:left="33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tc>
        <w:tc>
          <w:tcPr>
            <w:tcW w:w="1026" w:type="dxa"/>
            <w:vMerge w:val="restart"/>
            <w:tcBorders>
              <w:bottom w:val="nil"/>
              <w:right w:val="single" w:color="000000" w:sz="10" w:space="0"/>
            </w:tcBorders>
            <w:vAlign w:val="top"/>
          </w:tcPr>
          <w:p w14:paraId="5DFE4940">
            <w:pPr>
              <w:spacing w:before="294" w:line="216" w:lineRule="auto"/>
              <w:ind w:left="341"/>
              <w:rPr>
                <w:rFonts w:ascii="FangSong_GB2312" w:hAnsi="FangSong_GB2312" w:eastAsia="FangSong_GB2312" w:cs="FangSong_GB2312"/>
                <w:sz w:val="18"/>
                <w:szCs w:val="18"/>
              </w:rPr>
            </w:pPr>
            <w:r>
              <w:rPr>
                <w:rFonts w:ascii="FangSong_GB2312" w:hAnsi="FangSong_GB2312" w:eastAsia="FangSong_GB2312" w:cs="FangSong_GB2312"/>
                <w:spacing w:val="-4"/>
                <w:sz w:val="18"/>
                <w:szCs w:val="18"/>
              </w:rPr>
              <w:t>达标</w:t>
            </w:r>
          </w:p>
        </w:tc>
      </w:tr>
      <w:tr w14:paraId="6E81F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348" w:type="dxa"/>
            <w:vMerge w:val="continue"/>
            <w:tcBorders>
              <w:top w:val="nil"/>
              <w:left w:val="single" w:color="000000" w:sz="10" w:space="0"/>
              <w:bottom w:val="single" w:color="000000" w:sz="10" w:space="0"/>
            </w:tcBorders>
            <w:vAlign w:val="top"/>
          </w:tcPr>
          <w:p w14:paraId="308A82F3">
            <w:pPr>
              <w:rPr>
                <w:rFonts w:ascii="Arial"/>
                <w:sz w:val="21"/>
              </w:rPr>
            </w:pPr>
          </w:p>
        </w:tc>
        <w:tc>
          <w:tcPr>
            <w:tcW w:w="888" w:type="dxa"/>
            <w:vMerge w:val="continue"/>
            <w:tcBorders>
              <w:top w:val="nil"/>
              <w:bottom w:val="single" w:color="000000" w:sz="10" w:space="0"/>
            </w:tcBorders>
            <w:vAlign w:val="top"/>
          </w:tcPr>
          <w:p w14:paraId="0B003192">
            <w:pPr>
              <w:rPr>
                <w:rFonts w:ascii="Arial"/>
                <w:sz w:val="21"/>
              </w:rPr>
            </w:pPr>
          </w:p>
        </w:tc>
        <w:tc>
          <w:tcPr>
            <w:tcW w:w="2742" w:type="dxa"/>
            <w:tcBorders>
              <w:bottom w:val="single" w:color="000000" w:sz="10" w:space="0"/>
            </w:tcBorders>
            <w:vAlign w:val="top"/>
          </w:tcPr>
          <w:p w14:paraId="13740DD2">
            <w:pPr>
              <w:spacing w:before="112" w:line="214" w:lineRule="auto"/>
              <w:ind w:left="744"/>
              <w:rPr>
                <w:rFonts w:ascii="FangSong_GB2312" w:hAnsi="FangSong_GB2312" w:eastAsia="FangSong_GB2312" w:cs="FangSong_GB2312"/>
                <w:sz w:val="18"/>
                <w:szCs w:val="18"/>
              </w:rPr>
            </w:pPr>
            <w:r>
              <w:rPr>
                <w:rFonts w:ascii="FangSong_GB2312" w:hAnsi="FangSong_GB2312" w:eastAsia="FangSong_GB2312" w:cs="FangSong_GB2312"/>
                <w:spacing w:val="-2"/>
                <w:sz w:val="18"/>
                <w:szCs w:val="18"/>
              </w:rPr>
              <w:t>项目建设区面积</w:t>
            </w:r>
          </w:p>
        </w:tc>
        <w:tc>
          <w:tcPr>
            <w:tcW w:w="1003" w:type="dxa"/>
            <w:tcBorders>
              <w:bottom w:val="single" w:color="000000" w:sz="10" w:space="0"/>
            </w:tcBorders>
            <w:vAlign w:val="top"/>
          </w:tcPr>
          <w:p w14:paraId="47A27740">
            <w:pPr>
              <w:spacing w:before="139"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hm²</w:t>
            </w:r>
          </w:p>
        </w:tc>
        <w:tc>
          <w:tcPr>
            <w:tcW w:w="878" w:type="dxa"/>
            <w:tcBorders>
              <w:bottom w:val="single" w:color="000000" w:sz="10" w:space="0"/>
            </w:tcBorders>
            <w:vAlign w:val="top"/>
          </w:tcPr>
          <w:p w14:paraId="0B362068">
            <w:pPr>
              <w:spacing w:before="143" w:line="188" w:lineRule="auto"/>
              <w:ind w:left="2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0.05</w:t>
            </w:r>
          </w:p>
        </w:tc>
        <w:tc>
          <w:tcPr>
            <w:tcW w:w="1207" w:type="dxa"/>
            <w:vMerge w:val="continue"/>
            <w:tcBorders>
              <w:top w:val="nil"/>
              <w:bottom w:val="single" w:color="000000" w:sz="10" w:space="0"/>
            </w:tcBorders>
            <w:vAlign w:val="top"/>
          </w:tcPr>
          <w:p w14:paraId="55CD453D">
            <w:pPr>
              <w:rPr>
                <w:rFonts w:ascii="Arial"/>
                <w:sz w:val="21"/>
              </w:rPr>
            </w:pPr>
          </w:p>
        </w:tc>
        <w:tc>
          <w:tcPr>
            <w:tcW w:w="1026" w:type="dxa"/>
            <w:vMerge w:val="continue"/>
            <w:tcBorders>
              <w:top w:val="nil"/>
              <w:bottom w:val="single" w:color="000000" w:sz="10" w:space="0"/>
              <w:right w:val="single" w:color="000000" w:sz="10" w:space="0"/>
            </w:tcBorders>
            <w:vAlign w:val="top"/>
          </w:tcPr>
          <w:p w14:paraId="540968F2">
            <w:pPr>
              <w:rPr>
                <w:rFonts w:ascii="Arial"/>
                <w:sz w:val="21"/>
              </w:rPr>
            </w:pPr>
          </w:p>
        </w:tc>
      </w:tr>
    </w:tbl>
    <w:p w14:paraId="068C0F63">
      <w:pPr>
        <w:spacing w:before="34" w:line="359" w:lineRule="auto"/>
        <w:ind w:left="125" w:right="119" w:firstLine="51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由上述各项计算可以看出，通过水土保持措施治理后，</w:t>
      </w:r>
      <w:r>
        <w:rPr>
          <w:rFonts w:ascii="FangSong_GB2312" w:hAnsi="FangSong_GB2312" w:eastAsia="FangSong_GB2312" w:cs="FangSong_GB2312"/>
          <w:spacing w:val="-2"/>
          <w:sz w:val="24"/>
          <w:szCs w:val="24"/>
        </w:rPr>
        <w:t>本项目水土流失治理度、</w:t>
      </w:r>
      <w:r>
        <w:rPr>
          <w:rFonts w:ascii="FangSong_GB2312" w:hAnsi="FangSong_GB2312" w:eastAsia="FangSong_GB2312" w:cs="FangSong_GB2312"/>
          <w:sz w:val="24"/>
          <w:szCs w:val="24"/>
        </w:rPr>
        <w:t>土壤流失控制比、渣土防护率、表土保护率、林草植被恢复率均</w:t>
      </w:r>
      <w:r>
        <w:rPr>
          <w:rFonts w:ascii="FangSong_GB2312" w:hAnsi="FangSong_GB2312" w:eastAsia="FangSong_GB2312" w:cs="FangSong_GB2312"/>
          <w:spacing w:val="-1"/>
          <w:sz w:val="24"/>
          <w:szCs w:val="24"/>
        </w:rPr>
        <w:t>能够达到西南紫色土</w:t>
      </w:r>
      <w:r>
        <w:rPr>
          <w:rFonts w:ascii="FangSong_GB2312" w:hAnsi="FangSong_GB2312" w:eastAsia="FangSong_GB2312" w:cs="FangSong_GB2312"/>
          <w:sz w:val="24"/>
          <w:szCs w:val="24"/>
        </w:rPr>
        <w:t>区水土流失防治指标一级标准。另外项目占地尽可能用于建构筑</w:t>
      </w:r>
      <w:r>
        <w:rPr>
          <w:rFonts w:ascii="FangSong_GB2312" w:hAnsi="FangSong_GB2312" w:eastAsia="FangSong_GB2312" w:cs="FangSong_GB2312"/>
          <w:spacing w:val="-1"/>
          <w:sz w:val="24"/>
          <w:szCs w:val="24"/>
        </w:rPr>
        <w:t>物建设，属于林草植</w:t>
      </w:r>
      <w:r>
        <w:rPr>
          <w:rFonts w:ascii="FangSong_GB2312" w:hAnsi="FangSong_GB2312" w:eastAsia="FangSong_GB2312" w:cs="FangSong_GB2312"/>
          <w:spacing w:val="-2"/>
          <w:sz w:val="24"/>
          <w:szCs w:val="24"/>
        </w:rPr>
        <w:t>被建设有限制的项目，林草覆盖率指标取</w:t>
      </w:r>
      <w:r>
        <w:rPr>
          <w:rFonts w:ascii="FangSong_GB2312" w:hAnsi="FangSong_GB2312" w:eastAsia="FangSong_GB2312" w:cs="FangSong_GB2312"/>
          <w:spacing w:val="-37"/>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28"/>
          <w:sz w:val="24"/>
          <w:szCs w:val="24"/>
        </w:rPr>
        <w:t xml:space="preserve"> </w:t>
      </w:r>
      <w:r>
        <w:rPr>
          <w:rFonts w:ascii="FangSong_GB2312" w:hAnsi="FangSong_GB2312" w:eastAsia="FangSong_GB2312" w:cs="FangSong_GB2312"/>
          <w:spacing w:val="-2"/>
          <w:sz w:val="24"/>
          <w:szCs w:val="24"/>
        </w:rPr>
        <w:t>，项目建设合理可行。</w:t>
      </w:r>
    </w:p>
    <w:p w14:paraId="73A7BE4B">
      <w:pPr>
        <w:spacing w:before="4" w:line="358" w:lineRule="auto"/>
        <w:ind w:left="133" w:right="179" w:firstLine="480"/>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项</w:t>
      </w:r>
      <w:r>
        <w:rPr>
          <w:rFonts w:ascii="FangSong_GB2312" w:hAnsi="FangSong_GB2312" w:eastAsia="FangSong_GB2312" w:cs="FangSong_GB2312"/>
          <w:spacing w:val="-65"/>
          <w:sz w:val="24"/>
          <w:szCs w:val="24"/>
        </w:rPr>
        <w:t xml:space="preserve"> </w:t>
      </w:r>
      <w:r>
        <w:rPr>
          <w:rFonts w:ascii="FangSong_GB2312" w:hAnsi="FangSong_GB2312" w:eastAsia="FangSong_GB2312" w:cs="FangSong_GB2312"/>
          <w:spacing w:val="-3"/>
          <w:sz w:val="24"/>
          <w:szCs w:val="24"/>
        </w:rPr>
        <w:t>目区土壤侵蚀模数背景值为</w:t>
      </w:r>
      <w:r>
        <w:rPr>
          <w:rFonts w:ascii="FangSong_GB2312" w:hAnsi="FangSong_GB2312" w:eastAsia="FangSong_GB2312" w:cs="FangSong_GB2312"/>
          <w:spacing w:val="-48"/>
          <w:sz w:val="24"/>
          <w:szCs w:val="24"/>
        </w:rPr>
        <w:t xml:space="preserve"> </w:t>
      </w:r>
      <w:r>
        <w:rPr>
          <w:rFonts w:ascii="Times New Roman" w:hAnsi="Times New Roman" w:eastAsia="Times New Roman" w:cs="Times New Roman"/>
          <w:spacing w:val="-3"/>
          <w:sz w:val="24"/>
          <w:szCs w:val="24"/>
        </w:rPr>
        <w:t>900t/km²</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3"/>
          <w:sz w:val="24"/>
          <w:szCs w:val="24"/>
        </w:rPr>
        <w:t>，通过</w:t>
      </w:r>
      <w:r>
        <w:rPr>
          <w:rFonts w:ascii="FangSong_GB2312" w:hAnsi="FangSong_GB2312" w:eastAsia="FangSong_GB2312" w:cs="FangSong_GB2312"/>
          <w:spacing w:val="-4"/>
          <w:sz w:val="24"/>
          <w:szCs w:val="24"/>
        </w:rPr>
        <w:t>采取各种水土保持措施治理后，</w:t>
      </w:r>
      <w:r>
        <w:rPr>
          <w:rFonts w:ascii="FangSong_GB2312" w:hAnsi="FangSong_GB2312" w:eastAsia="FangSong_GB2312" w:cs="FangSong_GB2312"/>
          <w:spacing w:val="-2"/>
          <w:sz w:val="24"/>
          <w:szCs w:val="24"/>
        </w:rPr>
        <w:t>项目区土壤侵蚀模数平均值达到</w:t>
      </w:r>
      <w:r>
        <w:rPr>
          <w:rFonts w:ascii="FangSong_GB2312" w:hAnsi="FangSong_GB2312" w:eastAsia="FangSong_GB2312" w:cs="FangSong_GB2312"/>
          <w:spacing w:val="-57"/>
          <w:sz w:val="24"/>
          <w:szCs w:val="24"/>
        </w:rPr>
        <w:t xml:space="preserve"> </w:t>
      </w:r>
      <w:r>
        <w:rPr>
          <w:rFonts w:ascii="Times New Roman" w:hAnsi="Times New Roman" w:eastAsia="Times New Roman" w:cs="Times New Roman"/>
          <w:spacing w:val="-2"/>
          <w:sz w:val="24"/>
          <w:szCs w:val="24"/>
        </w:rPr>
        <w:t>400t/km²</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5"/>
          <w:sz w:val="24"/>
          <w:szCs w:val="24"/>
        </w:rPr>
        <w:t xml:space="preserve"> </w:t>
      </w:r>
      <w:r>
        <w:rPr>
          <w:rFonts w:ascii="FangSong_GB2312" w:hAnsi="FangSong_GB2312" w:eastAsia="FangSong_GB2312" w:cs="FangSong_GB2312"/>
          <w:spacing w:val="-2"/>
          <w:sz w:val="24"/>
          <w:szCs w:val="24"/>
        </w:rPr>
        <w:t>，减</w:t>
      </w:r>
      <w:r>
        <w:rPr>
          <w:rFonts w:ascii="FangSong_GB2312" w:hAnsi="FangSong_GB2312" w:eastAsia="FangSong_GB2312" w:cs="FangSong_GB2312"/>
          <w:spacing w:val="-3"/>
          <w:sz w:val="24"/>
          <w:szCs w:val="24"/>
        </w:rPr>
        <w:t>少土壤流失量</w:t>
      </w:r>
      <w:r>
        <w:rPr>
          <w:rFonts w:ascii="FangSong_GB2312" w:hAnsi="FangSong_GB2312" w:eastAsia="FangSong_GB2312" w:cs="FangSong_GB2312"/>
          <w:spacing w:val="-51"/>
          <w:sz w:val="24"/>
          <w:szCs w:val="24"/>
        </w:rPr>
        <w:t xml:space="preserve"> </w:t>
      </w:r>
      <w:r>
        <w:rPr>
          <w:rFonts w:ascii="Times New Roman" w:hAnsi="Times New Roman" w:eastAsia="Times New Roman" w:cs="Times New Roman"/>
          <w:spacing w:val="-3"/>
          <w:sz w:val="24"/>
          <w:szCs w:val="24"/>
        </w:rPr>
        <w:t>0.46t</w:t>
      </w:r>
      <w:r>
        <w:rPr>
          <w:rFonts w:ascii="FangSong_GB2312" w:hAnsi="FangSong_GB2312" w:eastAsia="FangSong_GB2312" w:cs="FangSong_GB2312"/>
          <w:spacing w:val="-3"/>
          <w:sz w:val="24"/>
          <w:szCs w:val="24"/>
        </w:rPr>
        <w:t>。</w:t>
      </w:r>
    </w:p>
    <w:p w14:paraId="133F6B54">
      <w:pPr>
        <w:spacing w:before="123" w:line="229" w:lineRule="auto"/>
        <w:ind w:left="5505"/>
        <w:rPr>
          <w:rFonts w:ascii="FangSong_GB2312" w:hAnsi="FangSong_GB2312" w:eastAsia="FangSong_GB2312" w:cs="FangSong_GB2312"/>
          <w:sz w:val="20"/>
          <w:szCs w:val="20"/>
        </w:rPr>
      </w:pPr>
      <w:r>
        <w:pict>
          <v:shape id="_x0000_s1099" o:spid="_x0000_s1099" o:spt="202" type="#_x0000_t202" style="position:absolute;left:0pt;margin-left:222.9pt;margin-top:5.85pt;height:10.15pt;width:10.65pt;z-index:251773952;mso-width-relative:page;mso-height-relative:page;" filled="f" stroked="f" coordsize="21600,21600">
            <v:path/>
            <v:fill on="f" focussize="0,0"/>
            <v:stroke on="f"/>
            <v:imagedata o:title=""/>
            <o:lock v:ext="edit" aspectratio="f"/>
            <v:textbox inset="0mm,0mm,0mm,0mm">
              <w:txbxContent>
                <w:p w14:paraId="5559CC09">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txbxContent>
            </v:textbox>
          </v:shape>
        </w:pict>
      </w:r>
      <w:r>
        <w:rPr>
          <w:rFonts w:ascii="FangSong_GB2312" w:hAnsi="FangSong_GB2312" w:eastAsia="FangSong_GB2312" w:cs="FangSong_GB2312"/>
          <w:spacing w:val="8"/>
          <w:sz w:val="20"/>
          <w:szCs w:val="20"/>
        </w:rPr>
        <w:t>剑阁县绿森林业勘察设计有限公司</w:t>
      </w:r>
    </w:p>
    <w:p w14:paraId="4C292F4A">
      <w:pPr>
        <w:spacing w:line="229" w:lineRule="auto"/>
        <w:rPr>
          <w:rFonts w:ascii="FangSong_GB2312" w:hAnsi="FangSong_GB2312" w:eastAsia="FangSong_GB2312" w:cs="FangSong_GB2312"/>
          <w:sz w:val="20"/>
          <w:szCs w:val="20"/>
        </w:rPr>
        <w:sectPr>
          <w:headerReference r:id="rId74" w:type="default"/>
          <w:pgSz w:w="11906" w:h="16839"/>
          <w:pgMar w:top="1159" w:right="1394" w:bottom="400" w:left="1393" w:header="831" w:footer="0" w:gutter="0"/>
          <w:cols w:space="720" w:num="1"/>
        </w:sectPr>
      </w:pPr>
    </w:p>
    <w:p w14:paraId="080D807B">
      <w:pPr>
        <w:spacing w:before="208" w:line="216" w:lineRule="auto"/>
        <w:ind w:left="9"/>
        <w:outlineLvl w:val="2"/>
        <w:rPr>
          <w:rFonts w:ascii="FangSong_GB2312" w:hAnsi="FangSong_GB2312" w:eastAsia="FangSong_GB2312" w:cs="FangSong_GB2312"/>
          <w:sz w:val="28"/>
          <w:szCs w:val="28"/>
        </w:rPr>
      </w:pPr>
      <w:r>
        <w:rPr>
          <w:rFonts w:ascii="Times New Roman" w:hAnsi="Times New Roman" w:eastAsia="Times New Roman" w:cs="Times New Roman"/>
          <w:b/>
          <w:bCs/>
          <w:spacing w:val="-2"/>
          <w:sz w:val="28"/>
          <w:szCs w:val="28"/>
        </w:rPr>
        <w:t xml:space="preserve">7.2.2  </w:t>
      </w:r>
      <w:r>
        <w:rPr>
          <w:rFonts w:ascii="FangSong_GB2312" w:hAnsi="FangSong_GB2312" w:eastAsia="FangSong_GB2312" w:cs="FangSong_GB2312"/>
          <w:b/>
          <w:bCs/>
          <w:spacing w:val="-2"/>
          <w:sz w:val="28"/>
          <w:szCs w:val="28"/>
        </w:rPr>
        <w:t>水土保持效益分析</w:t>
      </w:r>
    </w:p>
    <w:p w14:paraId="7F328925">
      <w:pPr>
        <w:spacing w:before="212" w:line="217" w:lineRule="auto"/>
        <w:ind w:left="508"/>
        <w:rPr>
          <w:rFonts w:ascii="FangSong_GB2312" w:hAnsi="FangSong_GB2312" w:eastAsia="FangSong_GB2312" w:cs="FangSong_GB2312"/>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rFonts w:ascii="FangSong_GB2312" w:hAnsi="FangSong_GB2312" w:eastAsia="FangSong_GB2312" w:cs="FangSong_GB2312"/>
          <w:spacing w:val="-10"/>
          <w:sz w:val="24"/>
          <w:szCs w:val="24"/>
        </w:rPr>
        <w:t>、保土效益</w:t>
      </w:r>
    </w:p>
    <w:p w14:paraId="3245CB07">
      <w:pPr>
        <w:spacing w:before="184" w:line="359" w:lineRule="auto"/>
        <w:ind w:left="12" w:firstLine="476"/>
        <w:rPr>
          <w:rFonts w:ascii="FangSong_GB2312" w:hAnsi="FangSong_GB2312" w:eastAsia="FangSong_GB2312" w:cs="FangSong_GB2312"/>
          <w:sz w:val="24"/>
          <w:szCs w:val="24"/>
        </w:rPr>
      </w:pPr>
      <w:r>
        <w:rPr>
          <w:rFonts w:ascii="FangSong_GB2312" w:hAnsi="FangSong_GB2312" w:eastAsia="FangSong_GB2312" w:cs="FangSong_GB2312"/>
          <w:sz w:val="24"/>
          <w:szCs w:val="24"/>
        </w:rPr>
        <w:t>各防治区域经主体工程已具有水保功能措施防护治理</w:t>
      </w:r>
      <w:r>
        <w:rPr>
          <w:rFonts w:ascii="FangSong_GB2312" w:hAnsi="FangSong_GB2312" w:eastAsia="FangSong_GB2312" w:cs="FangSong_GB2312"/>
          <w:spacing w:val="-1"/>
          <w:sz w:val="24"/>
          <w:szCs w:val="24"/>
        </w:rPr>
        <w:t>后，流失的土壤得到有效的</w:t>
      </w:r>
      <w:r>
        <w:rPr>
          <w:rFonts w:ascii="FangSong_GB2312" w:hAnsi="FangSong_GB2312" w:eastAsia="FangSong_GB2312" w:cs="FangSong_GB2312"/>
          <w:spacing w:val="-6"/>
          <w:sz w:val="24"/>
          <w:szCs w:val="24"/>
        </w:rPr>
        <w:t>控制，土壤流失控制比达到</w:t>
      </w:r>
      <w:r>
        <w:rPr>
          <w:rFonts w:ascii="FangSong_GB2312" w:hAnsi="FangSong_GB2312" w:eastAsia="FangSong_GB2312" w:cs="FangSong_GB2312"/>
          <w:spacing w:val="-16"/>
          <w:sz w:val="24"/>
          <w:szCs w:val="24"/>
        </w:rPr>
        <w:t xml:space="preserve"> </w:t>
      </w:r>
      <w:r>
        <w:rPr>
          <w:rFonts w:ascii="Times New Roman" w:hAnsi="Times New Roman" w:eastAsia="Times New Roman" w:cs="Times New Roman"/>
          <w:spacing w:val="-6"/>
          <w:sz w:val="24"/>
          <w:szCs w:val="24"/>
        </w:rPr>
        <w:t>1.25</w:t>
      </w:r>
      <w:r>
        <w:rPr>
          <w:rFonts w:ascii="FangSong_GB2312" w:hAnsi="FangSong_GB2312" w:eastAsia="FangSong_GB2312" w:cs="FangSong_GB2312"/>
          <w:spacing w:val="-6"/>
          <w:sz w:val="24"/>
          <w:szCs w:val="24"/>
        </w:rPr>
        <w:t>，整个项目区土壤侵蚀模数可下降到原背景侵蚀模数，</w:t>
      </w:r>
      <w:r>
        <w:rPr>
          <w:rFonts w:ascii="FangSong_GB2312" w:hAnsi="FangSong_GB2312" w:eastAsia="FangSong_GB2312" w:cs="FangSong_GB2312"/>
          <w:spacing w:val="-1"/>
          <w:sz w:val="24"/>
          <w:szCs w:val="24"/>
        </w:rPr>
        <w:t>项目区水土流失将得到很好的治理，达到了方案目标的要求。</w:t>
      </w:r>
    </w:p>
    <w:p w14:paraId="0442A1D8">
      <w:pPr>
        <w:spacing w:line="219" w:lineRule="auto"/>
        <w:ind w:left="485"/>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rFonts w:ascii="FangSong_GB2312" w:hAnsi="FangSong_GB2312" w:eastAsia="FangSong_GB2312" w:cs="FangSong_GB2312"/>
          <w:spacing w:val="-6"/>
          <w:sz w:val="24"/>
          <w:szCs w:val="24"/>
        </w:rPr>
        <w:t>、生态效益</w:t>
      </w:r>
    </w:p>
    <w:p w14:paraId="4C4DCB8C">
      <w:pPr>
        <w:spacing w:before="182" w:line="359" w:lineRule="auto"/>
        <w:ind w:left="14" w:right="60" w:firstLine="480"/>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通过在建设期间采取必要的排水及绿化等水土流失综合防治措施，能够有效减少</w:t>
      </w:r>
      <w:r>
        <w:rPr>
          <w:rFonts w:ascii="FangSong_GB2312" w:hAnsi="FangSong_GB2312" w:eastAsia="FangSong_GB2312" w:cs="FangSong_GB2312"/>
          <w:sz w:val="24"/>
          <w:szCs w:val="24"/>
        </w:rPr>
        <w:t>工程建设区的新增水土流失，增大防治责任</w:t>
      </w:r>
      <w:r>
        <w:rPr>
          <w:rFonts w:ascii="FangSong_GB2312" w:hAnsi="FangSong_GB2312" w:eastAsia="FangSong_GB2312" w:cs="FangSong_GB2312"/>
          <w:spacing w:val="-1"/>
          <w:sz w:val="24"/>
          <w:szCs w:val="24"/>
        </w:rPr>
        <w:t>区范围内的绿化面积，促进生态系统的良</w:t>
      </w:r>
      <w:r>
        <w:rPr>
          <w:rFonts w:ascii="FangSong_GB2312" w:hAnsi="FangSong_GB2312" w:eastAsia="FangSong_GB2312" w:cs="FangSong_GB2312"/>
          <w:spacing w:val="-4"/>
          <w:sz w:val="24"/>
          <w:szCs w:val="24"/>
        </w:rPr>
        <w:t>性循环。</w:t>
      </w:r>
    </w:p>
    <w:p w14:paraId="1F5E7166">
      <w:pPr>
        <w:spacing w:line="217" w:lineRule="auto"/>
        <w:ind w:left="490"/>
        <w:rPr>
          <w:rFonts w:ascii="FangSong_GB2312" w:hAnsi="FangSong_GB2312" w:eastAsia="FangSong_GB2312" w:cs="FangSong_GB2312"/>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7"/>
          <w:sz w:val="24"/>
          <w:szCs w:val="24"/>
        </w:rPr>
        <w:t>、社会效益</w:t>
      </w:r>
    </w:p>
    <w:p w14:paraId="56A01779">
      <w:pPr>
        <w:spacing w:before="184" w:line="359" w:lineRule="auto"/>
        <w:ind w:left="6" w:right="60" w:firstLine="488"/>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通过认真贯彻水土保持法规，因地制宜地采取水土保持预防措施、治理措施、监</w:t>
      </w:r>
      <w:r>
        <w:rPr>
          <w:rFonts w:ascii="FangSong_GB2312" w:hAnsi="FangSong_GB2312" w:eastAsia="FangSong_GB2312" w:cs="FangSong_GB2312"/>
          <w:sz w:val="24"/>
          <w:szCs w:val="24"/>
        </w:rPr>
        <w:t>测检查督促等措施，使项目在建设期间可能造成的水土流失及</w:t>
      </w:r>
      <w:r>
        <w:rPr>
          <w:rFonts w:ascii="FangSong_GB2312" w:hAnsi="FangSong_GB2312" w:eastAsia="FangSong_GB2312" w:cs="FangSong_GB2312"/>
          <w:spacing w:val="-1"/>
          <w:sz w:val="24"/>
          <w:szCs w:val="24"/>
        </w:rPr>
        <w:t>危害降到容许范围内，</w:t>
      </w:r>
      <w:r>
        <w:rPr>
          <w:rFonts w:ascii="FangSong_GB2312" w:hAnsi="FangSong_GB2312" w:eastAsia="FangSong_GB2312" w:cs="FangSong_GB2312"/>
          <w:sz w:val="24"/>
          <w:szCs w:val="24"/>
        </w:rPr>
        <w:t>从而确保项目正常进行。项目建设与区域化建设、产业发展相</w:t>
      </w:r>
      <w:r>
        <w:rPr>
          <w:rFonts w:ascii="FangSong_GB2312" w:hAnsi="FangSong_GB2312" w:eastAsia="FangSong_GB2312" w:cs="FangSong_GB2312"/>
          <w:spacing w:val="-1"/>
          <w:sz w:val="24"/>
          <w:szCs w:val="24"/>
        </w:rPr>
        <w:t>结合，与绿化相协调，</w:t>
      </w:r>
      <w:r>
        <w:rPr>
          <w:rFonts w:ascii="FangSong_GB2312" w:hAnsi="FangSong_GB2312" w:eastAsia="FangSong_GB2312" w:cs="FangSong_GB2312"/>
          <w:sz w:val="24"/>
          <w:szCs w:val="24"/>
        </w:rPr>
        <w:t>促进项目区社会经济发展。通过实施水土保持方案，控制水土</w:t>
      </w:r>
      <w:r>
        <w:rPr>
          <w:rFonts w:ascii="FangSong_GB2312" w:hAnsi="FangSong_GB2312" w:eastAsia="FangSong_GB2312" w:cs="FangSong_GB2312"/>
          <w:spacing w:val="-1"/>
          <w:sz w:val="24"/>
          <w:szCs w:val="24"/>
        </w:rPr>
        <w:t>流失，避免造成水土流</w:t>
      </w:r>
      <w:r>
        <w:rPr>
          <w:rFonts w:ascii="FangSong_GB2312" w:hAnsi="FangSong_GB2312" w:eastAsia="FangSong_GB2312" w:cs="FangSong_GB2312"/>
          <w:sz w:val="24"/>
          <w:szCs w:val="24"/>
        </w:rPr>
        <w:t>失危害，从而促进项目区国民经济、社会事业稳步发展，将产生</w:t>
      </w:r>
      <w:r>
        <w:rPr>
          <w:rFonts w:ascii="FangSong_GB2312" w:hAnsi="FangSong_GB2312" w:eastAsia="FangSong_GB2312" w:cs="FangSong_GB2312"/>
          <w:spacing w:val="-1"/>
          <w:sz w:val="24"/>
          <w:szCs w:val="24"/>
        </w:rPr>
        <w:t>巨大的社会效益。</w:t>
      </w:r>
    </w:p>
    <w:p w14:paraId="5FB0D4F1">
      <w:pPr>
        <w:spacing w:before="1" w:line="215" w:lineRule="auto"/>
        <w:ind w:left="484"/>
        <w:rPr>
          <w:rFonts w:ascii="FangSong_GB2312" w:hAnsi="FangSong_GB2312" w:eastAsia="FangSong_GB2312" w:cs="FangSong_GB2312"/>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29"/>
          <w:sz w:val="24"/>
          <w:szCs w:val="24"/>
        </w:rPr>
        <w:t xml:space="preserve"> </w:t>
      </w:r>
      <w:r>
        <w:rPr>
          <w:rFonts w:ascii="FangSong_GB2312" w:hAnsi="FangSong_GB2312" w:eastAsia="FangSong_GB2312" w:cs="FangSong_GB2312"/>
          <w:spacing w:val="-6"/>
          <w:sz w:val="24"/>
          <w:szCs w:val="24"/>
        </w:rPr>
        <w:t>、经济效益</w:t>
      </w:r>
    </w:p>
    <w:p w14:paraId="4D1DD28F">
      <w:pPr>
        <w:spacing w:before="189" w:line="359" w:lineRule="auto"/>
        <w:ind w:left="7" w:right="60" w:firstLine="487"/>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通过实施水土保持措施，有效地预防和治理可能造成的水土流失，控制、减少、</w:t>
      </w:r>
      <w:r>
        <w:rPr>
          <w:rFonts w:ascii="FangSong_GB2312" w:hAnsi="FangSong_GB2312" w:eastAsia="FangSong_GB2312" w:cs="FangSong_GB2312"/>
          <w:sz w:val="24"/>
          <w:szCs w:val="24"/>
        </w:rPr>
        <w:t>避免项目建设可能给项目区造成的水土流失危害，从而保障</w:t>
      </w:r>
      <w:r>
        <w:rPr>
          <w:rFonts w:ascii="FangSong_GB2312" w:hAnsi="FangSong_GB2312" w:eastAsia="FangSong_GB2312" w:cs="FangSong_GB2312"/>
          <w:spacing w:val="-1"/>
          <w:sz w:val="24"/>
          <w:szCs w:val="24"/>
        </w:rPr>
        <w:t>了项目发挥最佳的投资效益，这是最大的经济效益。</w:t>
      </w:r>
    </w:p>
    <w:p w14:paraId="57937630">
      <w:pPr>
        <w:spacing w:before="5" w:line="358" w:lineRule="auto"/>
        <w:ind w:left="5" w:right="60" w:firstLine="489"/>
        <w:jc w:val="both"/>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通过损益分析可知，本项目水土保持措施带来的综合效益较明显，基础效益能够</w:t>
      </w:r>
      <w:r>
        <w:rPr>
          <w:rFonts w:ascii="FangSong_GB2312" w:hAnsi="FangSong_GB2312" w:eastAsia="FangSong_GB2312" w:cs="FangSong_GB2312"/>
          <w:sz w:val="24"/>
          <w:szCs w:val="24"/>
        </w:rPr>
        <w:t>满足方案设定的目标值，生态效益和社会效益相协调，对于防治</w:t>
      </w:r>
      <w:r>
        <w:rPr>
          <w:rFonts w:ascii="FangSong_GB2312" w:hAnsi="FangSong_GB2312" w:eastAsia="FangSong_GB2312" w:cs="FangSong_GB2312"/>
          <w:spacing w:val="-1"/>
          <w:sz w:val="24"/>
          <w:szCs w:val="24"/>
        </w:rPr>
        <w:t>项目区水土流失起着</w:t>
      </w:r>
      <w:r>
        <w:rPr>
          <w:rFonts w:ascii="FangSong_GB2312" w:hAnsi="FangSong_GB2312" w:eastAsia="FangSong_GB2312" w:cs="FangSong_GB2312"/>
          <w:sz w:val="24"/>
          <w:szCs w:val="24"/>
        </w:rPr>
        <w:t>十分重要的作用，因此在项目实施的过程中，贯彻落实水保方案</w:t>
      </w:r>
      <w:r>
        <w:rPr>
          <w:rFonts w:ascii="FangSong_GB2312" w:hAnsi="FangSong_GB2312" w:eastAsia="FangSong_GB2312" w:cs="FangSong_GB2312"/>
          <w:spacing w:val="-1"/>
          <w:sz w:val="24"/>
          <w:szCs w:val="24"/>
        </w:rPr>
        <w:t>提出的水土保持措施是必要和行之有效的。</w:t>
      </w:r>
    </w:p>
    <w:p w14:paraId="5D838830">
      <w:pPr>
        <w:pStyle w:val="2"/>
        <w:spacing w:line="257" w:lineRule="auto"/>
      </w:pPr>
    </w:p>
    <w:p w14:paraId="4064929C">
      <w:pPr>
        <w:pStyle w:val="2"/>
        <w:spacing w:line="257" w:lineRule="auto"/>
      </w:pPr>
    </w:p>
    <w:p w14:paraId="0F38CBED">
      <w:pPr>
        <w:pStyle w:val="2"/>
        <w:spacing w:line="257" w:lineRule="auto"/>
      </w:pPr>
    </w:p>
    <w:p w14:paraId="57D7FBFA">
      <w:pPr>
        <w:pStyle w:val="2"/>
        <w:spacing w:line="257" w:lineRule="auto"/>
      </w:pPr>
    </w:p>
    <w:p w14:paraId="2736796D">
      <w:pPr>
        <w:pStyle w:val="2"/>
        <w:spacing w:line="257" w:lineRule="auto"/>
      </w:pPr>
    </w:p>
    <w:p w14:paraId="5898AFA0">
      <w:pPr>
        <w:pStyle w:val="2"/>
        <w:spacing w:line="257" w:lineRule="auto"/>
      </w:pPr>
    </w:p>
    <w:p w14:paraId="2AE9BB6C">
      <w:pPr>
        <w:pStyle w:val="2"/>
        <w:spacing w:line="257" w:lineRule="auto"/>
      </w:pPr>
    </w:p>
    <w:p w14:paraId="08BFC465">
      <w:pPr>
        <w:pStyle w:val="2"/>
        <w:spacing w:line="257" w:lineRule="auto"/>
      </w:pPr>
    </w:p>
    <w:p w14:paraId="0133DABE">
      <w:pPr>
        <w:pStyle w:val="2"/>
        <w:spacing w:line="257" w:lineRule="auto"/>
      </w:pPr>
    </w:p>
    <w:p w14:paraId="5171B364">
      <w:pPr>
        <w:pStyle w:val="2"/>
        <w:spacing w:line="257" w:lineRule="auto"/>
      </w:pPr>
    </w:p>
    <w:p w14:paraId="7ED503B2">
      <w:pPr>
        <w:pStyle w:val="2"/>
        <w:spacing w:line="257" w:lineRule="auto"/>
      </w:pPr>
    </w:p>
    <w:p w14:paraId="0673B476">
      <w:pPr>
        <w:pStyle w:val="2"/>
        <w:spacing w:line="257" w:lineRule="auto"/>
      </w:pPr>
    </w:p>
    <w:p w14:paraId="690FC17C">
      <w:pPr>
        <w:pStyle w:val="2"/>
        <w:spacing w:line="257" w:lineRule="auto"/>
      </w:pPr>
    </w:p>
    <w:p w14:paraId="0FB9CBF2">
      <w:pPr>
        <w:spacing w:before="65" w:line="229" w:lineRule="auto"/>
        <w:ind w:left="5384"/>
        <w:rPr>
          <w:rFonts w:ascii="FangSong_GB2312" w:hAnsi="FangSong_GB2312" w:eastAsia="FangSong_GB2312" w:cs="FangSong_GB2312"/>
          <w:sz w:val="20"/>
          <w:szCs w:val="20"/>
        </w:rPr>
      </w:pPr>
      <w:r>
        <w:pict>
          <v:shape id="_x0000_s1100" o:spid="_x0000_s1100" o:spt="202" type="#_x0000_t202" style="position:absolute;left:0pt;margin-left:216.85pt;margin-top:3pt;height:10.15pt;width:10.65pt;z-index:251774976;mso-width-relative:page;mso-height-relative:page;" filled="f" stroked="f" coordsize="21600,21600">
            <v:path/>
            <v:fill on="f" focussize="0,0"/>
            <v:stroke on="f"/>
            <v:imagedata o:title=""/>
            <o:lock v:ext="edit" aspectratio="f"/>
            <v:textbox inset="0mm,0mm,0mm,0mm">
              <w:txbxContent>
                <w:p w14:paraId="3F0A36C3">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txbxContent>
            </v:textbox>
          </v:shape>
        </w:pict>
      </w:r>
      <w:r>
        <w:rPr>
          <w:rFonts w:ascii="FangSong_GB2312" w:hAnsi="FangSong_GB2312" w:eastAsia="FangSong_GB2312" w:cs="FangSong_GB2312"/>
          <w:spacing w:val="8"/>
          <w:sz w:val="20"/>
          <w:szCs w:val="20"/>
        </w:rPr>
        <w:t>剑阁县绿森林业勘察设计有限公司</w:t>
      </w:r>
    </w:p>
    <w:p w14:paraId="76E2B1EE">
      <w:pPr>
        <w:spacing w:line="229" w:lineRule="auto"/>
        <w:rPr>
          <w:rFonts w:ascii="FangSong_GB2312" w:hAnsi="FangSong_GB2312" w:eastAsia="FangSong_GB2312" w:cs="FangSong_GB2312"/>
          <w:sz w:val="20"/>
          <w:szCs w:val="20"/>
        </w:rPr>
        <w:sectPr>
          <w:headerReference r:id="rId75" w:type="default"/>
          <w:pgSz w:w="11906" w:h="16839"/>
          <w:pgMar w:top="1159" w:right="1453" w:bottom="400" w:left="1513" w:header="831" w:footer="0" w:gutter="0"/>
          <w:cols w:space="720" w:num="1"/>
        </w:sectPr>
      </w:pPr>
    </w:p>
    <w:p w14:paraId="6E854721">
      <w:pPr>
        <w:pStyle w:val="2"/>
        <w:spacing w:line="353" w:lineRule="auto"/>
      </w:pPr>
    </w:p>
    <w:p w14:paraId="4AF878EE">
      <w:pPr>
        <w:spacing w:before="101" w:line="219" w:lineRule="auto"/>
        <w:ind w:left="3486"/>
        <w:outlineLvl w:val="0"/>
        <w:rPr>
          <w:rFonts w:ascii="FangSong_GB2312" w:hAnsi="FangSong_GB2312" w:eastAsia="FangSong_GB2312" w:cs="FangSong_GB2312"/>
          <w:sz w:val="31"/>
          <w:szCs w:val="31"/>
        </w:rPr>
      </w:pPr>
      <w:bookmarkStart w:id="92" w:name="bookmark77"/>
      <w:bookmarkEnd w:id="92"/>
      <w:bookmarkStart w:id="93" w:name="bookmark78"/>
      <w:bookmarkEnd w:id="93"/>
      <w:r>
        <w:rPr>
          <w:rFonts w:ascii="Times New Roman" w:hAnsi="Times New Roman" w:eastAsia="Times New Roman" w:cs="Times New Roman"/>
          <w:b/>
          <w:bCs/>
          <w:spacing w:val="1"/>
          <w:sz w:val="31"/>
          <w:szCs w:val="31"/>
        </w:rPr>
        <w:t>8</w:t>
      </w:r>
      <w:r>
        <w:rPr>
          <w:rFonts w:ascii="Times New Roman" w:hAnsi="Times New Roman" w:eastAsia="Times New Roman" w:cs="Times New Roman"/>
          <w:b/>
          <w:bCs/>
          <w:spacing w:val="13"/>
          <w:sz w:val="31"/>
          <w:szCs w:val="31"/>
        </w:rPr>
        <w:t xml:space="preserve">  </w:t>
      </w:r>
      <w:r>
        <w:rPr>
          <w:rFonts w:ascii="FangSong_GB2312" w:hAnsi="FangSong_GB2312" w:eastAsia="FangSong_GB2312" w:cs="FangSong_GB2312"/>
          <w:b/>
          <w:bCs/>
          <w:spacing w:val="1"/>
          <w:sz w:val="31"/>
          <w:szCs w:val="31"/>
        </w:rPr>
        <w:t>结论与建议</w:t>
      </w:r>
    </w:p>
    <w:p w14:paraId="6AFE1987">
      <w:pPr>
        <w:pStyle w:val="2"/>
        <w:spacing w:line="409" w:lineRule="auto"/>
      </w:pPr>
    </w:p>
    <w:p w14:paraId="426B41E4">
      <w:pPr>
        <w:spacing w:before="98" w:line="214" w:lineRule="auto"/>
        <w:ind w:left="10"/>
        <w:outlineLvl w:val="1"/>
        <w:rPr>
          <w:rFonts w:ascii="FangSong_GB2312" w:hAnsi="FangSong_GB2312" w:eastAsia="FangSong_GB2312" w:cs="FangSong_GB2312"/>
          <w:sz w:val="30"/>
          <w:szCs w:val="30"/>
        </w:rPr>
      </w:pPr>
      <w:bookmarkStart w:id="94" w:name="bookmark80"/>
      <w:bookmarkEnd w:id="94"/>
      <w:bookmarkStart w:id="95" w:name="bookmark79"/>
      <w:bookmarkEnd w:id="95"/>
      <w:r>
        <w:rPr>
          <w:rFonts w:ascii="Times New Roman" w:hAnsi="Times New Roman" w:eastAsia="Times New Roman" w:cs="Times New Roman"/>
          <w:b/>
          <w:bCs/>
          <w:spacing w:val="-6"/>
          <w:sz w:val="30"/>
          <w:szCs w:val="30"/>
        </w:rPr>
        <w:t>8.1</w:t>
      </w:r>
      <w:r>
        <w:rPr>
          <w:rFonts w:ascii="Times New Roman" w:hAnsi="Times New Roman" w:eastAsia="Times New Roman" w:cs="Times New Roman"/>
          <w:b/>
          <w:bCs/>
          <w:spacing w:val="10"/>
          <w:sz w:val="30"/>
          <w:szCs w:val="30"/>
        </w:rPr>
        <w:t xml:space="preserve">  </w:t>
      </w:r>
      <w:r>
        <w:rPr>
          <w:rFonts w:ascii="FangSong_GB2312" w:hAnsi="FangSong_GB2312" w:eastAsia="FangSong_GB2312" w:cs="FangSong_GB2312"/>
          <w:b/>
          <w:bCs/>
          <w:spacing w:val="-6"/>
          <w:sz w:val="30"/>
          <w:szCs w:val="30"/>
        </w:rPr>
        <w:t>组织管理</w:t>
      </w:r>
    </w:p>
    <w:p w14:paraId="29E49F28">
      <w:pPr>
        <w:pStyle w:val="2"/>
        <w:spacing w:line="357" w:lineRule="auto"/>
      </w:pPr>
    </w:p>
    <w:p w14:paraId="551C5768">
      <w:pPr>
        <w:spacing w:before="78" w:line="359" w:lineRule="auto"/>
        <w:ind w:left="4" w:firstLine="485"/>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本工程的水土保持工程较简单，水土保持工程纳入</w:t>
      </w:r>
      <w:r>
        <w:rPr>
          <w:rFonts w:ascii="FangSong_GB2312" w:hAnsi="FangSong_GB2312" w:eastAsia="FangSong_GB2312" w:cs="FangSong_GB2312"/>
          <w:spacing w:val="-1"/>
          <w:sz w:val="24"/>
          <w:szCs w:val="24"/>
        </w:rPr>
        <w:t>主体施工组织统一管理。建设</w:t>
      </w:r>
      <w:r>
        <w:rPr>
          <w:rFonts w:ascii="FangSong_GB2312" w:hAnsi="FangSong_GB2312" w:eastAsia="FangSong_GB2312" w:cs="FangSong_GB2312"/>
          <w:sz w:val="24"/>
          <w:szCs w:val="24"/>
        </w:rPr>
        <w:t>期间，抽调专业技术人员负责水土保持工作的管理和组织实施工作</w:t>
      </w:r>
      <w:r>
        <w:rPr>
          <w:rFonts w:ascii="FangSong_GB2312" w:hAnsi="FangSong_GB2312" w:eastAsia="FangSong_GB2312" w:cs="FangSong_GB2312"/>
          <w:spacing w:val="-1"/>
          <w:sz w:val="24"/>
          <w:szCs w:val="24"/>
        </w:rPr>
        <w:t>，加强水土保持宣</w:t>
      </w:r>
      <w:r>
        <w:rPr>
          <w:rFonts w:ascii="FangSong_GB2312" w:hAnsi="FangSong_GB2312" w:eastAsia="FangSong_GB2312" w:cs="FangSong_GB2312"/>
          <w:sz w:val="24"/>
          <w:szCs w:val="24"/>
        </w:rPr>
        <w:t>传，施工现场制定水土保持宣传标语、横幅或制定水土保持宣传册</w:t>
      </w:r>
      <w:r>
        <w:rPr>
          <w:rFonts w:ascii="FangSong_GB2312" w:hAnsi="FangSong_GB2312" w:eastAsia="FangSong_GB2312" w:cs="FangSong_GB2312"/>
          <w:spacing w:val="-1"/>
          <w:sz w:val="24"/>
          <w:szCs w:val="24"/>
        </w:rPr>
        <w:t>等，并组织相应人</w:t>
      </w:r>
      <w:r>
        <w:rPr>
          <w:rFonts w:ascii="FangSong_GB2312" w:hAnsi="FangSong_GB2312" w:eastAsia="FangSong_GB2312" w:cs="FangSong_GB2312"/>
          <w:sz w:val="24"/>
          <w:szCs w:val="24"/>
        </w:rPr>
        <w:t>员培训，强化水土保持意识，明确水土流失的防治责任和义务。协</w:t>
      </w:r>
      <w:r>
        <w:rPr>
          <w:rFonts w:ascii="FangSong_GB2312" w:hAnsi="FangSong_GB2312" w:eastAsia="FangSong_GB2312" w:cs="FangSong_GB2312"/>
          <w:spacing w:val="-1"/>
          <w:sz w:val="24"/>
          <w:szCs w:val="24"/>
        </w:rPr>
        <w:t>调各项水土保持措</w:t>
      </w:r>
      <w:r>
        <w:rPr>
          <w:rFonts w:ascii="FangSong_GB2312" w:hAnsi="FangSong_GB2312" w:eastAsia="FangSong_GB2312" w:cs="FangSong_GB2312"/>
          <w:sz w:val="24"/>
          <w:szCs w:val="24"/>
        </w:rPr>
        <w:t>施与主体工程同步实施，同期完成，做好施工过程的质量检查、验</w:t>
      </w:r>
      <w:r>
        <w:rPr>
          <w:rFonts w:ascii="FangSong_GB2312" w:hAnsi="FangSong_GB2312" w:eastAsia="FangSong_GB2312" w:cs="FangSong_GB2312"/>
          <w:spacing w:val="-1"/>
          <w:sz w:val="24"/>
          <w:szCs w:val="24"/>
        </w:rPr>
        <w:t>收和评定，对施工</w:t>
      </w:r>
      <w:r>
        <w:rPr>
          <w:rFonts w:ascii="FangSong_GB2312" w:hAnsi="FangSong_GB2312" w:eastAsia="FangSong_GB2312" w:cs="FangSong_GB2312"/>
          <w:sz w:val="24"/>
          <w:szCs w:val="24"/>
        </w:rPr>
        <w:t>安全教育、安全检查做好记录和整理工作等，并积极配合水行政主</w:t>
      </w:r>
      <w:r>
        <w:rPr>
          <w:rFonts w:ascii="FangSong_GB2312" w:hAnsi="FangSong_GB2312" w:eastAsia="FangSong_GB2312" w:cs="FangSong_GB2312"/>
          <w:spacing w:val="-1"/>
          <w:sz w:val="24"/>
          <w:szCs w:val="24"/>
        </w:rPr>
        <w:t>管部门负责监督检</w:t>
      </w:r>
      <w:r>
        <w:rPr>
          <w:rFonts w:ascii="FangSong_GB2312" w:hAnsi="FangSong_GB2312" w:eastAsia="FangSong_GB2312" w:cs="FangSong_GB2312"/>
          <w:sz w:val="24"/>
          <w:szCs w:val="24"/>
        </w:rPr>
        <w:t>查。建设单位应在水保方案批复后及时向审批水土保持方案的水行</w:t>
      </w:r>
      <w:r>
        <w:rPr>
          <w:rFonts w:ascii="FangSong_GB2312" w:hAnsi="FangSong_GB2312" w:eastAsia="FangSong_GB2312" w:cs="FangSong_GB2312"/>
          <w:spacing w:val="-1"/>
          <w:sz w:val="24"/>
          <w:szCs w:val="24"/>
        </w:rPr>
        <w:t>政主管部门备案，</w:t>
      </w:r>
      <w:r>
        <w:rPr>
          <w:rFonts w:ascii="FangSong_GB2312" w:hAnsi="FangSong_GB2312" w:eastAsia="FangSong_GB2312" w:cs="FangSong_GB2312"/>
          <w:sz w:val="24"/>
          <w:szCs w:val="24"/>
        </w:rPr>
        <w:t>为便于后续管理，建设单位应对水土保持方案设计资料及图表、年</w:t>
      </w:r>
      <w:r>
        <w:rPr>
          <w:rFonts w:ascii="FangSong_GB2312" w:hAnsi="FangSong_GB2312" w:eastAsia="FangSong_GB2312" w:cs="FangSong_GB2312"/>
          <w:spacing w:val="-1"/>
          <w:sz w:val="24"/>
          <w:szCs w:val="24"/>
        </w:rPr>
        <w:t>度施工进度、年度</w:t>
      </w:r>
      <w:r>
        <w:rPr>
          <w:rFonts w:ascii="FangSong_GB2312" w:hAnsi="FangSong_GB2312" w:eastAsia="FangSong_GB2312" w:cs="FangSong_GB2312"/>
          <w:sz w:val="24"/>
          <w:szCs w:val="24"/>
        </w:rPr>
        <w:t>经费使用等技术经济指标、水土保持效益指标以及验收的全部文件</w:t>
      </w:r>
      <w:r>
        <w:rPr>
          <w:rFonts w:ascii="FangSong_GB2312" w:hAnsi="FangSong_GB2312" w:eastAsia="FangSong_GB2312" w:cs="FangSong_GB2312"/>
          <w:spacing w:val="-1"/>
          <w:sz w:val="24"/>
          <w:szCs w:val="24"/>
        </w:rPr>
        <w:t>、报告、图表等资料归档管理。</w:t>
      </w:r>
    </w:p>
    <w:p w14:paraId="56512828">
      <w:pPr>
        <w:spacing w:before="272" w:line="216" w:lineRule="auto"/>
        <w:ind w:left="10"/>
        <w:outlineLvl w:val="1"/>
        <w:rPr>
          <w:rFonts w:ascii="FangSong_GB2312" w:hAnsi="FangSong_GB2312" w:eastAsia="FangSong_GB2312" w:cs="FangSong_GB2312"/>
          <w:sz w:val="30"/>
          <w:szCs w:val="30"/>
        </w:rPr>
      </w:pPr>
      <w:bookmarkStart w:id="96" w:name="bookmark82"/>
      <w:bookmarkEnd w:id="96"/>
      <w:bookmarkStart w:id="97" w:name="bookmark81"/>
      <w:bookmarkEnd w:id="97"/>
      <w:r>
        <w:rPr>
          <w:rFonts w:ascii="Times New Roman" w:hAnsi="Times New Roman" w:eastAsia="Times New Roman" w:cs="Times New Roman"/>
          <w:b/>
          <w:bCs/>
          <w:spacing w:val="-6"/>
          <w:sz w:val="30"/>
          <w:szCs w:val="30"/>
        </w:rPr>
        <w:t>8.2</w:t>
      </w:r>
      <w:r>
        <w:rPr>
          <w:rFonts w:ascii="Times New Roman" w:hAnsi="Times New Roman" w:eastAsia="Times New Roman" w:cs="Times New Roman"/>
          <w:b/>
          <w:bCs/>
          <w:spacing w:val="10"/>
          <w:sz w:val="30"/>
          <w:szCs w:val="30"/>
        </w:rPr>
        <w:t xml:space="preserve">  </w:t>
      </w:r>
      <w:r>
        <w:rPr>
          <w:rFonts w:ascii="FangSong_GB2312" w:hAnsi="FangSong_GB2312" w:eastAsia="FangSong_GB2312" w:cs="FangSong_GB2312"/>
          <w:b/>
          <w:bCs/>
          <w:spacing w:val="-6"/>
          <w:sz w:val="30"/>
          <w:szCs w:val="30"/>
        </w:rPr>
        <w:t>后续设计</w:t>
      </w:r>
    </w:p>
    <w:p w14:paraId="0B6A9E8D">
      <w:pPr>
        <w:pStyle w:val="2"/>
        <w:spacing w:line="355" w:lineRule="auto"/>
      </w:pPr>
    </w:p>
    <w:p w14:paraId="64615E60">
      <w:pPr>
        <w:spacing w:before="78" w:line="358" w:lineRule="auto"/>
        <w:ind w:left="10" w:firstLine="479"/>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本项目已完工，工程建设期间，主体工程设计单位</w:t>
      </w:r>
      <w:r>
        <w:rPr>
          <w:rFonts w:ascii="FangSong_GB2312" w:hAnsi="FangSong_GB2312" w:eastAsia="FangSong_GB2312" w:cs="FangSong_GB2312"/>
          <w:spacing w:val="-1"/>
          <w:sz w:val="24"/>
          <w:szCs w:val="24"/>
        </w:rPr>
        <w:t>已将排水设施、景观绿化等措</w:t>
      </w:r>
      <w:r>
        <w:rPr>
          <w:rFonts w:ascii="FangSong_GB2312" w:hAnsi="FangSong_GB2312" w:eastAsia="FangSong_GB2312" w:cs="FangSong_GB2312"/>
          <w:sz w:val="24"/>
          <w:szCs w:val="24"/>
        </w:rPr>
        <w:t>施纳入主体一并设计，且后续施工过程中基本未发生</w:t>
      </w:r>
      <w:r>
        <w:rPr>
          <w:rFonts w:ascii="FangSong_GB2312" w:hAnsi="FangSong_GB2312" w:eastAsia="FangSong_GB2312" w:cs="FangSong_GB2312"/>
          <w:spacing w:val="-1"/>
          <w:sz w:val="24"/>
          <w:szCs w:val="24"/>
        </w:rPr>
        <w:t>大的变更，现各项水土保持措施均已完成且运行良好，因此本方案不再提出后续设计要求。</w:t>
      </w:r>
    </w:p>
    <w:p w14:paraId="505C4E65">
      <w:pPr>
        <w:spacing w:before="272" w:line="215" w:lineRule="auto"/>
        <w:ind w:left="10"/>
        <w:outlineLvl w:val="1"/>
        <w:rPr>
          <w:rFonts w:ascii="FangSong_GB2312" w:hAnsi="FangSong_GB2312" w:eastAsia="FangSong_GB2312" w:cs="FangSong_GB2312"/>
          <w:sz w:val="30"/>
          <w:szCs w:val="30"/>
        </w:rPr>
      </w:pPr>
      <w:bookmarkStart w:id="98" w:name="bookmark84"/>
      <w:bookmarkEnd w:id="98"/>
      <w:bookmarkStart w:id="99" w:name="bookmark83"/>
      <w:bookmarkEnd w:id="99"/>
      <w:r>
        <w:rPr>
          <w:rFonts w:ascii="Times New Roman" w:hAnsi="Times New Roman" w:eastAsia="Times New Roman" w:cs="Times New Roman"/>
          <w:b/>
          <w:bCs/>
          <w:spacing w:val="-3"/>
          <w:sz w:val="30"/>
          <w:szCs w:val="30"/>
        </w:rPr>
        <w:t xml:space="preserve">8.3  </w:t>
      </w:r>
      <w:r>
        <w:rPr>
          <w:rFonts w:ascii="FangSong_GB2312" w:hAnsi="FangSong_GB2312" w:eastAsia="FangSong_GB2312" w:cs="FangSong_GB2312"/>
          <w:b/>
          <w:bCs/>
          <w:spacing w:val="-3"/>
          <w:sz w:val="30"/>
          <w:szCs w:val="30"/>
        </w:rPr>
        <w:t>水土保持监测</w:t>
      </w:r>
    </w:p>
    <w:p w14:paraId="13E91054">
      <w:pPr>
        <w:pStyle w:val="2"/>
        <w:spacing w:line="355" w:lineRule="auto"/>
      </w:pPr>
    </w:p>
    <w:p w14:paraId="77364849">
      <w:pPr>
        <w:spacing w:before="79" w:line="415" w:lineRule="auto"/>
        <w:ind w:left="8"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本项目已完工，因此不再对水土保持监测做出相关</w:t>
      </w:r>
      <w:r>
        <w:rPr>
          <w:rFonts w:ascii="FangSong_GB2312" w:hAnsi="FangSong_GB2312" w:eastAsia="FangSong_GB2312" w:cs="FangSong_GB2312"/>
          <w:spacing w:val="-1"/>
          <w:sz w:val="24"/>
          <w:szCs w:val="24"/>
        </w:rPr>
        <w:t>要求，经调查回顾，工程建设</w:t>
      </w:r>
      <w:r>
        <w:rPr>
          <w:rFonts w:ascii="FangSong_GB2312" w:hAnsi="FangSong_GB2312" w:eastAsia="FangSong_GB2312" w:cs="FangSong_GB2312"/>
          <w:sz w:val="24"/>
          <w:szCs w:val="24"/>
        </w:rPr>
        <w:t>期间未发生水土流失危害事件。建设期间采取了一些列临</w:t>
      </w:r>
      <w:r>
        <w:rPr>
          <w:rFonts w:ascii="FangSong_GB2312" w:hAnsi="FangSong_GB2312" w:eastAsia="FangSong_GB2312" w:cs="FangSong_GB2312"/>
          <w:spacing w:val="-1"/>
          <w:sz w:val="24"/>
          <w:szCs w:val="24"/>
        </w:rPr>
        <w:t>时防护措施减少施工造成的</w:t>
      </w:r>
      <w:r>
        <w:rPr>
          <w:rFonts w:ascii="FangSong_GB2312" w:hAnsi="FangSong_GB2312" w:eastAsia="FangSong_GB2312" w:cs="FangSong_GB2312"/>
          <w:spacing w:val="-2"/>
          <w:sz w:val="24"/>
          <w:szCs w:val="24"/>
        </w:rPr>
        <w:t>水土流失，</w:t>
      </w:r>
      <w:r>
        <w:rPr>
          <w:rFonts w:ascii="FangSong_GB2312" w:hAnsi="FangSong_GB2312" w:eastAsia="FangSong_GB2312" w:cs="FangSong_GB2312"/>
          <w:spacing w:val="-58"/>
          <w:sz w:val="24"/>
          <w:szCs w:val="24"/>
        </w:rPr>
        <w:t xml:space="preserve"> </w:t>
      </w:r>
      <w:r>
        <w:rPr>
          <w:rFonts w:ascii="FangSong_GB2312" w:hAnsi="FangSong_GB2312" w:eastAsia="FangSong_GB2312" w:cs="FangSong_GB2312"/>
          <w:spacing w:val="-2"/>
          <w:sz w:val="24"/>
          <w:szCs w:val="24"/>
        </w:rPr>
        <w:t>目前项目区内的排水设施、植被绿化等水土保持措施运行良好，能够起到</w:t>
      </w:r>
      <w:r>
        <w:rPr>
          <w:rFonts w:ascii="FangSong_GB2312" w:hAnsi="FangSong_GB2312" w:eastAsia="FangSong_GB2312" w:cs="FangSong_GB2312"/>
          <w:spacing w:val="-1"/>
          <w:sz w:val="24"/>
          <w:szCs w:val="24"/>
        </w:rPr>
        <w:t>较好的水土保持作用。</w:t>
      </w:r>
    </w:p>
    <w:p w14:paraId="2734E968">
      <w:pPr>
        <w:spacing w:before="267" w:line="215" w:lineRule="auto"/>
        <w:ind w:left="10"/>
        <w:outlineLvl w:val="1"/>
        <w:rPr>
          <w:rFonts w:ascii="FangSong_GB2312" w:hAnsi="FangSong_GB2312" w:eastAsia="FangSong_GB2312" w:cs="FangSong_GB2312"/>
          <w:sz w:val="30"/>
          <w:szCs w:val="30"/>
        </w:rPr>
      </w:pPr>
      <w:bookmarkStart w:id="100" w:name="bookmark86"/>
      <w:bookmarkEnd w:id="100"/>
      <w:bookmarkStart w:id="101" w:name="bookmark87"/>
      <w:bookmarkEnd w:id="101"/>
      <w:r>
        <w:rPr>
          <w:rFonts w:ascii="Times New Roman" w:hAnsi="Times New Roman" w:eastAsia="Times New Roman" w:cs="Times New Roman"/>
          <w:b/>
          <w:bCs/>
          <w:spacing w:val="-3"/>
          <w:sz w:val="30"/>
          <w:szCs w:val="30"/>
        </w:rPr>
        <w:t xml:space="preserve">8.4  </w:t>
      </w:r>
      <w:r>
        <w:rPr>
          <w:rFonts w:ascii="FangSong_GB2312" w:hAnsi="FangSong_GB2312" w:eastAsia="FangSong_GB2312" w:cs="FangSong_GB2312"/>
          <w:b/>
          <w:bCs/>
          <w:spacing w:val="-3"/>
          <w:sz w:val="30"/>
          <w:szCs w:val="30"/>
        </w:rPr>
        <w:t>水土保持监理</w:t>
      </w:r>
    </w:p>
    <w:p w14:paraId="12E7C41C">
      <w:pPr>
        <w:pStyle w:val="2"/>
        <w:spacing w:line="356" w:lineRule="auto"/>
      </w:pPr>
    </w:p>
    <w:p w14:paraId="7AF04F07">
      <w:pPr>
        <w:spacing w:before="79" w:line="358" w:lineRule="auto"/>
        <w:ind w:left="24" w:firstLine="464"/>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本项目已完工，由于工程投资较小，工程建设期间</w:t>
      </w:r>
      <w:r>
        <w:rPr>
          <w:rFonts w:ascii="FangSong_GB2312" w:hAnsi="FangSong_GB2312" w:eastAsia="FangSong_GB2312" w:cs="FangSong_GB2312"/>
          <w:spacing w:val="-1"/>
          <w:sz w:val="24"/>
          <w:szCs w:val="24"/>
        </w:rPr>
        <w:t>水土保持监理由主体工程监理一并实施，因此本方案不再提出水土保持监理</w:t>
      </w:r>
      <w:r>
        <w:rPr>
          <w:rFonts w:ascii="FangSong_GB2312" w:hAnsi="FangSong_GB2312" w:eastAsia="FangSong_GB2312" w:cs="FangSong_GB2312"/>
          <w:spacing w:val="-2"/>
          <w:sz w:val="24"/>
          <w:szCs w:val="24"/>
        </w:rPr>
        <w:t>要求。</w:t>
      </w:r>
    </w:p>
    <w:p w14:paraId="39452B49">
      <w:pPr>
        <w:spacing w:before="4" w:line="229" w:lineRule="auto"/>
        <w:ind w:left="5384"/>
        <w:rPr>
          <w:rFonts w:ascii="FangSong_GB2312" w:hAnsi="FangSong_GB2312" w:eastAsia="FangSong_GB2312" w:cs="FangSong_GB2312"/>
          <w:sz w:val="20"/>
          <w:szCs w:val="20"/>
        </w:rPr>
      </w:pPr>
      <w:r>
        <w:pict>
          <v:shape id="_x0000_s1101" o:spid="_x0000_s1101" o:spt="202" type="#_x0000_t202" style="position:absolute;left:0pt;margin-left:216.8pt;margin-top:-0.05pt;height:10.15pt;width:10.7pt;z-index:251776000;mso-width-relative:page;mso-height-relative:page;" filled="f" stroked="f" coordsize="21600,21600">
            <v:path/>
            <v:fill on="f" focussize="0,0"/>
            <v:stroke on="f"/>
            <v:imagedata o:title=""/>
            <o:lock v:ext="edit" aspectratio="f"/>
            <v:textbox inset="0mm,0mm,0mm,0mm">
              <w:txbxContent>
                <w:p w14:paraId="562108CD">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xbxContent>
            </v:textbox>
          </v:shape>
        </w:pict>
      </w:r>
      <w:r>
        <w:rPr>
          <w:rFonts w:ascii="FangSong_GB2312" w:hAnsi="FangSong_GB2312" w:eastAsia="FangSong_GB2312" w:cs="FangSong_GB2312"/>
          <w:spacing w:val="8"/>
          <w:sz w:val="20"/>
          <w:szCs w:val="20"/>
        </w:rPr>
        <w:t>剑阁县绿森林业勘察设计有限公司</w:t>
      </w:r>
    </w:p>
    <w:p w14:paraId="0B6C54EC">
      <w:pPr>
        <w:spacing w:line="229" w:lineRule="auto"/>
        <w:rPr>
          <w:rFonts w:ascii="FangSong_GB2312" w:hAnsi="FangSong_GB2312" w:eastAsia="FangSong_GB2312" w:cs="FangSong_GB2312"/>
          <w:sz w:val="20"/>
          <w:szCs w:val="20"/>
        </w:rPr>
        <w:sectPr>
          <w:headerReference r:id="rId76" w:type="default"/>
          <w:pgSz w:w="11906" w:h="16839"/>
          <w:pgMar w:top="1159" w:right="1514" w:bottom="400" w:left="1513" w:header="831" w:footer="0" w:gutter="0"/>
          <w:cols w:space="720" w:num="1"/>
        </w:sectPr>
      </w:pPr>
    </w:p>
    <w:p w14:paraId="1D8538DD">
      <w:pPr>
        <w:spacing w:before="214" w:line="215" w:lineRule="auto"/>
        <w:ind w:left="10"/>
        <w:outlineLvl w:val="1"/>
        <w:rPr>
          <w:rFonts w:ascii="FangSong_GB2312" w:hAnsi="FangSong_GB2312" w:eastAsia="FangSong_GB2312" w:cs="FangSong_GB2312"/>
          <w:sz w:val="30"/>
          <w:szCs w:val="30"/>
        </w:rPr>
      </w:pPr>
      <w:bookmarkStart w:id="102" w:name="bookmark88"/>
      <w:bookmarkEnd w:id="102"/>
      <w:bookmarkStart w:id="103" w:name="bookmark89"/>
      <w:bookmarkEnd w:id="103"/>
      <w:r>
        <w:rPr>
          <w:rFonts w:ascii="Times New Roman" w:hAnsi="Times New Roman" w:eastAsia="Times New Roman" w:cs="Times New Roman"/>
          <w:b/>
          <w:bCs/>
          <w:spacing w:val="-3"/>
          <w:sz w:val="30"/>
          <w:szCs w:val="30"/>
        </w:rPr>
        <w:t xml:space="preserve">8.5 </w:t>
      </w:r>
      <w:r>
        <w:rPr>
          <w:rFonts w:ascii="FangSong_GB2312" w:hAnsi="FangSong_GB2312" w:eastAsia="FangSong_GB2312" w:cs="FangSong_GB2312"/>
          <w:b/>
          <w:bCs/>
          <w:spacing w:val="-3"/>
          <w:sz w:val="30"/>
          <w:szCs w:val="30"/>
        </w:rPr>
        <w:t>水土保持施工</w:t>
      </w:r>
    </w:p>
    <w:p w14:paraId="06C29F00">
      <w:pPr>
        <w:pStyle w:val="2"/>
        <w:spacing w:line="353" w:lineRule="auto"/>
      </w:pPr>
    </w:p>
    <w:p w14:paraId="406A143E">
      <w:pPr>
        <w:spacing w:before="78" w:line="359" w:lineRule="auto"/>
        <w:ind w:left="10" w:right="60" w:firstLine="479"/>
        <w:rPr>
          <w:rFonts w:ascii="FangSong_GB2312" w:hAnsi="FangSong_GB2312" w:eastAsia="FangSong_GB2312" w:cs="FangSong_GB2312"/>
          <w:sz w:val="24"/>
          <w:szCs w:val="24"/>
        </w:rPr>
      </w:pPr>
      <w:r>
        <w:rPr>
          <w:rFonts w:ascii="FangSong_GB2312" w:hAnsi="FangSong_GB2312" w:eastAsia="FangSong_GB2312" w:cs="FangSong_GB2312"/>
          <w:sz w:val="24"/>
          <w:szCs w:val="24"/>
        </w:rPr>
        <w:t>本项目已完工，工程建设期间，建设单位已将水土</w:t>
      </w:r>
      <w:r>
        <w:rPr>
          <w:rFonts w:ascii="FangSong_GB2312" w:hAnsi="FangSong_GB2312" w:eastAsia="FangSong_GB2312" w:cs="FangSong_GB2312"/>
          <w:spacing w:val="-1"/>
          <w:sz w:val="24"/>
          <w:szCs w:val="24"/>
        </w:rPr>
        <w:t>保持施工纳入主体工程一并实施，施工单位同为主体工程施工单位。</w:t>
      </w:r>
    </w:p>
    <w:p w14:paraId="713D5A1B">
      <w:pPr>
        <w:spacing w:before="1" w:line="359" w:lineRule="auto"/>
        <w:ind w:left="7" w:right="60"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建设期间对场地建设范围进行了排水及绿化设施建设，</w:t>
      </w:r>
      <w:r>
        <w:rPr>
          <w:rFonts w:ascii="FangSong_GB2312" w:hAnsi="FangSong_GB2312" w:eastAsia="FangSong_GB2312" w:cs="FangSong_GB2312"/>
          <w:spacing w:val="-1"/>
          <w:sz w:val="24"/>
          <w:szCs w:val="24"/>
        </w:rPr>
        <w:t>并严格控制和管理了车辆</w:t>
      </w:r>
      <w:r>
        <w:rPr>
          <w:rFonts w:ascii="FangSong_GB2312" w:hAnsi="FangSong_GB2312" w:eastAsia="FangSong_GB2312" w:cs="FangSong_GB2312"/>
          <w:sz w:val="24"/>
          <w:szCs w:val="24"/>
        </w:rPr>
        <w:t>机械的运行范围，减少对周边环境的扰动；施工单位严格按</w:t>
      </w:r>
      <w:r>
        <w:rPr>
          <w:rFonts w:ascii="FangSong_GB2312" w:hAnsi="FangSong_GB2312" w:eastAsia="FangSong_GB2312" w:cs="FangSong_GB2312"/>
          <w:spacing w:val="-1"/>
          <w:sz w:val="24"/>
          <w:szCs w:val="24"/>
        </w:rPr>
        <w:t>照工程设计图纸和施工技</w:t>
      </w:r>
      <w:r>
        <w:rPr>
          <w:rFonts w:ascii="FangSong_GB2312" w:hAnsi="FangSong_GB2312" w:eastAsia="FangSong_GB2312" w:cs="FangSong_GB2312"/>
          <w:sz w:val="24"/>
          <w:szCs w:val="24"/>
        </w:rPr>
        <w:t>术要求进行施工，工程质量满足相关要求；现阶段所有水土</w:t>
      </w:r>
      <w:r>
        <w:rPr>
          <w:rFonts w:ascii="FangSong_GB2312" w:hAnsi="FangSong_GB2312" w:eastAsia="FangSong_GB2312" w:cs="FangSong_GB2312"/>
          <w:spacing w:val="-1"/>
          <w:sz w:val="24"/>
          <w:szCs w:val="24"/>
        </w:rPr>
        <w:t>保持措施均已完工且运行良好，因此本方案不再提出水土保持施工要求。</w:t>
      </w:r>
    </w:p>
    <w:p w14:paraId="4B25C7EB">
      <w:pPr>
        <w:spacing w:before="268" w:line="215" w:lineRule="auto"/>
        <w:ind w:left="10"/>
        <w:outlineLvl w:val="1"/>
        <w:rPr>
          <w:rFonts w:ascii="FangSong_GB2312" w:hAnsi="FangSong_GB2312" w:eastAsia="FangSong_GB2312" w:cs="FangSong_GB2312"/>
          <w:sz w:val="30"/>
          <w:szCs w:val="30"/>
        </w:rPr>
      </w:pPr>
      <w:bookmarkStart w:id="104" w:name="bookmark91"/>
      <w:bookmarkEnd w:id="104"/>
      <w:bookmarkStart w:id="105" w:name="bookmark90"/>
      <w:bookmarkEnd w:id="105"/>
      <w:r>
        <w:rPr>
          <w:rFonts w:ascii="Times New Roman" w:hAnsi="Times New Roman" w:eastAsia="Times New Roman" w:cs="Times New Roman"/>
          <w:b/>
          <w:bCs/>
          <w:spacing w:val="-3"/>
          <w:sz w:val="30"/>
          <w:szCs w:val="30"/>
        </w:rPr>
        <w:t xml:space="preserve">8.6  </w:t>
      </w:r>
      <w:r>
        <w:rPr>
          <w:rFonts w:ascii="FangSong_GB2312" w:hAnsi="FangSong_GB2312" w:eastAsia="FangSong_GB2312" w:cs="FangSong_GB2312"/>
          <w:b/>
          <w:bCs/>
          <w:spacing w:val="-3"/>
          <w:sz w:val="30"/>
          <w:szCs w:val="30"/>
        </w:rPr>
        <w:t>水土保持设施验收</w:t>
      </w:r>
    </w:p>
    <w:p w14:paraId="7747B482">
      <w:pPr>
        <w:pStyle w:val="2"/>
        <w:spacing w:line="355" w:lineRule="auto"/>
      </w:pPr>
    </w:p>
    <w:p w14:paraId="652B17A4">
      <w:pPr>
        <w:spacing w:before="79" w:line="359" w:lineRule="auto"/>
        <w:ind w:left="6" w:right="60"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根据《水利部关于加强事中事后监管规范生产建设项目水</w:t>
      </w:r>
      <w:r>
        <w:rPr>
          <w:rFonts w:ascii="FangSong_GB2312" w:hAnsi="FangSong_GB2312" w:eastAsia="FangSong_GB2312" w:cs="FangSong_GB2312"/>
          <w:spacing w:val="-1"/>
          <w:sz w:val="24"/>
          <w:szCs w:val="24"/>
        </w:rPr>
        <w:t>土保持设施自主验收的</w:t>
      </w:r>
      <w:r>
        <w:rPr>
          <w:rFonts w:ascii="FangSong_GB2312" w:hAnsi="FangSong_GB2312" w:eastAsia="FangSong_GB2312" w:cs="FangSong_GB2312"/>
          <w:spacing w:val="1"/>
          <w:sz w:val="24"/>
          <w:szCs w:val="24"/>
        </w:rPr>
        <w:t>通知》（水保</w:t>
      </w:r>
      <w:r>
        <w:rPr>
          <w:rFonts w:hint="eastAsia"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2017</w:t>
      </w:r>
      <w:r>
        <w:rPr>
          <w:rFonts w:hint="eastAsia" w:ascii="FangSong_GB2312" w:hAnsi="FangSong_GB2312" w:eastAsia="FangSong_GB2312" w:cs="FangSong_GB2312"/>
          <w:spacing w:val="1"/>
          <w:sz w:val="24"/>
          <w:szCs w:val="24"/>
        </w:rPr>
        <w:t>〕</w:t>
      </w:r>
      <w:r>
        <w:rPr>
          <w:rFonts w:ascii="Times New Roman" w:hAnsi="Times New Roman" w:eastAsia="Times New Roman" w:cs="Times New Roman"/>
          <w:spacing w:val="1"/>
          <w:sz w:val="24"/>
          <w:szCs w:val="24"/>
        </w:rPr>
        <w:t>365</w:t>
      </w:r>
      <w:r>
        <w:rPr>
          <w:rFonts w:ascii="Times New Roman" w:hAnsi="Times New Roman" w:eastAsia="Times New Roman" w:cs="Times New Roman"/>
          <w:spacing w:val="22"/>
          <w:w w:val="101"/>
          <w:sz w:val="24"/>
          <w:szCs w:val="24"/>
        </w:rPr>
        <w:t xml:space="preserve"> </w:t>
      </w:r>
      <w:r>
        <w:rPr>
          <w:rFonts w:ascii="FangSong_GB2312" w:hAnsi="FangSong_GB2312" w:eastAsia="FangSong_GB2312" w:cs="FangSong_GB2312"/>
          <w:spacing w:val="1"/>
          <w:sz w:val="24"/>
          <w:szCs w:val="24"/>
        </w:rPr>
        <w:t>号）、《生产建设项目水土</w:t>
      </w:r>
      <w:r>
        <w:rPr>
          <w:rFonts w:ascii="FangSong_GB2312" w:hAnsi="FangSong_GB2312" w:eastAsia="FangSong_GB2312" w:cs="FangSong_GB2312"/>
          <w:sz w:val="24"/>
          <w:szCs w:val="24"/>
        </w:rPr>
        <w:t>保持方案管理办法》（水利部</w:t>
      </w:r>
      <w:r>
        <w:rPr>
          <w:rFonts w:ascii="FangSong_GB2312" w:hAnsi="FangSong_GB2312" w:eastAsia="FangSong_GB2312" w:cs="FangSong_GB2312"/>
          <w:spacing w:val="1"/>
          <w:sz w:val="24"/>
          <w:szCs w:val="24"/>
        </w:rPr>
        <w:t>令第</w:t>
      </w:r>
      <w:r>
        <w:rPr>
          <w:rFonts w:ascii="FangSong_GB2312" w:hAnsi="FangSong_GB2312" w:eastAsia="FangSong_GB2312" w:cs="FangSong_GB2312"/>
          <w:spacing w:val="-46"/>
          <w:sz w:val="24"/>
          <w:szCs w:val="24"/>
        </w:rPr>
        <w:t xml:space="preserve"> </w:t>
      </w:r>
      <w:r>
        <w:rPr>
          <w:rFonts w:ascii="Times New Roman" w:hAnsi="Times New Roman" w:eastAsia="Times New Roman" w:cs="Times New Roman"/>
          <w:spacing w:val="1"/>
          <w:sz w:val="24"/>
          <w:szCs w:val="24"/>
        </w:rPr>
        <w:t>53</w:t>
      </w:r>
      <w:r>
        <w:rPr>
          <w:rFonts w:ascii="Times New Roman" w:hAnsi="Times New Roman" w:eastAsia="Times New Roman" w:cs="Times New Roman"/>
          <w:spacing w:val="24"/>
          <w:w w:val="101"/>
          <w:sz w:val="24"/>
          <w:szCs w:val="24"/>
        </w:rPr>
        <w:t xml:space="preserve"> </w:t>
      </w:r>
      <w:r>
        <w:rPr>
          <w:rFonts w:ascii="FangSong_GB2312" w:hAnsi="FangSong_GB2312" w:eastAsia="FangSong_GB2312" w:cs="FangSong_GB2312"/>
          <w:spacing w:val="1"/>
          <w:sz w:val="24"/>
          <w:szCs w:val="24"/>
        </w:rPr>
        <w:t>号</w:t>
      </w:r>
      <w:r>
        <w:rPr>
          <w:rFonts w:ascii="FangSong_GB2312" w:hAnsi="FangSong_GB2312" w:eastAsia="FangSong_GB2312" w:cs="FangSong_GB2312"/>
          <w:spacing w:val="18"/>
          <w:sz w:val="24"/>
          <w:szCs w:val="24"/>
        </w:rPr>
        <w:t>），</w:t>
      </w:r>
      <w:r>
        <w:rPr>
          <w:rFonts w:ascii="FangSong_GB2312" w:hAnsi="FangSong_GB2312" w:eastAsia="FangSong_GB2312" w:cs="FangSong_GB2312"/>
          <w:spacing w:val="1"/>
          <w:sz w:val="24"/>
          <w:szCs w:val="24"/>
        </w:rPr>
        <w:t>生产建设单位应按照有关要求委托具有独立承担民事责任能力且具有</w:t>
      </w:r>
      <w:r>
        <w:rPr>
          <w:rFonts w:ascii="FangSong_GB2312" w:hAnsi="FangSong_GB2312" w:eastAsia="FangSong_GB2312" w:cs="FangSong_GB2312"/>
          <w:spacing w:val="4"/>
          <w:sz w:val="24"/>
          <w:szCs w:val="24"/>
        </w:rPr>
        <w:t>相应水土保持技术条件的企业法人</w:t>
      </w:r>
      <w:r>
        <w:rPr>
          <w:rFonts w:ascii="Times New Roman" w:hAnsi="Times New Roman" w:eastAsia="Times New Roman" w:cs="Times New Roman"/>
          <w:spacing w:val="4"/>
          <w:sz w:val="24"/>
          <w:szCs w:val="24"/>
        </w:rPr>
        <w:t>/</w:t>
      </w:r>
      <w:r>
        <w:rPr>
          <w:rFonts w:ascii="FangSong_GB2312" w:hAnsi="FangSong_GB2312" w:eastAsia="FangSong_GB2312" w:cs="FangSong_GB2312"/>
          <w:spacing w:val="4"/>
          <w:sz w:val="24"/>
          <w:szCs w:val="24"/>
        </w:rPr>
        <w:t>事业单位法人或其他组织编制水土保持设施验收</w:t>
      </w:r>
      <w:r>
        <w:rPr>
          <w:rFonts w:ascii="FangSong_GB2312" w:hAnsi="FangSong_GB2312" w:eastAsia="FangSong_GB2312" w:cs="FangSong_GB2312"/>
          <w:spacing w:val="-1"/>
          <w:sz w:val="24"/>
          <w:szCs w:val="24"/>
        </w:rPr>
        <w:t>报告，承担生产建设项目水土保持方案技术评审。</w:t>
      </w:r>
    </w:p>
    <w:p w14:paraId="630F7E0D">
      <w:pPr>
        <w:spacing w:line="359" w:lineRule="auto"/>
        <w:ind w:left="6"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根据《水利部关于进一步深化</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放管服</w:t>
      </w:r>
      <w:r>
        <w:rPr>
          <w:rFonts w:ascii="Times New Roman" w:hAnsi="Times New Roman" w:eastAsia="Times New Roman" w:cs="Times New Roman"/>
          <w:sz w:val="24"/>
          <w:szCs w:val="24"/>
        </w:rPr>
        <w:t>”</w:t>
      </w:r>
      <w:r>
        <w:rPr>
          <w:rFonts w:ascii="FangSong_GB2312" w:hAnsi="FangSong_GB2312" w:eastAsia="FangSong_GB2312" w:cs="FangSong_GB2312"/>
          <w:sz w:val="24"/>
          <w:szCs w:val="24"/>
        </w:rPr>
        <w:t>改革全面加强水土保持监</w:t>
      </w:r>
      <w:r>
        <w:rPr>
          <w:rFonts w:ascii="FangSong_GB2312" w:hAnsi="FangSong_GB2312" w:eastAsia="FangSong_GB2312" w:cs="FangSong_GB2312"/>
          <w:spacing w:val="-1"/>
          <w:sz w:val="24"/>
          <w:szCs w:val="24"/>
        </w:rPr>
        <w:t>管的意见》（水</w:t>
      </w:r>
      <w:r>
        <w:rPr>
          <w:rFonts w:ascii="FangSong_GB2312" w:hAnsi="FangSong_GB2312" w:eastAsia="FangSong_GB2312" w:cs="FangSong_GB2312"/>
          <w:spacing w:val="-3"/>
          <w:sz w:val="24"/>
          <w:szCs w:val="24"/>
        </w:rPr>
        <w:t>保</w:t>
      </w:r>
      <w:r>
        <w:rPr>
          <w:rFonts w:hint="eastAsia"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2019</w:t>
      </w:r>
      <w:r>
        <w:rPr>
          <w:rFonts w:hint="eastAsia" w:ascii="FangSong_GB2312" w:hAnsi="FangSong_GB2312" w:eastAsia="FangSong_GB2312" w:cs="FangSong_GB2312"/>
          <w:spacing w:val="-3"/>
          <w:sz w:val="24"/>
          <w:szCs w:val="24"/>
        </w:rPr>
        <w:t>〕</w:t>
      </w:r>
      <w:r>
        <w:rPr>
          <w:rFonts w:ascii="Times New Roman" w:hAnsi="Times New Roman" w:eastAsia="Times New Roman" w:cs="Times New Roman"/>
          <w:spacing w:val="-3"/>
          <w:sz w:val="24"/>
          <w:szCs w:val="24"/>
        </w:rPr>
        <w:t>160</w:t>
      </w:r>
      <w:r>
        <w:rPr>
          <w:rFonts w:ascii="Times New Roman" w:hAnsi="Times New Roman" w:eastAsia="Times New Roman" w:cs="Times New Roman"/>
          <w:spacing w:val="20"/>
          <w:w w:val="101"/>
          <w:sz w:val="24"/>
          <w:szCs w:val="24"/>
        </w:rPr>
        <w:t xml:space="preserve"> </w:t>
      </w:r>
      <w:r>
        <w:rPr>
          <w:rFonts w:ascii="FangSong_GB2312" w:hAnsi="FangSong_GB2312" w:eastAsia="FangSong_GB2312" w:cs="FangSong_GB2312"/>
          <w:spacing w:val="-3"/>
          <w:sz w:val="24"/>
          <w:szCs w:val="24"/>
        </w:rPr>
        <w:t>号</w:t>
      </w:r>
      <w:r>
        <w:rPr>
          <w:rFonts w:ascii="FangSong_GB2312" w:hAnsi="FangSong_GB2312" w:eastAsia="FangSong_GB2312" w:cs="FangSong_GB2312"/>
          <w:spacing w:val="-8"/>
          <w:sz w:val="24"/>
          <w:szCs w:val="24"/>
        </w:rPr>
        <w:t>），</w:t>
      </w:r>
      <w:r>
        <w:rPr>
          <w:rFonts w:ascii="FangSong_GB2312" w:hAnsi="FangSong_GB2312" w:eastAsia="FangSong_GB2312" w:cs="FangSong_GB2312"/>
          <w:spacing w:val="-3"/>
          <w:sz w:val="24"/>
          <w:szCs w:val="24"/>
        </w:rPr>
        <w:t>水土保持设施验收材料完</w:t>
      </w:r>
      <w:r>
        <w:rPr>
          <w:rFonts w:ascii="FangSong_GB2312" w:hAnsi="FangSong_GB2312" w:eastAsia="FangSong_GB2312" w:cs="FangSong_GB2312"/>
          <w:spacing w:val="-4"/>
          <w:sz w:val="24"/>
          <w:szCs w:val="24"/>
        </w:rPr>
        <w:t>整、符合格式要求且已向社会公开的，</w:t>
      </w:r>
      <w:r>
        <w:rPr>
          <w:rFonts w:ascii="FangSong_GB2312" w:hAnsi="FangSong_GB2312" w:eastAsia="FangSong_GB2312" w:cs="FangSong_GB2312"/>
          <w:sz w:val="24"/>
          <w:szCs w:val="24"/>
        </w:rPr>
        <w:t>报水行政主管部门备案，水土保持设施自主验收报备应当提交</w:t>
      </w:r>
      <w:r>
        <w:rPr>
          <w:rFonts w:ascii="FangSong_GB2312" w:hAnsi="FangSong_GB2312" w:eastAsia="FangSong_GB2312" w:cs="FangSong_GB2312"/>
          <w:spacing w:val="-1"/>
          <w:sz w:val="24"/>
          <w:szCs w:val="24"/>
        </w:rPr>
        <w:t>水土保持设施验收鉴定</w:t>
      </w:r>
      <w:r>
        <w:rPr>
          <w:rFonts w:ascii="FangSong_GB2312" w:hAnsi="FangSong_GB2312" w:eastAsia="FangSong_GB2312" w:cs="FangSong_GB2312"/>
          <w:spacing w:val="-4"/>
          <w:sz w:val="24"/>
          <w:szCs w:val="24"/>
        </w:rPr>
        <w:t>书。</w:t>
      </w:r>
    </w:p>
    <w:p w14:paraId="66432345">
      <w:pPr>
        <w:spacing w:before="3" w:line="358" w:lineRule="auto"/>
        <w:ind w:left="8" w:right="60" w:firstLine="480"/>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水行政主管部门对本项目进行批复后，方案编制单位</w:t>
      </w:r>
      <w:r>
        <w:rPr>
          <w:rFonts w:ascii="FangSong_GB2312" w:hAnsi="FangSong_GB2312" w:eastAsia="FangSong_GB2312" w:cs="FangSong_GB2312"/>
          <w:spacing w:val="-1"/>
          <w:sz w:val="24"/>
          <w:szCs w:val="24"/>
        </w:rPr>
        <w:t>需将水土保持方案及时录入</w:t>
      </w:r>
      <w:r>
        <w:rPr>
          <w:rFonts w:ascii="FangSong_GB2312" w:hAnsi="FangSong_GB2312" w:eastAsia="FangSong_GB2312" w:cs="FangSong_GB2312"/>
          <w:sz w:val="24"/>
          <w:szCs w:val="24"/>
        </w:rPr>
        <w:t>水土保持监管系统。工程验收后，验收单位及时将水土保</w:t>
      </w:r>
      <w:r>
        <w:rPr>
          <w:rFonts w:ascii="FangSong_GB2312" w:hAnsi="FangSong_GB2312" w:eastAsia="FangSong_GB2312" w:cs="FangSong_GB2312"/>
          <w:spacing w:val="-1"/>
          <w:sz w:val="24"/>
          <w:szCs w:val="24"/>
        </w:rPr>
        <w:t>持设施验收鉴定书录入监管</w:t>
      </w:r>
      <w:r>
        <w:rPr>
          <w:rFonts w:ascii="FangSong_GB2312" w:hAnsi="FangSong_GB2312" w:eastAsia="FangSong_GB2312" w:cs="FangSong_GB2312"/>
          <w:spacing w:val="-3"/>
          <w:sz w:val="24"/>
          <w:szCs w:val="24"/>
        </w:rPr>
        <w:t>系统。</w:t>
      </w:r>
    </w:p>
    <w:p w14:paraId="38A48D2C">
      <w:pPr>
        <w:spacing w:before="2" w:line="359" w:lineRule="auto"/>
        <w:ind w:left="15" w:right="60" w:firstLine="466"/>
        <w:jc w:val="both"/>
        <w:rPr>
          <w:rFonts w:ascii="FangSong_GB2312" w:hAnsi="FangSong_GB2312" w:eastAsia="FangSong_GB2312" w:cs="FangSong_GB2312"/>
          <w:sz w:val="24"/>
          <w:szCs w:val="24"/>
        </w:rPr>
      </w:pPr>
      <w:r>
        <w:rPr>
          <w:rFonts w:ascii="FangSong_GB2312" w:hAnsi="FangSong_GB2312" w:eastAsia="FangSong_GB2312" w:cs="FangSong_GB2312"/>
          <w:sz w:val="24"/>
          <w:szCs w:val="24"/>
        </w:rPr>
        <w:t>信息管理：水行政主管部门对本项目进行批复后，方案编制单位需</w:t>
      </w:r>
      <w:r>
        <w:rPr>
          <w:rFonts w:ascii="FangSong_GB2312" w:hAnsi="FangSong_GB2312" w:eastAsia="FangSong_GB2312" w:cs="FangSong_GB2312"/>
          <w:spacing w:val="-1"/>
          <w:sz w:val="24"/>
          <w:szCs w:val="24"/>
        </w:rPr>
        <w:t>将水土保持方案及时录入水土保持监管系统。</w:t>
      </w:r>
      <w:bookmarkStart w:id="106" w:name="_GoBack"/>
      <w:bookmarkEnd w:id="106"/>
      <w:r>
        <w:rPr>
          <w:rFonts w:ascii="FangSong_GB2312" w:hAnsi="FangSong_GB2312" w:eastAsia="FangSong_GB2312" w:cs="FangSong_GB2312"/>
          <w:spacing w:val="-1"/>
          <w:sz w:val="24"/>
          <w:szCs w:val="24"/>
        </w:rPr>
        <w:t>工程验收后，验收单位及时将水土保持设施验收鉴定</w:t>
      </w:r>
      <w:r>
        <w:rPr>
          <w:rFonts w:ascii="FangSong_GB2312" w:hAnsi="FangSong_GB2312" w:eastAsia="FangSong_GB2312" w:cs="FangSong_GB2312"/>
          <w:spacing w:val="-2"/>
          <w:sz w:val="24"/>
          <w:szCs w:val="24"/>
        </w:rPr>
        <w:t>书录入监管系统。</w:t>
      </w:r>
    </w:p>
    <w:p w14:paraId="0AB3B152">
      <w:pPr>
        <w:pStyle w:val="2"/>
        <w:spacing w:line="251" w:lineRule="auto"/>
      </w:pPr>
    </w:p>
    <w:p w14:paraId="33355E88">
      <w:pPr>
        <w:pStyle w:val="2"/>
        <w:spacing w:line="251" w:lineRule="auto"/>
      </w:pPr>
    </w:p>
    <w:p w14:paraId="420B07F2">
      <w:pPr>
        <w:pStyle w:val="2"/>
        <w:spacing w:line="251" w:lineRule="auto"/>
      </w:pPr>
    </w:p>
    <w:p w14:paraId="4540BB25">
      <w:pPr>
        <w:pStyle w:val="2"/>
        <w:spacing w:line="251" w:lineRule="auto"/>
      </w:pPr>
    </w:p>
    <w:p w14:paraId="28A0B62C">
      <w:pPr>
        <w:pStyle w:val="2"/>
        <w:spacing w:line="251" w:lineRule="auto"/>
      </w:pPr>
    </w:p>
    <w:p w14:paraId="5E42837B">
      <w:pPr>
        <w:pStyle w:val="2"/>
        <w:spacing w:line="251" w:lineRule="auto"/>
      </w:pPr>
    </w:p>
    <w:p w14:paraId="748F9413">
      <w:pPr>
        <w:pStyle w:val="2"/>
        <w:spacing w:line="251" w:lineRule="auto"/>
      </w:pPr>
    </w:p>
    <w:p w14:paraId="3F4E36FC">
      <w:pPr>
        <w:pStyle w:val="2"/>
        <w:spacing w:line="251" w:lineRule="auto"/>
      </w:pPr>
    </w:p>
    <w:p w14:paraId="4B0BA7AC">
      <w:pPr>
        <w:pStyle w:val="2"/>
        <w:spacing w:line="251" w:lineRule="auto"/>
      </w:pPr>
    </w:p>
    <w:p w14:paraId="79F724C5">
      <w:pPr>
        <w:pStyle w:val="2"/>
        <w:spacing w:line="251" w:lineRule="auto"/>
      </w:pPr>
    </w:p>
    <w:p w14:paraId="469E08A1">
      <w:pPr>
        <w:pStyle w:val="2"/>
        <w:spacing w:line="251" w:lineRule="auto"/>
      </w:pPr>
    </w:p>
    <w:p w14:paraId="47EB9306">
      <w:pPr>
        <w:pStyle w:val="2"/>
        <w:spacing w:line="251" w:lineRule="auto"/>
      </w:pPr>
    </w:p>
    <w:p w14:paraId="71D817DC">
      <w:pPr>
        <w:pStyle w:val="2"/>
        <w:spacing w:line="251" w:lineRule="auto"/>
        <w:ind w:firstLine="4119" w:firstLineChars="1900"/>
        <w:sectPr>
          <w:headerReference r:id="rId77" w:type="default"/>
          <w:pgSz w:w="11906" w:h="16839"/>
          <w:pgMar w:top="1159" w:right="1453" w:bottom="400" w:left="1513" w:header="831" w:footer="0" w:gutter="0"/>
          <w:cols w:space="720" w:num="1"/>
        </w:sectPr>
      </w:pPr>
      <w:r>
        <w:rPr>
          <w:rFonts w:hint="eastAsia" w:ascii="FangSong_GB2312" w:hAnsi="FangSong_GB2312" w:eastAsia="FangSong_GB2312" w:cs="FangSong_GB2312"/>
          <w:b/>
          <w:bCs/>
          <w:spacing w:val="8"/>
          <w:sz w:val="20"/>
          <w:szCs w:val="20"/>
          <w:lang w:val="en-US" w:eastAsia="zh-CN"/>
        </w:rPr>
        <w:t xml:space="preserve">61             </w:t>
      </w:r>
      <w:r>
        <w:rPr>
          <w:rFonts w:ascii="FangSong_GB2312" w:hAnsi="FangSong_GB2312" w:eastAsia="FangSong_GB2312" w:cs="FangSong_GB2312"/>
          <w:spacing w:val="8"/>
          <w:sz w:val="20"/>
          <w:szCs w:val="20"/>
        </w:rPr>
        <w:t>剑阁县绿森林业勘察设计有限公司</w:t>
      </w:r>
    </w:p>
    <w:p w14:paraId="6E7378F0">
      <w:pPr>
        <w:pStyle w:val="2"/>
        <w:spacing w:line="251" w:lineRule="auto"/>
      </w:pPr>
    </w:p>
    <w:p w14:paraId="73F2F351">
      <w:pPr>
        <w:pStyle w:val="2"/>
        <w:spacing w:line="251" w:lineRule="auto"/>
        <w:jc w:val="center"/>
      </w:pPr>
      <w:r>
        <w:drawing>
          <wp:inline distT="0" distB="0" distL="114300" distR="114300">
            <wp:extent cx="4972050" cy="8058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6"/>
                    <a:stretch>
                      <a:fillRect/>
                    </a:stretch>
                  </pic:blipFill>
                  <pic:spPr>
                    <a:xfrm>
                      <a:off x="0" y="0"/>
                      <a:ext cx="4972050" cy="8058150"/>
                    </a:xfrm>
                    <a:prstGeom prst="rect">
                      <a:avLst/>
                    </a:prstGeom>
                    <a:noFill/>
                    <a:ln>
                      <a:noFill/>
                    </a:ln>
                  </pic:spPr>
                </pic:pic>
              </a:graphicData>
            </a:graphic>
          </wp:inline>
        </w:drawing>
      </w:r>
    </w:p>
    <w:p w14:paraId="62644ABB">
      <w:pPr>
        <w:pStyle w:val="2"/>
        <w:spacing w:line="251" w:lineRule="auto"/>
        <w:jc w:val="center"/>
      </w:pPr>
      <w:r>
        <w:drawing>
          <wp:inline distT="0" distB="0" distL="114300" distR="114300">
            <wp:extent cx="4962525" cy="625792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7"/>
                    <a:stretch>
                      <a:fillRect/>
                    </a:stretch>
                  </pic:blipFill>
                  <pic:spPr>
                    <a:xfrm>
                      <a:off x="0" y="0"/>
                      <a:ext cx="4962525" cy="6257925"/>
                    </a:xfrm>
                    <a:prstGeom prst="rect">
                      <a:avLst/>
                    </a:prstGeom>
                    <a:noFill/>
                    <a:ln>
                      <a:noFill/>
                    </a:ln>
                  </pic:spPr>
                </pic:pic>
              </a:graphicData>
            </a:graphic>
          </wp:inline>
        </w:drawing>
      </w:r>
    </w:p>
    <w:p w14:paraId="1355C41C">
      <w:pPr>
        <w:pStyle w:val="2"/>
        <w:spacing w:line="251" w:lineRule="auto"/>
      </w:pPr>
    </w:p>
    <w:p w14:paraId="7F4B1447">
      <w:pPr>
        <w:pStyle w:val="2"/>
        <w:spacing w:line="251" w:lineRule="auto"/>
      </w:pPr>
    </w:p>
    <w:p w14:paraId="021077D4">
      <w:pPr>
        <w:pStyle w:val="2"/>
        <w:spacing w:line="251" w:lineRule="auto"/>
      </w:pPr>
    </w:p>
    <w:p w14:paraId="0726567E">
      <w:pPr>
        <w:pStyle w:val="2"/>
        <w:spacing w:line="251" w:lineRule="auto"/>
      </w:pPr>
    </w:p>
    <w:p w14:paraId="1778425D">
      <w:pPr>
        <w:pStyle w:val="2"/>
        <w:spacing w:line="251" w:lineRule="auto"/>
      </w:pPr>
    </w:p>
    <w:p w14:paraId="67A743EE">
      <w:pPr>
        <w:pStyle w:val="2"/>
        <w:spacing w:line="251" w:lineRule="auto"/>
      </w:pPr>
    </w:p>
    <w:p w14:paraId="7733CFB6">
      <w:pPr>
        <w:spacing w:before="65" w:line="229" w:lineRule="auto"/>
        <w:ind w:left="5384"/>
        <w:rPr>
          <w:rFonts w:ascii="FangSong_GB2312" w:hAnsi="FangSong_GB2312" w:eastAsia="FangSong_GB2312" w:cs="FangSong_GB2312"/>
          <w:sz w:val="20"/>
          <w:szCs w:val="20"/>
        </w:rPr>
      </w:pPr>
    </w:p>
    <w:sectPr>
      <w:headerReference r:id="rId78" w:type="default"/>
      <w:pgSz w:w="11906" w:h="16839"/>
      <w:pgMar w:top="1159" w:right="1453" w:bottom="400" w:left="1513" w:header="831"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4BF69">
    <w:pPr>
      <w:spacing w:before="1" w:line="218" w:lineRule="auto"/>
      <w:ind w:left="3253"/>
      <w:rPr>
        <w:rFonts w:ascii="宋体" w:hAnsi="宋体" w:eastAsia="宋体" w:cs="宋体"/>
        <w:sz w:val="31"/>
        <w:szCs w:val="31"/>
      </w:rPr>
    </w:pPr>
    <w:r>
      <w:rPr>
        <w:rFonts w:ascii="Times New Roman" w:hAnsi="Times New Roman" w:eastAsia="Times New Roman" w:cs="Times New Roman"/>
        <w:spacing w:val="-3"/>
        <w:sz w:val="31"/>
        <w:szCs w:val="31"/>
      </w:rPr>
      <w:t>2025</w:t>
    </w:r>
    <w:r>
      <w:rPr>
        <w:rFonts w:ascii="Times New Roman" w:hAnsi="Times New Roman" w:eastAsia="Times New Roman" w:cs="Times New Roman"/>
        <w:spacing w:val="20"/>
        <w:w w:val="101"/>
        <w:sz w:val="31"/>
        <w:szCs w:val="31"/>
      </w:rPr>
      <w:t xml:space="preserve"> </w:t>
    </w:r>
    <w:r>
      <w:rPr>
        <w:rFonts w:ascii="宋体" w:hAnsi="宋体" w:eastAsia="宋体" w:cs="宋体"/>
        <w:spacing w:val="-3"/>
        <w:sz w:val="31"/>
        <w:szCs w:val="31"/>
      </w:rPr>
      <w:t>年</w:t>
    </w:r>
    <w:r>
      <w:rPr>
        <w:rFonts w:ascii="宋体" w:hAnsi="宋体" w:eastAsia="宋体" w:cs="宋体"/>
        <w:spacing w:val="-36"/>
        <w:sz w:val="31"/>
        <w:szCs w:val="31"/>
      </w:rPr>
      <w:t xml:space="preserve"> </w:t>
    </w:r>
    <w:r>
      <w:rPr>
        <w:rFonts w:ascii="Times New Roman" w:hAnsi="Times New Roman" w:eastAsia="Times New Roman" w:cs="Times New Roman"/>
        <w:spacing w:val="-3"/>
        <w:sz w:val="31"/>
        <w:szCs w:val="31"/>
      </w:rPr>
      <w:t>10</w:t>
    </w:r>
    <w:r>
      <w:rPr>
        <w:rFonts w:ascii="Times New Roman" w:hAnsi="Times New Roman" w:eastAsia="Times New Roman" w:cs="Times New Roman"/>
        <w:spacing w:val="20"/>
        <w:w w:val="101"/>
        <w:sz w:val="31"/>
        <w:szCs w:val="31"/>
      </w:rPr>
      <w:t xml:space="preserve"> </w:t>
    </w:r>
    <w:r>
      <w:rPr>
        <w:rFonts w:ascii="宋体" w:hAnsi="宋体" w:eastAsia="宋体" w:cs="宋体"/>
        <w:spacing w:val="-3"/>
        <w:sz w:val="31"/>
        <w:szCs w:val="31"/>
      </w:rPr>
      <w:t>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2E8BC">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FD4F0">
    <w:pPr>
      <w:spacing w:line="221" w:lineRule="auto"/>
      <w:jc w:val="right"/>
      <w:rPr>
        <w:rFonts w:ascii="仿宋" w:hAnsi="仿宋" w:eastAsia="仿宋" w:cs="仿宋"/>
        <w:sz w:val="20"/>
        <w:szCs w:val="20"/>
      </w:rPr>
    </w:pPr>
    <w:r>
      <w:rPr>
        <w:rFonts w:ascii="仿宋" w:hAnsi="仿宋" w:eastAsia="仿宋" w:cs="仿宋"/>
        <w:spacing w:val="8"/>
        <w:sz w:val="20"/>
        <w:szCs w:val="20"/>
      </w:rPr>
      <w:t>剑阁县绿森林业勘察设计有限公司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0F6A">
    <w:pPr>
      <w:spacing w:line="219" w:lineRule="auto"/>
      <w:ind w:left="6036"/>
      <w:rPr>
        <w:rFonts w:ascii="FangSong_GB2312" w:hAnsi="FangSong_GB2312" w:eastAsia="FangSong_GB2312" w:cs="FangSong_GB2312"/>
        <w:sz w:val="20"/>
        <w:szCs w:val="20"/>
      </w:rPr>
    </w:pPr>
    <w:r>
      <w:rPr>
        <w:rFonts w:ascii="FangSong_GB2312" w:hAnsi="FangSong_GB2312" w:eastAsia="FangSong_GB2312" w:cs="FangSong_GB2312"/>
        <w:spacing w:val="8"/>
        <w:sz w:val="20"/>
        <w:szCs w:val="20"/>
      </w:rPr>
      <w:t>剑阁县绿森林业勘察设计有限公司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1882E">
    <w:pPr>
      <w:spacing w:line="173" w:lineRule="auto"/>
      <w:ind w:left="4509"/>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CAAE0">
    <w:pPr>
      <w:spacing w:line="173" w:lineRule="auto"/>
      <w:ind w:left="447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F1FCC">
    <w:pPr>
      <w:spacing w:line="173" w:lineRule="auto"/>
      <w:ind w:left="44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31687">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AE757">
    <w:pPr>
      <w:spacing w:before="48" w:line="214" w:lineRule="auto"/>
      <w:ind w:left="2202"/>
      <w:rPr>
        <w:rFonts w:ascii="FangSong_GB2312" w:hAnsi="FangSong_GB2312" w:eastAsia="FangSong_GB2312" w:cs="FangSong_GB2312"/>
        <w:sz w:val="18"/>
        <w:szCs w:val="18"/>
      </w:rPr>
    </w:pPr>
    <w:r>
      <w:pict>
        <v:shape id="_x0000_s2049" o:spid="_x0000_s2049" style="position:absolute;left:0pt;margin-left:73.7pt;margin-top:55.2pt;height:0.75pt;width:447.9pt;mso-position-horizontal-relative:page;mso-position-vertical-relative:page;z-index:251659264;mso-width-relative:page;mso-height-relative:page;" fillcolor="#000000" filled="t" stroked="f" coordsize="8957,15" o:allowincell="f" path="m0,0l8957,0,8957,14,0,14,0,0xe">
          <v:path/>
          <v:fill on="t" focussize="0,0"/>
          <v:stroke on="f"/>
          <v:imagedata o:title=""/>
          <o:lock v:ext="edit"/>
        </v:shape>
      </w:pict>
    </w:r>
    <w:r>
      <w:rPr>
        <w:rFonts w:ascii="FangSong_GB2312" w:hAnsi="FangSong_GB2312" w:eastAsia="FangSong_GB2312" w:cs="FangSong_GB2312"/>
        <w:spacing w:val="-1"/>
        <w:sz w:val="18"/>
        <w:szCs w:val="18"/>
      </w:rPr>
      <w:t>剑阁县义兴镇干部职工周转房建设项目水土保持方案报告表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77873">
    <w:pPr>
      <w:spacing w:before="46" w:line="221" w:lineRule="auto"/>
      <w:ind w:left="4030"/>
      <w:rPr>
        <w:rFonts w:ascii="FangSong_GB2312" w:hAnsi="FangSong_GB2312" w:eastAsia="FangSong_GB2312" w:cs="FangSong_GB2312"/>
        <w:sz w:val="18"/>
        <w:szCs w:val="18"/>
      </w:rPr>
    </w:pPr>
    <w:r>
      <w:pict>
        <v:shape id="_x0000_s2057" o:spid="_x0000_s2057" style="position:absolute;left:0pt;margin-left:75.7pt;margin-top:55.2pt;height:0.75pt;width:443.9pt;mso-position-horizontal-relative:page;mso-position-vertical-relative:page;z-index:251668480;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2CF4">
    <w:pPr>
      <w:spacing w:before="46" w:line="221" w:lineRule="auto"/>
      <w:ind w:left="4030"/>
      <w:rPr>
        <w:rFonts w:ascii="FangSong_GB2312" w:hAnsi="FangSong_GB2312" w:eastAsia="FangSong_GB2312" w:cs="FangSong_GB2312"/>
        <w:sz w:val="18"/>
        <w:szCs w:val="18"/>
      </w:rPr>
    </w:pPr>
    <w:r>
      <w:pict>
        <v:shape id="_x0000_s2058" o:spid="_x0000_s2058" style="position:absolute;left:0pt;margin-left:75.7pt;margin-top:55.2pt;height:0.75pt;width:443.9pt;mso-position-horizontal-relative:page;mso-position-vertical-relative:page;z-index:25166950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C452">
    <w:pPr>
      <w:spacing w:before="46" w:line="221" w:lineRule="auto"/>
      <w:ind w:left="4030"/>
      <w:rPr>
        <w:rFonts w:ascii="FangSong_GB2312" w:hAnsi="FangSong_GB2312" w:eastAsia="FangSong_GB2312" w:cs="FangSong_GB2312"/>
        <w:sz w:val="18"/>
        <w:szCs w:val="18"/>
      </w:rPr>
    </w:pPr>
    <w:r>
      <w:pict>
        <v:shape id="_x0000_s2059" o:spid="_x0000_s2059" style="position:absolute;left:0pt;margin-left:75.7pt;margin-top:55.2pt;height:0.75pt;width:443.9pt;mso-position-horizontal-relative:page;mso-position-vertical-relative:page;z-index:251670528;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CD1AA">
    <w:pPr>
      <w:spacing w:before="46" w:line="221" w:lineRule="auto"/>
      <w:ind w:left="4030"/>
      <w:rPr>
        <w:rFonts w:ascii="FangSong_GB2312" w:hAnsi="FangSong_GB2312" w:eastAsia="FangSong_GB2312" w:cs="FangSong_GB2312"/>
        <w:sz w:val="18"/>
        <w:szCs w:val="18"/>
      </w:rPr>
    </w:pPr>
    <w:r>
      <w:pict>
        <v:shape id="_x0000_s2060" o:spid="_x0000_s2060" style="position:absolute;left:0pt;margin-left:75.7pt;margin-top:55.2pt;height:0.75pt;width:443.9pt;mso-position-horizontal-relative:page;mso-position-vertical-relative:page;z-index:25167155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F4014">
    <w:pPr>
      <w:spacing w:before="46" w:line="221" w:lineRule="auto"/>
      <w:ind w:left="4062"/>
      <w:rPr>
        <w:rFonts w:ascii="FangSong_GB2312" w:hAnsi="FangSong_GB2312" w:eastAsia="FangSong_GB2312" w:cs="FangSong_GB2312"/>
        <w:sz w:val="18"/>
        <w:szCs w:val="18"/>
      </w:rPr>
    </w:pPr>
    <w:r>
      <w:pict>
        <v:shape id="_x0000_s2061" o:spid="_x0000_s2061" style="position:absolute;left:0pt;margin-left:75.7pt;margin-top:55.2pt;height:0.75pt;width:443.9pt;mso-position-horizontal-relative:page;mso-position-vertical-relative:page;z-index:25167257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A1CBE">
    <w:pPr>
      <w:spacing w:before="46" w:line="221" w:lineRule="auto"/>
      <w:ind w:left="4030"/>
      <w:rPr>
        <w:rFonts w:ascii="FangSong_GB2312" w:hAnsi="FangSong_GB2312" w:eastAsia="FangSong_GB2312" w:cs="FangSong_GB2312"/>
        <w:sz w:val="18"/>
        <w:szCs w:val="18"/>
      </w:rPr>
    </w:pPr>
    <w:r>
      <w:pict>
        <v:shape id="_x0000_s2062" o:spid="_x0000_s2062" style="position:absolute;left:0pt;margin-left:75.7pt;margin-top:55.2pt;height:0.75pt;width:443.9pt;mso-position-horizontal-relative:page;mso-position-vertical-relative:page;z-index:25167155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5A9D6">
    <w:pPr>
      <w:spacing w:before="46" w:line="221" w:lineRule="auto"/>
      <w:ind w:left="4030"/>
      <w:rPr>
        <w:rFonts w:ascii="FangSong_GB2312" w:hAnsi="FangSong_GB2312" w:eastAsia="FangSong_GB2312" w:cs="FangSong_GB2312"/>
        <w:sz w:val="18"/>
        <w:szCs w:val="18"/>
      </w:rPr>
    </w:pPr>
    <w:r>
      <w:pict>
        <v:shape id="_x0000_s2063" o:spid="_x0000_s2063" style="position:absolute;left:0pt;margin-left:75.7pt;margin-top:55.2pt;height:0.75pt;width:443.9pt;mso-position-horizontal-relative:page;mso-position-vertical-relative:page;z-index:25167462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1BDD9">
    <w:pPr>
      <w:spacing w:before="46" w:line="221" w:lineRule="auto"/>
      <w:ind w:left="6807"/>
      <w:rPr>
        <w:rFonts w:ascii="FangSong_GB2312" w:hAnsi="FangSong_GB2312" w:eastAsia="FangSong_GB2312" w:cs="FangSong_GB2312"/>
        <w:sz w:val="18"/>
        <w:szCs w:val="18"/>
      </w:rPr>
    </w:pPr>
    <w:r>
      <w:pict>
        <v:shape id="_x0000_s2064" o:spid="_x0000_s2064" style="position:absolute;left:0pt;margin-left:66.35pt;margin-top:55.2pt;height:0.75pt;width:709.25pt;mso-position-horizontal-relative:page;mso-position-vertical-relative:page;z-index:251675648;mso-width-relative:page;mso-height-relative:page;" fillcolor="#000000" filled="t" stroked="f" coordsize="14185,15" o:allowincell="f" path="m0,0l14184,0,14184,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0DBD">
    <w:pPr>
      <w:spacing w:before="46" w:line="221" w:lineRule="auto"/>
      <w:ind w:left="4030"/>
      <w:rPr>
        <w:rFonts w:ascii="FangSong_GB2312" w:hAnsi="FangSong_GB2312" w:eastAsia="FangSong_GB2312" w:cs="FangSong_GB2312"/>
        <w:sz w:val="18"/>
        <w:szCs w:val="18"/>
      </w:rPr>
    </w:pPr>
    <w:r>
      <w:pict>
        <v:shape id="_x0000_s2065" o:spid="_x0000_s2065" style="position:absolute;left:0pt;margin-left:75.7pt;margin-top:55.2pt;height:0.75pt;width:443.9pt;mso-position-horizontal-relative:page;mso-position-vertical-relative:page;z-index:25166643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0D9B5">
    <w:pPr>
      <w:spacing w:before="46" w:line="221" w:lineRule="auto"/>
      <w:ind w:left="4030"/>
      <w:rPr>
        <w:rFonts w:ascii="FangSong_GB2312" w:hAnsi="FangSong_GB2312" w:eastAsia="FangSong_GB2312" w:cs="FangSong_GB2312"/>
        <w:sz w:val="18"/>
        <w:szCs w:val="18"/>
      </w:rPr>
    </w:pPr>
    <w:r>
      <w:pict>
        <v:shape id="_x0000_s2066" o:spid="_x0000_s2066" style="position:absolute;left:0pt;margin-left:75.7pt;margin-top:55.2pt;height:0.75pt;width:443.9pt;mso-position-horizontal-relative:page;mso-position-vertical-relative:page;z-index:25166745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4A6C2">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06F40">
    <w:pPr>
      <w:spacing w:before="46" w:line="221" w:lineRule="auto"/>
      <w:ind w:left="4030"/>
      <w:rPr>
        <w:rFonts w:ascii="FangSong_GB2312" w:hAnsi="FangSong_GB2312" w:eastAsia="FangSong_GB2312" w:cs="FangSong_GB2312"/>
        <w:sz w:val="18"/>
        <w:szCs w:val="18"/>
      </w:rPr>
    </w:pPr>
    <w:r>
      <w:pict>
        <v:shape id="_x0000_s2067" o:spid="_x0000_s2067" style="position:absolute;left:0pt;margin-left:75.7pt;margin-top:55.2pt;height:0.75pt;width:443.9pt;mso-position-horizontal-relative:page;mso-position-vertical-relative:page;z-index:25167155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F1125">
    <w:pPr>
      <w:spacing w:before="46" w:line="221" w:lineRule="auto"/>
      <w:ind w:left="4019"/>
      <w:rPr>
        <w:rFonts w:ascii="FangSong_GB2312" w:hAnsi="FangSong_GB2312" w:eastAsia="FangSong_GB2312" w:cs="FangSong_GB2312"/>
        <w:sz w:val="18"/>
        <w:szCs w:val="18"/>
      </w:rPr>
    </w:pPr>
    <w:r>
      <w:pict>
        <v:shape id="_x0000_s2068" o:spid="_x0000_s2068" style="position:absolute;left:0pt;margin-left:75.7pt;margin-top:55.2pt;height:0.75pt;width:443.9pt;mso-position-horizontal-relative:page;mso-position-vertical-relative:page;z-index:25167769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A4998">
    <w:pPr>
      <w:spacing w:before="46" w:line="221" w:lineRule="auto"/>
      <w:ind w:left="4141"/>
      <w:rPr>
        <w:rFonts w:ascii="FangSong_GB2312" w:hAnsi="FangSong_GB2312" w:eastAsia="FangSong_GB2312" w:cs="FangSong_GB2312"/>
        <w:sz w:val="18"/>
        <w:szCs w:val="18"/>
      </w:rPr>
    </w:pPr>
    <w:r>
      <w:pict>
        <v:shape id="_x0000_s2069" o:spid="_x0000_s2069" style="position:absolute;left:0pt;margin-left:75.7pt;margin-top:55.2pt;height:0.75pt;width:443.9pt;mso-position-horizontal-relative:page;mso-position-vertical-relative:page;z-index:251678720;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C163D">
    <w:pPr>
      <w:spacing w:before="46" w:line="221" w:lineRule="auto"/>
      <w:ind w:left="4019"/>
      <w:rPr>
        <w:rFonts w:ascii="FangSong_GB2312" w:hAnsi="FangSong_GB2312" w:eastAsia="FangSong_GB2312" w:cs="FangSong_GB2312"/>
        <w:sz w:val="18"/>
        <w:szCs w:val="18"/>
      </w:rPr>
    </w:pPr>
    <w:r>
      <w:pict>
        <v:shape id="_x0000_s2070" o:spid="_x0000_s2070" style="position:absolute;left:0pt;margin-left:75.7pt;margin-top:55.2pt;height:0.75pt;width:443.9pt;mso-position-horizontal-relative:page;mso-position-vertical-relative:page;z-index:25167974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C35BB">
    <w:pPr>
      <w:spacing w:before="46" w:line="221" w:lineRule="auto"/>
      <w:ind w:left="4048"/>
      <w:rPr>
        <w:rFonts w:ascii="FangSong_GB2312" w:hAnsi="FangSong_GB2312" w:eastAsia="FangSong_GB2312" w:cs="FangSong_GB2312"/>
        <w:sz w:val="18"/>
        <w:szCs w:val="18"/>
      </w:rPr>
    </w:pPr>
    <w:r>
      <w:pict>
        <v:shape id="_x0000_s2071" o:spid="_x0000_s2071" style="position:absolute;left:0pt;margin-left:75.7pt;margin-top:55.2pt;height:0.75pt;width:443.9pt;mso-position-horizontal-relative:page;mso-position-vertical-relative:page;z-index:251680768;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89D10">
    <w:pPr>
      <w:spacing w:before="46" w:line="221" w:lineRule="auto"/>
      <w:ind w:left="4141"/>
      <w:rPr>
        <w:rFonts w:ascii="FangSong_GB2312" w:hAnsi="FangSong_GB2312" w:eastAsia="FangSong_GB2312" w:cs="FangSong_GB2312"/>
        <w:sz w:val="18"/>
        <w:szCs w:val="18"/>
      </w:rPr>
    </w:pPr>
    <w:r>
      <w:pict>
        <v:shape id="_x0000_s2072" o:spid="_x0000_s2072" style="position:absolute;left:0pt;margin-left:75.7pt;margin-top:55.2pt;height:0.75pt;width:443.9pt;mso-position-horizontal-relative:page;mso-position-vertical-relative:page;z-index:25168179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D6661">
    <w:pPr>
      <w:spacing w:before="46" w:line="221" w:lineRule="auto"/>
      <w:ind w:left="4019"/>
      <w:rPr>
        <w:rFonts w:ascii="FangSong_GB2312" w:hAnsi="FangSong_GB2312" w:eastAsia="FangSong_GB2312" w:cs="FangSong_GB2312"/>
        <w:sz w:val="18"/>
        <w:szCs w:val="18"/>
      </w:rPr>
    </w:pPr>
    <w:r>
      <w:pict>
        <v:shape id="_x0000_s2073" o:spid="_x0000_s2073" style="position:absolute;left:0pt;margin-left:75.7pt;margin-top:55.2pt;height:0.75pt;width:443.9pt;mso-position-horizontal-relative:page;mso-position-vertical-relative:page;z-index:25167974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DB5F2">
    <w:pPr>
      <w:spacing w:before="46" w:line="221" w:lineRule="auto"/>
      <w:ind w:left="4019"/>
      <w:rPr>
        <w:rFonts w:ascii="FangSong_GB2312" w:hAnsi="FangSong_GB2312" w:eastAsia="FangSong_GB2312" w:cs="FangSong_GB2312"/>
        <w:sz w:val="18"/>
        <w:szCs w:val="18"/>
      </w:rPr>
    </w:pPr>
    <w:r>
      <w:pict>
        <v:shape id="_x0000_s2074" o:spid="_x0000_s2074" style="position:absolute;left:0pt;margin-left:75.7pt;margin-top:55.2pt;height:0.75pt;width:443.9pt;mso-position-horizontal-relative:page;mso-position-vertical-relative:page;z-index:25168281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9169">
    <w:pPr>
      <w:spacing w:before="46" w:line="221" w:lineRule="auto"/>
      <w:ind w:left="4141"/>
      <w:rPr>
        <w:rFonts w:ascii="FangSong_GB2312" w:hAnsi="FangSong_GB2312" w:eastAsia="FangSong_GB2312" w:cs="FangSong_GB2312"/>
        <w:sz w:val="18"/>
        <w:szCs w:val="18"/>
      </w:rPr>
    </w:pPr>
    <w:r>
      <w:pict>
        <v:shape id="_x0000_s2075" o:spid="_x0000_s2075" style="position:absolute;left:0pt;margin-left:75.7pt;margin-top:55.2pt;height:0.75pt;width:443.9pt;mso-position-horizontal-relative:page;mso-position-vertical-relative:page;z-index:251683840;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8B97">
    <w:pPr>
      <w:spacing w:before="46" w:line="221" w:lineRule="auto"/>
      <w:ind w:left="4141"/>
      <w:rPr>
        <w:rFonts w:ascii="FangSong_GB2312" w:hAnsi="FangSong_GB2312" w:eastAsia="FangSong_GB2312" w:cs="FangSong_GB2312"/>
        <w:sz w:val="18"/>
        <w:szCs w:val="18"/>
      </w:rPr>
    </w:pPr>
    <w:r>
      <w:pict>
        <v:shape id="_x0000_s2076" o:spid="_x0000_s2076" style="position:absolute;left:0pt;margin-left:75.7pt;margin-top:55.2pt;height:0.75pt;width:443.9pt;mso-position-horizontal-relative:page;mso-position-vertical-relative:page;z-index:25168486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C3D8E">
    <w:pPr>
      <w:spacing w:before="48" w:line="214" w:lineRule="auto"/>
      <w:ind w:left="2305"/>
      <w:rPr>
        <w:rFonts w:ascii="FangSong_GB2312" w:hAnsi="FangSong_GB2312" w:eastAsia="FangSong_GB2312" w:cs="FangSong_GB2312"/>
        <w:sz w:val="18"/>
        <w:szCs w:val="18"/>
      </w:rPr>
    </w:pPr>
    <w:r>
      <w:pict>
        <v:shape id="_x0000_s2050" o:spid="_x0000_s2050" style="position:absolute;left:0pt;margin-left:70.9pt;margin-top:55.2pt;height:0.75pt;width:453.55pt;mso-position-horizontal-relative:page;mso-position-vertical-relative:page;z-index:251661312;mso-width-relative:page;mso-height-relative:page;" fillcolor="#000000" filled="t" stroked="f" coordsize="9070,15" o:allowincell="f" path="m0,0l9070,0,9070,14,0,14,0,0xe">
          <v:path/>
          <v:fill on="t" focussize="0,0"/>
          <v:stroke on="f"/>
          <v:imagedata o:title=""/>
          <o:lock v:ext="edit"/>
        </v:shape>
      </w:pict>
    </w:r>
    <w:r>
      <w:rPr>
        <w:rFonts w:ascii="FangSong_GB2312" w:hAnsi="FangSong_GB2312" w:eastAsia="FangSong_GB2312" w:cs="FangSong_GB2312"/>
        <w:spacing w:val="-1"/>
        <w:sz w:val="18"/>
        <w:szCs w:val="18"/>
      </w:rPr>
      <w:t>剑阁县义兴镇干部职工周转房建设项目水土保持方案报告表</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68AAA">
    <w:pPr>
      <w:spacing w:before="46" w:line="221" w:lineRule="auto"/>
      <w:ind w:left="4019"/>
      <w:rPr>
        <w:rFonts w:ascii="FangSong_GB2312" w:hAnsi="FangSong_GB2312" w:eastAsia="FangSong_GB2312" w:cs="FangSong_GB2312"/>
        <w:sz w:val="18"/>
        <w:szCs w:val="18"/>
      </w:rPr>
    </w:pPr>
    <w:r>
      <w:pict>
        <v:shape id="_x0000_s2077" o:spid="_x0000_s2077" style="position:absolute;left:0pt;margin-left:75.7pt;margin-top:55.2pt;height:0.75pt;width:443.9pt;mso-position-horizontal-relative:page;mso-position-vertical-relative:page;z-index:25168281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5"/>
        <w:sz w:val="18"/>
        <w:szCs w:val="18"/>
      </w:rPr>
      <w:t>2</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5"/>
        <w:sz w:val="18"/>
        <w:szCs w:val="18"/>
      </w:rPr>
      <w:t>项目概况</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E21EE">
    <w:pPr>
      <w:spacing w:before="46" w:line="220" w:lineRule="auto"/>
      <w:ind w:left="3672"/>
      <w:rPr>
        <w:rFonts w:ascii="FangSong_GB2312" w:hAnsi="FangSong_GB2312" w:eastAsia="FangSong_GB2312" w:cs="FangSong_GB2312"/>
        <w:sz w:val="18"/>
        <w:szCs w:val="18"/>
      </w:rPr>
    </w:pPr>
    <w:r>
      <w:pict>
        <v:shape id="_x0000_s2078" o:spid="_x0000_s2078" style="position:absolute;left:0pt;margin-left:75.7pt;margin-top:55.2pt;height:0.75pt;width:443.9pt;mso-position-horizontal-relative:page;mso-position-vertical-relative:page;z-index:251685888;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6F029">
    <w:pPr>
      <w:spacing w:before="46" w:line="220" w:lineRule="auto"/>
      <w:ind w:left="3781"/>
      <w:rPr>
        <w:rFonts w:ascii="FangSong_GB2312" w:hAnsi="FangSong_GB2312" w:eastAsia="FangSong_GB2312" w:cs="FangSong_GB2312"/>
        <w:sz w:val="18"/>
        <w:szCs w:val="18"/>
      </w:rPr>
    </w:pPr>
    <w:r>
      <w:pict>
        <v:shape id="_x0000_s2079" o:spid="_x0000_s2079" style="position:absolute;left:0pt;margin-left:75.7pt;margin-top:55.2pt;height:0.75pt;width:443.9pt;mso-position-horizontal-relative:page;mso-position-vertical-relative:page;z-index:25168691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66B9D">
    <w:pPr>
      <w:spacing w:before="46" w:line="220" w:lineRule="auto"/>
      <w:ind w:left="3677"/>
      <w:rPr>
        <w:rFonts w:ascii="FangSong_GB2312" w:hAnsi="FangSong_GB2312" w:eastAsia="FangSong_GB2312" w:cs="FangSong_GB2312"/>
        <w:sz w:val="18"/>
        <w:szCs w:val="18"/>
      </w:rPr>
    </w:pPr>
    <w:r>
      <w:pict>
        <v:shape id="_x0000_s2080" o:spid="_x0000_s2080" style="position:absolute;left:0pt;margin-left:75.7pt;margin-top:55.2pt;height:0.75pt;width:443.9pt;mso-position-horizontal-relative:page;mso-position-vertical-relative:page;z-index:25168793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1348">
    <w:pPr>
      <w:spacing w:before="46" w:line="220" w:lineRule="auto"/>
      <w:ind w:left="3660"/>
      <w:rPr>
        <w:rFonts w:ascii="FangSong_GB2312" w:hAnsi="FangSong_GB2312" w:eastAsia="FangSong_GB2312" w:cs="FangSong_GB2312"/>
        <w:sz w:val="18"/>
        <w:szCs w:val="18"/>
      </w:rPr>
    </w:pPr>
    <w:r>
      <w:pict>
        <v:shape id="_x0000_s2081" o:spid="_x0000_s2081" style="position:absolute;left:0pt;margin-left:75.7pt;margin-top:55.2pt;height:0.75pt;width:443.9pt;mso-position-horizontal-relative:page;mso-position-vertical-relative:page;z-index:251688960;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1B7C6">
    <w:pPr>
      <w:spacing w:before="46" w:line="220" w:lineRule="auto"/>
      <w:ind w:left="3660"/>
      <w:rPr>
        <w:rFonts w:ascii="FangSong_GB2312" w:hAnsi="FangSong_GB2312" w:eastAsia="FangSong_GB2312" w:cs="FangSong_GB2312"/>
        <w:sz w:val="18"/>
        <w:szCs w:val="18"/>
      </w:rPr>
    </w:pPr>
    <w:r>
      <w:pict>
        <v:shape id="_x0000_s2082" o:spid="_x0000_s2082" style="position:absolute;left:0pt;margin-left:75.7pt;margin-top:55.2pt;height:0.75pt;width:443.9pt;mso-position-horizontal-relative:page;mso-position-vertical-relative:page;z-index:25168998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5C799">
    <w:pPr>
      <w:spacing w:before="46" w:line="220" w:lineRule="auto"/>
      <w:ind w:left="3682"/>
      <w:rPr>
        <w:rFonts w:ascii="FangSong_GB2312" w:hAnsi="FangSong_GB2312" w:eastAsia="FangSong_GB2312" w:cs="FangSong_GB2312"/>
        <w:sz w:val="18"/>
        <w:szCs w:val="18"/>
      </w:rPr>
    </w:pPr>
    <w:r>
      <w:pict>
        <v:shape id="_x0000_s2083" o:spid="_x0000_s2083" style="position:absolute;left:0pt;margin-left:75.7pt;margin-top:55.2pt;height:0.75pt;width:443.9pt;mso-position-horizontal-relative:page;mso-position-vertical-relative:page;z-index:251691008;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3"/>
        <w:sz w:val="18"/>
        <w:szCs w:val="18"/>
      </w:rPr>
      <w:t>3</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3"/>
        <w:sz w:val="18"/>
        <w:szCs w:val="18"/>
      </w:rPr>
      <w:t>项目水土保持评价</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B6C2A">
    <w:pPr>
      <w:spacing w:before="46" w:line="221" w:lineRule="auto"/>
      <w:ind w:left="3567"/>
      <w:rPr>
        <w:rFonts w:ascii="FangSong_GB2312" w:hAnsi="FangSong_GB2312" w:eastAsia="FangSong_GB2312" w:cs="FangSong_GB2312"/>
        <w:sz w:val="18"/>
        <w:szCs w:val="18"/>
      </w:rPr>
    </w:pPr>
    <w:r>
      <w:pict>
        <v:shape id="_x0000_s2084" o:spid="_x0000_s2084" style="position:absolute;left:0pt;margin-left:75.7pt;margin-top:55.2pt;height:0.5pt;width:443.9pt;mso-position-horizontal-relative:page;mso-position-vertical-relative:page;z-index:25169203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B5614">
    <w:pPr>
      <w:spacing w:before="46" w:line="221" w:lineRule="auto"/>
      <w:ind w:left="3689"/>
      <w:rPr>
        <w:rFonts w:ascii="FangSong_GB2312" w:hAnsi="FangSong_GB2312" w:eastAsia="FangSong_GB2312" w:cs="FangSong_GB2312"/>
        <w:sz w:val="18"/>
        <w:szCs w:val="18"/>
      </w:rPr>
    </w:pPr>
    <w:r>
      <w:pict>
        <v:shape id="_x0000_s2085" o:spid="_x0000_s2085" style="position:absolute;left:0pt;margin-left:75.7pt;margin-top:55.2pt;height:0.5pt;width:443.9pt;mso-position-horizontal-relative:page;mso-position-vertical-relative:page;z-index:251693056;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75505">
    <w:pPr>
      <w:spacing w:before="46" w:line="221" w:lineRule="auto"/>
      <w:ind w:left="3567"/>
      <w:rPr>
        <w:rFonts w:ascii="FangSong_GB2312" w:hAnsi="FangSong_GB2312" w:eastAsia="FangSong_GB2312" w:cs="FangSong_GB2312"/>
        <w:sz w:val="18"/>
        <w:szCs w:val="18"/>
      </w:rPr>
    </w:pPr>
    <w:r>
      <w:pict>
        <v:shape id="_x0000_s2086" o:spid="_x0000_s2086" style="position:absolute;left:0pt;margin-left:75.7pt;margin-top:55.2pt;height:0.5pt;width:443.9pt;mso-position-horizontal-relative:page;mso-position-vertical-relative:page;z-index:25169408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5C81E">
    <w:pPr>
      <w:spacing w:before="49" w:line="217" w:lineRule="auto"/>
      <w:ind w:left="4393"/>
      <w:rPr>
        <w:rFonts w:ascii="FangSong_GB2312" w:hAnsi="FangSong_GB2312" w:eastAsia="FangSong_GB2312" w:cs="FangSong_GB2312"/>
        <w:sz w:val="18"/>
        <w:szCs w:val="18"/>
      </w:rPr>
    </w:pPr>
    <w:r>
      <w:pict>
        <v:shape id="_x0000_s2051" o:spid="_x0000_s2051" style="position:absolute;left:0pt;margin-left:70.9pt;margin-top:55.2pt;height:0.75pt;width:453.55pt;mso-position-horizontal-relative:page;mso-position-vertical-relative:page;z-index:251662336;mso-width-relative:page;mso-height-relative:page;" fillcolor="#000000" filled="t" stroked="f" coordsize="9070,15" o:allowincell="f" path="m0,0l9070,0,9070,14,0,14,0,0xe">
          <v:path/>
          <v:fill on="t" focussize="0,0"/>
          <v:stroke on="f"/>
          <v:imagedata o:title=""/>
          <o:lock v:ext="edit"/>
        </v:shape>
      </w:pict>
    </w:r>
    <w:r>
      <w:rPr>
        <w:rFonts w:ascii="FangSong_GB2312" w:hAnsi="FangSong_GB2312" w:eastAsia="FangSong_GB2312" w:cs="FangSong_GB2312"/>
        <w:spacing w:val="-20"/>
        <w:sz w:val="18"/>
        <w:szCs w:val="18"/>
      </w:rPr>
      <w:t>目录</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75500">
    <w:pPr>
      <w:spacing w:before="46" w:line="221" w:lineRule="auto"/>
      <w:ind w:left="3596"/>
      <w:rPr>
        <w:rFonts w:ascii="FangSong_GB2312" w:hAnsi="FangSong_GB2312" w:eastAsia="FangSong_GB2312" w:cs="FangSong_GB2312"/>
        <w:sz w:val="18"/>
        <w:szCs w:val="18"/>
      </w:rPr>
    </w:pPr>
    <w:r>
      <w:pict>
        <v:shape id="_x0000_s2087" o:spid="_x0000_s2087" style="position:absolute;left:0pt;margin-left:75.7pt;margin-top:55.2pt;height:0.5pt;width:443.9pt;mso-position-horizontal-relative:page;mso-position-vertical-relative:page;z-index:251695104;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18565">
    <w:pPr>
      <w:spacing w:before="46" w:line="221" w:lineRule="auto"/>
      <w:ind w:left="3686"/>
      <w:rPr>
        <w:rFonts w:ascii="FangSong_GB2312" w:hAnsi="FangSong_GB2312" w:eastAsia="FangSong_GB2312" w:cs="FangSong_GB2312"/>
        <w:sz w:val="18"/>
        <w:szCs w:val="18"/>
      </w:rPr>
    </w:pPr>
    <w:r>
      <w:pict>
        <v:shape id="_x0000_s2088" o:spid="_x0000_s2088" style="position:absolute;left:0pt;margin-left:75.7pt;margin-top:55.2pt;height:0.5pt;width:443.9pt;mso-position-horizontal-relative:page;mso-position-vertical-relative:page;z-index:251696128;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BD50C">
    <w:pPr>
      <w:spacing w:before="46" w:line="221" w:lineRule="auto"/>
      <w:ind w:left="3593"/>
      <w:rPr>
        <w:rFonts w:ascii="FangSong_GB2312" w:hAnsi="FangSong_GB2312" w:eastAsia="FangSong_GB2312" w:cs="FangSong_GB2312"/>
        <w:sz w:val="18"/>
        <w:szCs w:val="18"/>
      </w:rPr>
    </w:pPr>
    <w:r>
      <w:pict>
        <v:shape id="_x0000_s2089" o:spid="_x0000_s2089" style="position:absolute;left:0pt;margin-left:75.7pt;margin-top:55.2pt;height:0.5pt;width:443.9pt;mso-position-horizontal-relative:page;mso-position-vertical-relative:page;z-index:25169715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4</w:t>
    </w:r>
    <w:r>
      <w:rPr>
        <w:rFonts w:ascii="FangSong_GB2312" w:hAnsi="FangSong_GB2312" w:eastAsia="FangSong_GB2312" w:cs="FangSong_GB2312"/>
        <w:spacing w:val="-33"/>
        <w:sz w:val="18"/>
        <w:szCs w:val="18"/>
      </w:rPr>
      <w:t xml:space="preserve"> </w:t>
    </w:r>
    <w:r>
      <w:rPr>
        <w:rFonts w:ascii="FangSong_GB2312" w:hAnsi="FangSong_GB2312" w:eastAsia="FangSong_GB2312" w:cs="FangSong_GB2312"/>
        <w:spacing w:val="-2"/>
        <w:sz w:val="18"/>
        <w:szCs w:val="18"/>
      </w:rPr>
      <w:t>水土流失分析与调查</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0F88">
    <w:pPr>
      <w:spacing w:before="46" w:line="219" w:lineRule="auto"/>
      <w:ind w:left="2863"/>
      <w:rPr>
        <w:rFonts w:ascii="FangSong_GB2312" w:hAnsi="FangSong_GB2312" w:eastAsia="FangSong_GB2312" w:cs="FangSong_GB2312"/>
        <w:sz w:val="18"/>
        <w:szCs w:val="18"/>
      </w:rPr>
    </w:pPr>
    <w:r>
      <w:pict>
        <v:shape id="_x0000_s2090" o:spid="_x0000_s2090" style="position:absolute;left:0pt;margin-left:75.7pt;margin-top:55.2pt;height:0.5pt;width:443.9pt;mso-position-horizontal-relative:page;mso-position-vertical-relative:page;z-index:251698176;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70E0F">
    <w:pPr>
      <w:spacing w:before="46" w:line="219" w:lineRule="auto"/>
      <w:ind w:left="2851"/>
      <w:rPr>
        <w:rFonts w:ascii="FangSong_GB2312" w:hAnsi="FangSong_GB2312" w:eastAsia="FangSong_GB2312" w:cs="FangSong_GB2312"/>
        <w:sz w:val="18"/>
        <w:szCs w:val="18"/>
      </w:rPr>
    </w:pPr>
    <w:r>
      <w:pict>
        <v:shape id="_x0000_s2091" o:spid="_x0000_s2091" style="position:absolute;left:0pt;margin-left:75.7pt;margin-top:55.2pt;height:0.5pt;width:443.9pt;mso-position-horizontal-relative:page;mso-position-vertical-relative:page;z-index:25169920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5B26B">
    <w:pPr>
      <w:spacing w:before="46" w:line="219" w:lineRule="auto"/>
      <w:ind w:left="2972"/>
      <w:rPr>
        <w:rFonts w:ascii="FangSong_GB2312" w:hAnsi="FangSong_GB2312" w:eastAsia="FangSong_GB2312" w:cs="FangSong_GB2312"/>
        <w:sz w:val="18"/>
        <w:szCs w:val="18"/>
      </w:rPr>
    </w:pPr>
    <w:r>
      <w:pict>
        <v:shape id="_x0000_s2092" o:spid="_x0000_s2092" style="position:absolute;left:0pt;margin-left:75.7pt;margin-top:55.2pt;height:0.5pt;width:443.9pt;mso-position-horizontal-relative:page;mso-position-vertical-relative:page;z-index:251700224;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E7DFF">
    <w:pPr>
      <w:spacing w:before="46" w:line="219" w:lineRule="auto"/>
      <w:ind w:left="2851"/>
      <w:rPr>
        <w:rFonts w:ascii="FangSong_GB2312" w:hAnsi="FangSong_GB2312" w:eastAsia="FangSong_GB2312" w:cs="FangSong_GB2312"/>
        <w:sz w:val="18"/>
        <w:szCs w:val="18"/>
      </w:rPr>
    </w:pPr>
    <w:r>
      <w:pict>
        <v:shape id="_x0000_s2093" o:spid="_x0000_s2093" style="position:absolute;left:0pt;margin-left:75.7pt;margin-top:55.2pt;height:0.5pt;width:443.9pt;mso-position-horizontal-relative:page;mso-position-vertical-relative:page;z-index:251701248;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10111">
    <w:pPr>
      <w:spacing w:before="46" w:line="219" w:lineRule="auto"/>
      <w:ind w:left="2851"/>
      <w:rPr>
        <w:rFonts w:ascii="FangSong_GB2312" w:hAnsi="FangSong_GB2312" w:eastAsia="FangSong_GB2312" w:cs="FangSong_GB2312"/>
        <w:sz w:val="18"/>
        <w:szCs w:val="18"/>
      </w:rPr>
    </w:pPr>
    <w:r>
      <w:pict>
        <v:shape id="_x0000_s2094" o:spid="_x0000_s2094" style="position:absolute;left:0pt;margin-left:75.7pt;margin-top:55.2pt;height:0.5pt;width:443.9pt;mso-position-horizontal-relative:page;mso-position-vertical-relative:page;z-index:25170227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9F5F4">
    <w:pPr>
      <w:spacing w:before="46" w:line="219" w:lineRule="auto"/>
      <w:ind w:left="2851"/>
      <w:rPr>
        <w:rFonts w:ascii="FangSong_GB2312" w:hAnsi="FangSong_GB2312" w:eastAsia="FangSong_GB2312" w:cs="FangSong_GB2312"/>
        <w:sz w:val="18"/>
        <w:szCs w:val="18"/>
      </w:rPr>
    </w:pPr>
    <w:r>
      <w:pict>
        <v:shape id="_x0000_s2095" o:spid="_x0000_s2095" style="position:absolute;left:0pt;margin-left:75.7pt;margin-top:55.2pt;height:0.5pt;width:443.9pt;mso-position-horizontal-relative:page;mso-position-vertical-relative:page;z-index:25169920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92D46">
    <w:pPr>
      <w:spacing w:before="46" w:line="219" w:lineRule="auto"/>
      <w:ind w:left="2873"/>
      <w:rPr>
        <w:rFonts w:ascii="FangSong_GB2312" w:hAnsi="FangSong_GB2312" w:eastAsia="FangSong_GB2312" w:cs="FangSong_GB2312"/>
        <w:sz w:val="18"/>
        <w:szCs w:val="18"/>
      </w:rPr>
    </w:pPr>
    <w:r>
      <w:pict>
        <v:shape id="_x0000_s2096" o:spid="_x0000_s2096" style="position:absolute;left:0pt;margin-left:75.7pt;margin-top:55.2pt;height:0.5pt;width:443.9pt;mso-position-horizontal-relative:page;mso-position-vertical-relative:page;z-index:25170432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5</w:t>
    </w:r>
    <w:r>
      <w:rPr>
        <w:rFonts w:ascii="FangSong_GB2312" w:hAnsi="FangSong_GB2312" w:eastAsia="FangSong_GB2312" w:cs="FangSong_GB2312"/>
        <w:spacing w:val="-21"/>
        <w:sz w:val="18"/>
        <w:szCs w:val="18"/>
      </w:rPr>
      <w:t xml:space="preserve"> </w:t>
    </w:r>
    <w:r>
      <w:rPr>
        <w:rFonts w:ascii="FangSong_GB2312" w:hAnsi="FangSong_GB2312" w:eastAsia="FangSong_GB2312" w:cs="FangSong_GB2312"/>
        <w:spacing w:val="-2"/>
        <w:sz w:val="18"/>
        <w:szCs w:val="18"/>
      </w:rPr>
      <w:t>水土流失防治目标及水土保持措施设计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22B24">
    <w:pPr>
      <w:spacing w:before="49" w:line="217" w:lineRule="auto"/>
      <w:ind w:left="4393"/>
      <w:rPr>
        <w:rFonts w:ascii="FangSong_GB2312" w:hAnsi="FangSong_GB2312" w:eastAsia="FangSong_GB2312" w:cs="FangSong_GB2312"/>
        <w:sz w:val="18"/>
        <w:szCs w:val="18"/>
      </w:rPr>
    </w:pPr>
    <w:r>
      <w:pict>
        <v:shape id="_x0000_s2052" o:spid="_x0000_s2052" style="position:absolute;left:0pt;margin-left:70.9pt;margin-top:55.2pt;height:0.75pt;width:453.55pt;mso-position-horizontal-relative:page;mso-position-vertical-relative:page;z-index:251663360;mso-width-relative:page;mso-height-relative:page;" fillcolor="#000000" filled="t" stroked="f" coordsize="9070,15" o:allowincell="f" path="m0,0l9070,0,9070,14,0,14,0,0xe">
          <v:path/>
          <v:fill on="t" focussize="0,0"/>
          <v:stroke on="f"/>
          <v:imagedata o:title=""/>
          <o:lock v:ext="edit"/>
        </v:shape>
      </w:pict>
    </w:r>
    <w:r>
      <w:rPr>
        <w:rFonts w:ascii="FangSong_GB2312" w:hAnsi="FangSong_GB2312" w:eastAsia="FangSong_GB2312" w:cs="FangSong_GB2312"/>
        <w:spacing w:val="-20"/>
        <w:sz w:val="18"/>
        <w:szCs w:val="18"/>
      </w:rPr>
      <w:t>目录</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5E5F7">
    <w:pPr>
      <w:spacing w:before="46" w:line="220" w:lineRule="auto"/>
      <w:ind w:left="3934"/>
      <w:rPr>
        <w:rFonts w:ascii="FangSong_GB2312" w:hAnsi="FangSong_GB2312" w:eastAsia="FangSong_GB2312" w:cs="FangSong_GB2312"/>
        <w:sz w:val="18"/>
        <w:szCs w:val="18"/>
      </w:rPr>
    </w:pPr>
    <w:r>
      <w:pict>
        <v:shape id="_x0000_s2097" o:spid="_x0000_s2097" style="position:absolute;left:0pt;margin-left:70.9pt;margin-top:55.15pt;height:0.5pt;width:453.6pt;mso-position-horizontal-relative:page;mso-position-vertical-relative:page;z-index:251705344;mso-width-relative:page;mso-height-relative:page;" fillcolor="#000000" filled="t" stroked="f" coordsize="9072,10" o:allowincell="f" path="m0,0l9071,0,9071,9,0,9,0,0xe">
          <v:path/>
          <v:fill on="t" focussize="0,0"/>
          <v:stroke on="f"/>
          <v:imagedata o:title=""/>
          <o:lock v:ext="edit"/>
        </v:shape>
      </w:pict>
    </w:r>
    <w:r>
      <w:rPr>
        <w:rFonts w:ascii="FangSong_GB2312" w:hAnsi="FangSong_GB2312" w:eastAsia="FangSong_GB2312" w:cs="FangSong_GB2312"/>
        <w:spacing w:val="-3"/>
        <w:sz w:val="18"/>
        <w:szCs w:val="18"/>
      </w:rPr>
      <w:t>6</w:t>
    </w:r>
    <w:r>
      <w:rPr>
        <w:rFonts w:ascii="FangSong_GB2312" w:hAnsi="FangSong_GB2312" w:eastAsia="FangSong_GB2312" w:cs="FangSong_GB2312"/>
        <w:spacing w:val="-31"/>
        <w:sz w:val="18"/>
        <w:szCs w:val="18"/>
      </w:rPr>
      <w:t xml:space="preserve"> </w:t>
    </w:r>
    <w:r>
      <w:rPr>
        <w:rFonts w:ascii="FangSong_GB2312" w:hAnsi="FangSong_GB2312" w:eastAsia="FangSong_GB2312" w:cs="FangSong_GB2312"/>
        <w:spacing w:val="-3"/>
        <w:sz w:val="18"/>
        <w:szCs w:val="18"/>
      </w:rPr>
      <w:t>水土保持监测</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60CA5">
    <w:pPr>
      <w:spacing w:before="46" w:line="219" w:lineRule="auto"/>
      <w:ind w:left="3212"/>
      <w:rPr>
        <w:rFonts w:ascii="FangSong_GB2312" w:hAnsi="FangSong_GB2312" w:eastAsia="FangSong_GB2312" w:cs="FangSong_GB2312"/>
        <w:sz w:val="18"/>
        <w:szCs w:val="18"/>
      </w:rPr>
    </w:pPr>
    <w:r>
      <w:pict>
        <v:shape id="_x0000_s2098" o:spid="_x0000_s2098" style="position:absolute;left:0pt;margin-left:75.7pt;margin-top:55.2pt;height:0.5pt;width:443.9pt;mso-position-horizontal-relative:page;mso-position-vertical-relative:page;z-index:251706368;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5EED2">
    <w:pPr>
      <w:spacing w:before="46" w:line="219" w:lineRule="auto"/>
      <w:ind w:left="3212"/>
      <w:rPr>
        <w:rFonts w:ascii="FangSong_GB2312" w:hAnsi="FangSong_GB2312" w:eastAsia="FangSong_GB2312" w:cs="FangSong_GB2312"/>
        <w:sz w:val="18"/>
        <w:szCs w:val="18"/>
      </w:rPr>
    </w:pPr>
    <w:r>
      <w:pict>
        <v:shape id="_x0000_s2099" o:spid="_x0000_s2099" style="position:absolute;left:0pt;margin-left:75.7pt;margin-top:55.2pt;height:0.5pt;width:443.9pt;mso-position-horizontal-relative:page;mso-position-vertical-relative:page;z-index:25170739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883B6">
    <w:pPr>
      <w:spacing w:before="46" w:line="219" w:lineRule="auto"/>
      <w:ind w:left="3301"/>
      <w:rPr>
        <w:rFonts w:ascii="FangSong_GB2312" w:hAnsi="FangSong_GB2312" w:eastAsia="FangSong_GB2312" w:cs="FangSong_GB2312"/>
        <w:sz w:val="18"/>
        <w:szCs w:val="18"/>
      </w:rPr>
    </w:pPr>
    <w:r>
      <w:pict>
        <v:shape id="_x0000_s2100" o:spid="_x0000_s2100" style="position:absolute;left:0pt;margin-left:75.7pt;margin-top:55.2pt;height:0.5pt;width:443.9pt;mso-position-horizontal-relative:page;mso-position-vertical-relative:page;z-index:251708416;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04060">
    <w:pPr>
      <w:spacing w:before="46" w:line="219" w:lineRule="auto"/>
      <w:ind w:left="3212"/>
      <w:rPr>
        <w:rFonts w:ascii="FangSong_GB2312" w:hAnsi="FangSong_GB2312" w:eastAsia="FangSong_GB2312" w:cs="FangSong_GB2312"/>
        <w:sz w:val="18"/>
        <w:szCs w:val="18"/>
      </w:rPr>
    </w:pPr>
    <w:r>
      <w:pict>
        <v:shape id="_x0000_s2101" o:spid="_x0000_s2101" style="position:absolute;left:0pt;margin-left:75.7pt;margin-top:55.2pt;height:0.5pt;width:443.9pt;mso-position-horizontal-relative:page;mso-position-vertical-relative:page;z-index:25170944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1A89B">
    <w:pPr>
      <w:spacing w:before="46" w:line="219" w:lineRule="auto"/>
      <w:ind w:left="3335"/>
      <w:rPr>
        <w:rFonts w:ascii="FangSong_GB2312" w:hAnsi="FangSong_GB2312" w:eastAsia="FangSong_GB2312" w:cs="FangSong_GB2312"/>
        <w:sz w:val="18"/>
        <w:szCs w:val="18"/>
      </w:rPr>
    </w:pPr>
    <w:r>
      <w:pict>
        <v:shape id="_x0000_s2102" o:spid="_x0000_s2102" style="position:absolute;left:0pt;margin-left:75.7pt;margin-top:55.2pt;height:0.5pt;width:443.9pt;mso-position-horizontal-relative:page;mso-position-vertical-relative:page;z-index:251710464;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707BB">
    <w:pPr>
      <w:spacing w:before="46" w:line="219" w:lineRule="auto"/>
      <w:ind w:left="3335"/>
      <w:rPr>
        <w:rFonts w:ascii="FangSong_GB2312" w:hAnsi="FangSong_GB2312" w:eastAsia="FangSong_GB2312" w:cs="FangSong_GB2312"/>
        <w:sz w:val="18"/>
        <w:szCs w:val="18"/>
      </w:rPr>
    </w:pPr>
    <w:r>
      <w:pict>
        <v:shape id="_x0000_s2103" o:spid="_x0000_s2103" style="position:absolute;left:0pt;margin-left:75.7pt;margin-top:55.2pt;height:0.5pt;width:443.9pt;mso-position-horizontal-relative:page;mso-position-vertical-relative:page;z-index:251711488;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8DC46">
    <w:pPr>
      <w:spacing w:before="46" w:line="219" w:lineRule="auto"/>
      <w:ind w:left="3227"/>
      <w:rPr>
        <w:rFonts w:ascii="FangSong_GB2312" w:hAnsi="FangSong_GB2312" w:eastAsia="FangSong_GB2312" w:cs="FangSong_GB2312"/>
        <w:sz w:val="18"/>
        <w:szCs w:val="18"/>
      </w:rPr>
    </w:pPr>
    <w:r>
      <w:pict>
        <v:shape id="_x0000_s2104" o:spid="_x0000_s2104" style="position:absolute;left:0pt;margin-left:75.7pt;margin-top:55.2pt;height:0.5pt;width:443.9pt;mso-position-horizontal-relative:page;mso-position-vertical-relative:page;z-index:25171251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865A">
    <w:pPr>
      <w:spacing w:before="46" w:line="219" w:lineRule="auto"/>
      <w:ind w:left="3300"/>
      <w:rPr>
        <w:rFonts w:ascii="FangSong_GB2312" w:hAnsi="FangSong_GB2312" w:eastAsia="FangSong_GB2312" w:cs="FangSong_GB2312"/>
        <w:sz w:val="18"/>
        <w:szCs w:val="18"/>
      </w:rPr>
    </w:pPr>
    <w:r>
      <w:pict>
        <v:shape id="_x0000_s2105" o:spid="_x0000_s2105" style="position:absolute;left:0pt;margin-left:75.7pt;margin-top:55.2pt;height:0.5pt;width:443.9pt;mso-position-horizontal-relative:page;mso-position-vertical-relative:page;z-index:251713536;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0F9A">
    <w:pPr>
      <w:spacing w:before="46" w:line="219" w:lineRule="auto"/>
      <w:ind w:left="3335"/>
      <w:rPr>
        <w:rFonts w:ascii="FangSong_GB2312" w:hAnsi="FangSong_GB2312" w:eastAsia="FangSong_GB2312" w:cs="FangSong_GB2312"/>
        <w:sz w:val="18"/>
        <w:szCs w:val="18"/>
      </w:rPr>
    </w:pPr>
    <w:r>
      <w:pict>
        <v:shape id="_x0000_s2106" o:spid="_x0000_s2106" style="position:absolute;left:0pt;margin-left:75.7pt;margin-top:55.2pt;height:0.5pt;width:443.9pt;mso-position-horizontal-relative:page;mso-position-vertical-relative:page;z-index:25171456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858E">
    <w:pPr>
      <w:spacing w:before="46" w:line="221" w:lineRule="auto"/>
      <w:ind w:left="4030"/>
      <w:rPr>
        <w:rFonts w:ascii="FangSong_GB2312" w:hAnsi="FangSong_GB2312" w:eastAsia="FangSong_GB2312" w:cs="FangSong_GB2312"/>
        <w:sz w:val="18"/>
        <w:szCs w:val="18"/>
      </w:rPr>
    </w:pPr>
    <w:r>
      <w:pict>
        <v:shape id="_x0000_s2053" o:spid="_x0000_s2053" style="position:absolute;left:0pt;margin-left:75.7pt;margin-top:55.2pt;height:0.75pt;width:443.9pt;mso-position-horizontal-relative:page;mso-position-vertical-relative:page;z-index:251664384;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219FF">
    <w:pPr>
      <w:spacing w:before="46" w:line="219" w:lineRule="auto"/>
      <w:ind w:left="3335"/>
      <w:rPr>
        <w:rFonts w:ascii="FangSong_GB2312" w:hAnsi="FangSong_GB2312" w:eastAsia="FangSong_GB2312" w:cs="FangSong_GB2312"/>
        <w:sz w:val="18"/>
        <w:szCs w:val="18"/>
      </w:rPr>
    </w:pPr>
    <w:r>
      <w:pict>
        <v:shape id="_x0000_s2107" o:spid="_x0000_s2107" style="position:absolute;left:0pt;margin-left:75.7pt;margin-top:55.2pt;height:0.5pt;width:443.9pt;mso-position-horizontal-relative:page;mso-position-vertical-relative:page;z-index:251715584;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45F4">
    <w:pPr>
      <w:spacing w:before="46" w:line="219" w:lineRule="auto"/>
      <w:ind w:left="3240"/>
      <w:rPr>
        <w:rFonts w:ascii="FangSong_GB2312" w:hAnsi="FangSong_GB2312" w:eastAsia="FangSong_GB2312" w:cs="FangSong_GB2312"/>
        <w:sz w:val="18"/>
        <w:szCs w:val="18"/>
      </w:rPr>
    </w:pPr>
    <w:r>
      <w:pict>
        <v:shape id="_x0000_s2108" o:spid="_x0000_s2108" style="position:absolute;left:0pt;margin-left:75.7pt;margin-top:55.2pt;height:0.5pt;width:443.9pt;mso-position-horizontal-relative:page;mso-position-vertical-relative:page;z-index:251716608;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37AD">
    <w:pPr>
      <w:spacing w:before="46" w:line="219" w:lineRule="auto"/>
      <w:ind w:left="3333"/>
      <w:rPr>
        <w:rFonts w:ascii="FangSong_GB2312" w:hAnsi="FangSong_GB2312" w:eastAsia="FangSong_GB2312" w:cs="FangSong_GB2312"/>
        <w:sz w:val="18"/>
        <w:szCs w:val="18"/>
      </w:rPr>
    </w:pPr>
    <w:r>
      <w:pict>
        <v:shape id="_x0000_s2109" o:spid="_x0000_s2109" style="position:absolute;left:0pt;margin-left:75.7pt;margin-top:55.2pt;height:0.5pt;width:443.9pt;mso-position-horizontal-relative:page;mso-position-vertical-relative:page;z-index:251717632;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D15F">
    <w:pPr>
      <w:spacing w:before="46" w:line="219" w:lineRule="auto"/>
      <w:ind w:left="3212"/>
      <w:rPr>
        <w:rFonts w:ascii="FangSong_GB2312" w:hAnsi="FangSong_GB2312" w:eastAsia="FangSong_GB2312" w:cs="FangSong_GB2312"/>
        <w:sz w:val="18"/>
        <w:szCs w:val="18"/>
      </w:rPr>
    </w:pPr>
    <w:r>
      <w:pict>
        <v:shape id="_x0000_s2110" o:spid="_x0000_s2110" style="position:absolute;left:0pt;margin-left:75.7pt;margin-top:55.2pt;height:0.5pt;width:443.9pt;mso-position-horizontal-relative:page;mso-position-vertical-relative:page;z-index:251718656;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2"/>
        <w:sz w:val="18"/>
        <w:szCs w:val="18"/>
      </w:rPr>
      <w:t>7</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2"/>
        <w:sz w:val="18"/>
        <w:szCs w:val="18"/>
      </w:rPr>
      <w:t>水土保持投资概算及效益分析</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2D0B5">
    <w:pPr>
      <w:spacing w:before="46" w:line="219" w:lineRule="auto"/>
      <w:ind w:left="3929"/>
      <w:rPr>
        <w:rFonts w:ascii="FangSong_GB2312" w:hAnsi="FangSong_GB2312" w:eastAsia="FangSong_GB2312" w:cs="FangSong_GB2312"/>
        <w:sz w:val="18"/>
        <w:szCs w:val="18"/>
      </w:rPr>
    </w:pPr>
    <w:r>
      <w:pict>
        <v:shape id="_x0000_s2111" o:spid="_x0000_s2111" style="position:absolute;left:0pt;margin-left:75.7pt;margin-top:55.2pt;height:0.5pt;width:443.9pt;mso-position-horizontal-relative:page;mso-position-vertical-relative:page;z-index:251719680;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4"/>
        <w:sz w:val="18"/>
        <w:szCs w:val="18"/>
      </w:rPr>
      <w:t>8</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4"/>
        <w:sz w:val="18"/>
        <w:szCs w:val="18"/>
      </w:rPr>
      <w:t>结论与建议</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7EC2">
    <w:pPr>
      <w:spacing w:before="46" w:line="219" w:lineRule="auto"/>
      <w:ind w:left="3929"/>
      <w:rPr>
        <w:rFonts w:ascii="FangSong_GB2312" w:hAnsi="FangSong_GB2312" w:eastAsia="FangSong_GB2312" w:cs="FangSong_GB2312"/>
        <w:sz w:val="18"/>
        <w:szCs w:val="18"/>
      </w:rPr>
    </w:pPr>
    <w:r>
      <w:pict>
        <v:shape id="_x0000_s2112" o:spid="_x0000_s2112" style="position:absolute;left:0pt;margin-left:75.7pt;margin-top:55.2pt;height:0.5pt;width:443.9pt;mso-position-horizontal-relative:page;mso-position-vertical-relative:page;z-index:251720704;mso-width-relative:page;mso-height-relative:page;" fillcolor="#000000" filled="t" stroked="f" coordsize="8877,10" o:allowincell="f" path="m0,0l8877,0,8877,9,0,9,0,0xe">
          <v:path/>
          <v:fill on="t" focussize="0,0"/>
          <v:stroke on="f"/>
          <v:imagedata o:title=""/>
          <o:lock v:ext="edit"/>
        </v:shape>
      </w:pict>
    </w:r>
    <w:r>
      <w:rPr>
        <w:rFonts w:ascii="FangSong_GB2312" w:hAnsi="FangSong_GB2312" w:eastAsia="FangSong_GB2312" w:cs="FangSong_GB2312"/>
        <w:spacing w:val="-4"/>
        <w:sz w:val="18"/>
        <w:szCs w:val="18"/>
      </w:rPr>
      <w:t>8</w:t>
    </w:r>
    <w:r>
      <w:rPr>
        <w:rFonts w:ascii="FangSong_GB2312" w:hAnsi="FangSong_GB2312" w:eastAsia="FangSong_GB2312" w:cs="FangSong_GB2312"/>
        <w:spacing w:val="-30"/>
        <w:sz w:val="18"/>
        <w:szCs w:val="18"/>
      </w:rPr>
      <w:t xml:space="preserve"> </w:t>
    </w:r>
    <w:r>
      <w:rPr>
        <w:rFonts w:ascii="FangSong_GB2312" w:hAnsi="FangSong_GB2312" w:eastAsia="FangSong_GB2312" w:cs="FangSong_GB2312"/>
        <w:spacing w:val="-4"/>
        <w:sz w:val="18"/>
        <w:szCs w:val="18"/>
      </w:rPr>
      <w:t>结论与建议</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0F376">
    <w:pPr>
      <w:spacing w:before="46" w:line="219" w:lineRule="auto"/>
      <w:ind w:left="3929"/>
      <w:rPr>
        <w:rFonts w:ascii="FangSong_GB2312" w:hAnsi="FangSong_GB2312" w:eastAsia="FangSong_GB2312" w:cs="FangSong_GB2312"/>
        <w:sz w:val="18"/>
        <w:szCs w:val="18"/>
      </w:rPr>
    </w:pPr>
    <w:r>
      <mc:AlternateContent>
        <mc:Choice Requires="wps">
          <w:drawing>
            <wp:anchor distT="0" distB="0" distL="114300" distR="114300" simplePos="0" relativeHeight="251777024" behindDoc="0" locked="0" layoutInCell="0" allowOverlap="1">
              <wp:simplePos x="0" y="0"/>
              <wp:positionH relativeFrom="page">
                <wp:posOffset>961390</wp:posOffset>
              </wp:positionH>
              <wp:positionV relativeFrom="page">
                <wp:posOffset>701040</wp:posOffset>
              </wp:positionV>
              <wp:extent cx="5637530"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5637530" cy="6350"/>
                      </a:xfrm>
                      <a:custGeom>
                        <a:avLst/>
                        <a:gdLst/>
                        <a:ahLst/>
                        <a:cxnLst/>
                        <a:pathLst>
                          <a:path w="8877" h="10">
                            <a:moveTo>
                              <a:pt x="0" y="0"/>
                            </a:moveTo>
                            <a:lnTo>
                              <a:pt x="8877" y="0"/>
                            </a:lnTo>
                            <a:lnTo>
                              <a:pt x="8877"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5.7pt;margin-top:55.2pt;height:0.5pt;width:443.9pt;mso-position-horizontal-relative:page;mso-position-vertical-relative:page;z-index:251777024;mso-width-relative:page;mso-height-relative:page;" fillcolor="#000000" filled="t" stroked="f" coordsize="8877,10" o:allowincell="f" o:gfxdata="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SbevdcAAAAMAQAADwAAAAAAAAABACAA&#10;AAAiAAAAZHJzL2Rvd25yZXYueG1sUEsBAhQAFAAAAAgAh07iQGKV1SwOAgAAeQQAAA4AAAAAAAAA&#10;AQAgAAAAJgEAAGRycy9lMm9Eb2MueG1sUEsFBgAAAAAGAAYAWQEAAKYFAAAAAA==&#10;" path="m0,0l8877,0,8877,9,0,9,0,0xe">
              <v:path/>
              <v:fill on="t" focussize="0,0"/>
              <v:stroke on="f"/>
              <v:imagedata o:title=""/>
              <o:lock v:ext="edi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A7805">
    <w:pPr>
      <w:spacing w:before="46" w:line="221" w:lineRule="auto"/>
      <w:ind w:left="4030"/>
      <w:rPr>
        <w:rFonts w:ascii="FangSong_GB2312" w:hAnsi="FangSong_GB2312" w:eastAsia="FangSong_GB2312" w:cs="FangSong_GB2312"/>
        <w:sz w:val="18"/>
        <w:szCs w:val="18"/>
      </w:rPr>
    </w:pPr>
    <w:r>
      <w:pict>
        <v:shape id="_x0000_s2054" o:spid="_x0000_s2054" style="position:absolute;left:0pt;margin-left:75.7pt;margin-top:55.2pt;height:0.75pt;width:443.9pt;mso-position-horizontal-relative:page;mso-position-vertical-relative:page;z-index:251665408;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9FE32">
    <w:pPr>
      <w:spacing w:before="46" w:line="221" w:lineRule="auto"/>
      <w:ind w:left="4030"/>
      <w:rPr>
        <w:rFonts w:ascii="FangSong_GB2312" w:hAnsi="FangSong_GB2312" w:eastAsia="FangSong_GB2312" w:cs="FangSong_GB2312"/>
        <w:sz w:val="18"/>
        <w:szCs w:val="18"/>
      </w:rPr>
    </w:pPr>
    <w:r>
      <w:pict>
        <v:shape id="_x0000_s2055" o:spid="_x0000_s2055" style="position:absolute;left:0pt;margin-left:75.7pt;margin-top:55.2pt;height:0.75pt;width:443.9pt;mso-position-horizontal-relative:page;mso-position-vertical-relative:page;z-index:251666432;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0B031">
    <w:pPr>
      <w:spacing w:before="46" w:line="221" w:lineRule="auto"/>
      <w:ind w:left="4030"/>
      <w:rPr>
        <w:rFonts w:ascii="FangSong_GB2312" w:hAnsi="FangSong_GB2312" w:eastAsia="FangSong_GB2312" w:cs="FangSong_GB2312"/>
        <w:sz w:val="18"/>
        <w:szCs w:val="18"/>
      </w:rPr>
    </w:pPr>
    <w:r>
      <w:pict>
        <v:shape id="_x0000_s2056" o:spid="_x0000_s2056" style="position:absolute;left:0pt;margin-left:75.7pt;margin-top:55.2pt;height:0.75pt;width:443.9pt;mso-position-horizontal-relative:page;mso-position-vertical-relative:page;z-index:251667456;mso-width-relative:page;mso-height-relative:page;" fillcolor="#000000" filled="t" stroked="f" coordsize="8877,15" o:allowincell="f" path="m0,0l8877,0,8877,14,0,14,0,0xe">
          <v:path/>
          <v:fill on="t" focussize="0,0"/>
          <v:stroke on="f"/>
          <v:imagedata o:title=""/>
          <o:lock v:ext="edit"/>
        </v:shape>
      </w:pict>
    </w:r>
    <w:r>
      <w:rPr>
        <w:rFonts w:ascii="FangSong_GB2312" w:hAnsi="FangSong_GB2312" w:eastAsia="FangSong_GB2312" w:cs="FangSong_GB2312"/>
        <w:spacing w:val="-7"/>
        <w:sz w:val="18"/>
        <w:szCs w:val="18"/>
      </w:rPr>
      <w:t>1</w:t>
    </w:r>
    <w:r>
      <w:rPr>
        <w:rFonts w:ascii="FangSong_GB2312" w:hAnsi="FangSong_GB2312" w:eastAsia="FangSong_GB2312" w:cs="FangSong_GB2312"/>
        <w:spacing w:val="-32"/>
        <w:sz w:val="18"/>
        <w:szCs w:val="18"/>
      </w:rPr>
      <w:t xml:space="preserve"> </w:t>
    </w:r>
    <w:r>
      <w:rPr>
        <w:rFonts w:ascii="FangSong_GB2312" w:hAnsi="FangSong_GB2312" w:eastAsia="FangSong_GB2312" w:cs="FangSong_GB2312"/>
        <w:spacing w:val="-7"/>
        <w:sz w:val="18"/>
        <w:szCs w:val="18"/>
      </w:rPr>
      <w:t>综合说明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4994D5A"/>
    <w:rsid w:val="320E0A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0.png"/><Relationship Id="rId98" Type="http://schemas.openxmlformats.org/officeDocument/2006/relationships/image" Target="media/image19.png"/><Relationship Id="rId97" Type="http://schemas.openxmlformats.org/officeDocument/2006/relationships/image" Target="media/image18.png"/><Relationship Id="rId96" Type="http://schemas.openxmlformats.org/officeDocument/2006/relationships/image" Target="media/image17.png"/><Relationship Id="rId95" Type="http://schemas.openxmlformats.org/officeDocument/2006/relationships/image" Target="media/image16.png"/><Relationship Id="rId94" Type="http://schemas.openxmlformats.org/officeDocument/2006/relationships/image" Target="media/image15.png"/><Relationship Id="rId93" Type="http://schemas.openxmlformats.org/officeDocument/2006/relationships/image" Target="media/image14.jpeg"/><Relationship Id="rId92" Type="http://schemas.openxmlformats.org/officeDocument/2006/relationships/image" Target="media/image13.png"/><Relationship Id="rId91" Type="http://schemas.openxmlformats.org/officeDocument/2006/relationships/image" Target="media/image12.png"/><Relationship Id="rId90" Type="http://schemas.openxmlformats.org/officeDocument/2006/relationships/image" Target="media/image11.png"/><Relationship Id="rId9" Type="http://schemas.openxmlformats.org/officeDocument/2006/relationships/footer" Target="footer3.xml"/><Relationship Id="rId89" Type="http://schemas.openxmlformats.org/officeDocument/2006/relationships/image" Target="media/image10.png"/><Relationship Id="rId88" Type="http://schemas.openxmlformats.org/officeDocument/2006/relationships/image" Target="media/image9.png"/><Relationship Id="rId87" Type="http://schemas.openxmlformats.org/officeDocument/2006/relationships/image" Target="media/image8.png"/><Relationship Id="rId86" Type="http://schemas.openxmlformats.org/officeDocument/2006/relationships/image" Target="media/image7.jpeg"/><Relationship Id="rId85" Type="http://schemas.openxmlformats.org/officeDocument/2006/relationships/image" Target="media/image6.jpeg"/><Relationship Id="rId84" Type="http://schemas.openxmlformats.org/officeDocument/2006/relationships/image" Target="media/image5.jpeg"/><Relationship Id="rId83" Type="http://schemas.openxmlformats.org/officeDocument/2006/relationships/image" Target="media/image4.jpeg"/><Relationship Id="rId82" Type="http://schemas.openxmlformats.org/officeDocument/2006/relationships/image" Target="media/image3.jpeg"/><Relationship Id="rId81" Type="http://schemas.openxmlformats.org/officeDocument/2006/relationships/image" Target="media/image2.jpeg"/><Relationship Id="rId80" Type="http://schemas.openxmlformats.org/officeDocument/2006/relationships/image" Target="media/image1.jpeg"/><Relationship Id="rId8" Type="http://schemas.openxmlformats.org/officeDocument/2006/relationships/header" Target="header2.xml"/><Relationship Id="rId79" Type="http://schemas.openxmlformats.org/officeDocument/2006/relationships/theme" Target="theme/theme1.xml"/><Relationship Id="rId78" Type="http://schemas.openxmlformats.org/officeDocument/2006/relationships/header" Target="header66.xml"/><Relationship Id="rId77" Type="http://schemas.openxmlformats.org/officeDocument/2006/relationships/header" Target="header65.xml"/><Relationship Id="rId76" Type="http://schemas.openxmlformats.org/officeDocument/2006/relationships/header" Target="header64.xml"/><Relationship Id="rId75" Type="http://schemas.openxmlformats.org/officeDocument/2006/relationships/header" Target="header63.xml"/><Relationship Id="rId74" Type="http://schemas.openxmlformats.org/officeDocument/2006/relationships/header" Target="header62.xml"/><Relationship Id="rId73" Type="http://schemas.openxmlformats.org/officeDocument/2006/relationships/header" Target="header61.xml"/><Relationship Id="rId72" Type="http://schemas.openxmlformats.org/officeDocument/2006/relationships/header" Target="header60.xml"/><Relationship Id="rId71" Type="http://schemas.openxmlformats.org/officeDocument/2006/relationships/header" Target="header59.xml"/><Relationship Id="rId70" Type="http://schemas.openxmlformats.org/officeDocument/2006/relationships/header" Target="header58.xml"/><Relationship Id="rId7" Type="http://schemas.openxmlformats.org/officeDocument/2006/relationships/header" Target="header1.xml"/><Relationship Id="rId69" Type="http://schemas.openxmlformats.org/officeDocument/2006/relationships/header" Target="header57.xml"/><Relationship Id="rId68" Type="http://schemas.openxmlformats.org/officeDocument/2006/relationships/header" Target="header56.xml"/><Relationship Id="rId67" Type="http://schemas.openxmlformats.org/officeDocument/2006/relationships/header" Target="header55.xml"/><Relationship Id="rId66" Type="http://schemas.openxmlformats.org/officeDocument/2006/relationships/header" Target="header54.xml"/><Relationship Id="rId65" Type="http://schemas.openxmlformats.org/officeDocument/2006/relationships/header" Target="header53.xml"/><Relationship Id="rId64" Type="http://schemas.openxmlformats.org/officeDocument/2006/relationships/header" Target="header52.xml"/><Relationship Id="rId63" Type="http://schemas.openxmlformats.org/officeDocument/2006/relationships/header" Target="header51.xml"/><Relationship Id="rId62" Type="http://schemas.openxmlformats.org/officeDocument/2006/relationships/header" Target="header50.xml"/><Relationship Id="rId61" Type="http://schemas.openxmlformats.org/officeDocument/2006/relationships/header" Target="header49.xml"/><Relationship Id="rId60" Type="http://schemas.openxmlformats.org/officeDocument/2006/relationships/header" Target="header48.xml"/><Relationship Id="rId6" Type="http://schemas.openxmlformats.org/officeDocument/2006/relationships/footer" Target="footer2.xml"/><Relationship Id="rId59" Type="http://schemas.openxmlformats.org/officeDocument/2006/relationships/header" Target="header47.xml"/><Relationship Id="rId58" Type="http://schemas.openxmlformats.org/officeDocument/2006/relationships/header" Target="header46.xml"/><Relationship Id="rId57" Type="http://schemas.openxmlformats.org/officeDocument/2006/relationships/header" Target="header45.xml"/><Relationship Id="rId56" Type="http://schemas.openxmlformats.org/officeDocument/2006/relationships/header" Target="header44.xml"/><Relationship Id="rId55" Type="http://schemas.openxmlformats.org/officeDocument/2006/relationships/header" Target="header43.xml"/><Relationship Id="rId54" Type="http://schemas.openxmlformats.org/officeDocument/2006/relationships/header" Target="header42.xml"/><Relationship Id="rId53" Type="http://schemas.openxmlformats.org/officeDocument/2006/relationships/header" Target="header41.xml"/><Relationship Id="rId52" Type="http://schemas.openxmlformats.org/officeDocument/2006/relationships/header" Target="header40.xml"/><Relationship Id="rId51" Type="http://schemas.openxmlformats.org/officeDocument/2006/relationships/header" Target="header39.xml"/><Relationship Id="rId50" Type="http://schemas.openxmlformats.org/officeDocument/2006/relationships/header" Target="header38.xml"/><Relationship Id="rId5" Type="http://schemas.openxmlformats.org/officeDocument/2006/relationships/footer" Target="footer1.xml"/><Relationship Id="rId49" Type="http://schemas.openxmlformats.org/officeDocument/2006/relationships/header" Target="header37.xml"/><Relationship Id="rId48" Type="http://schemas.openxmlformats.org/officeDocument/2006/relationships/header" Target="header36.xml"/><Relationship Id="rId47" Type="http://schemas.openxmlformats.org/officeDocument/2006/relationships/header" Target="header35.xml"/><Relationship Id="rId46" Type="http://schemas.openxmlformats.org/officeDocument/2006/relationships/header" Target="header34.xml"/><Relationship Id="rId45" Type="http://schemas.openxmlformats.org/officeDocument/2006/relationships/header" Target="header33.xml"/><Relationship Id="rId44" Type="http://schemas.openxmlformats.org/officeDocument/2006/relationships/header" Target="header32.xml"/><Relationship Id="rId43" Type="http://schemas.openxmlformats.org/officeDocument/2006/relationships/header" Target="header31.xml"/><Relationship Id="rId42" Type="http://schemas.openxmlformats.org/officeDocument/2006/relationships/header" Target="header30.xml"/><Relationship Id="rId41" Type="http://schemas.openxmlformats.org/officeDocument/2006/relationships/header" Target="header29.xml"/><Relationship Id="rId40" Type="http://schemas.openxmlformats.org/officeDocument/2006/relationships/header" Target="header28.xml"/><Relationship Id="rId4" Type="http://schemas.openxmlformats.org/officeDocument/2006/relationships/endnotes" Target="endnotes.xml"/><Relationship Id="rId39" Type="http://schemas.openxmlformats.org/officeDocument/2006/relationships/header" Target="header27.xml"/><Relationship Id="rId38" Type="http://schemas.openxmlformats.org/officeDocument/2006/relationships/header" Target="header26.xml"/><Relationship Id="rId37" Type="http://schemas.openxmlformats.org/officeDocument/2006/relationships/header" Target="header25.xml"/><Relationship Id="rId36" Type="http://schemas.openxmlformats.org/officeDocument/2006/relationships/header" Target="header24.xml"/><Relationship Id="rId35" Type="http://schemas.openxmlformats.org/officeDocument/2006/relationships/header" Target="header23.xml"/><Relationship Id="rId34" Type="http://schemas.openxmlformats.org/officeDocument/2006/relationships/header" Target="header22.xml"/><Relationship Id="rId33" Type="http://schemas.openxmlformats.org/officeDocument/2006/relationships/header" Target="header21.xml"/><Relationship Id="rId32" Type="http://schemas.openxmlformats.org/officeDocument/2006/relationships/header" Target="header20.xml"/><Relationship Id="rId31" Type="http://schemas.openxmlformats.org/officeDocument/2006/relationships/header" Target="header19.xml"/><Relationship Id="rId30" Type="http://schemas.openxmlformats.org/officeDocument/2006/relationships/header" Target="header18.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header" Target="header16.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9" Type="http://schemas.openxmlformats.org/officeDocument/2006/relationships/fontTable" Target="fontTable.xml"/><Relationship Id="rId108" Type="http://schemas.openxmlformats.org/officeDocument/2006/relationships/customXml" Target="../customXml/item1.xml"/><Relationship Id="rId107" Type="http://schemas.openxmlformats.org/officeDocument/2006/relationships/image" Target="media/image28.png"/><Relationship Id="rId106" Type="http://schemas.openxmlformats.org/officeDocument/2006/relationships/image" Target="media/image27.png"/><Relationship Id="rId105" Type="http://schemas.openxmlformats.org/officeDocument/2006/relationships/image" Target="media/image26.png"/><Relationship Id="rId104" Type="http://schemas.openxmlformats.org/officeDocument/2006/relationships/image" Target="media/image25.png"/><Relationship Id="rId103" Type="http://schemas.openxmlformats.org/officeDocument/2006/relationships/image" Target="media/image24.png"/><Relationship Id="rId102" Type="http://schemas.openxmlformats.org/officeDocument/2006/relationships/image" Target="media/image23.png"/><Relationship Id="rId101" Type="http://schemas.openxmlformats.org/officeDocument/2006/relationships/image" Target="media/image22.png"/><Relationship Id="rId100" Type="http://schemas.openxmlformats.org/officeDocument/2006/relationships/image" Target="media/image21.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78</Pages>
  <Words>41089</Words>
  <Characters>46885</Characters>
  <TotalTime>5</TotalTime>
  <ScaleCrop>false</ScaleCrop>
  <LinksUpToDate>false</LinksUpToDate>
  <CharactersWithSpaces>49501</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2025-10-24T09:35:00Z</dcterms:created>
  <dc:creator>Administrator</dc:creator>
  <cp:lastModifiedBy>就像一只蜗牛</cp:lastModifiedBy>
  <dcterms:modified xsi:type="dcterms:W3CDTF">2025-11-03T07:32:12Z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2025-11-03T10:03:45Z</vt:filetime>
  </property>
  <property fmtid="{D5CDD505-2E9C-101B-9397-08002B2CF9AE}" pid="4" name="KSOTemplateDocerSaveRecord">
    <vt:lpwstr>eyJoZGlkIjoiYTQ2NjMwNjZiM2RjNTczNDZiODg1MWZiNDY4ODY3ZDQiLCJ1c2VySWQiOiIyOTMwNzg3NjUifQ==</vt:lpwstr>
  </property>
  <property fmtid="{D5CDD505-2E9C-101B-9397-08002B2CF9AE}" pid="5" name="KSOProductBuildVer">
    <vt:lpwstr>2052-12.1.0.23125</vt:lpwstr>
  </property>
  <property fmtid="{D5CDD505-2E9C-101B-9397-08002B2CF9AE}" pid="6" name="ICV">
    <vt:lpwstr>49824A19967A4AEC8564CCDEF2833FDD_12</vt:lpwstr>
  </property>
</Properties>
</file>