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104"/>
        </w:tabs>
        <w:jc w:val="left"/>
        <w:rPr>
          <w:rFonts w:hint="eastAsia" w:ascii="黑体" w:hAnsi="黑体" w:eastAsia="黑体" w:cs="仿宋_GB2312"/>
          <w:b/>
          <w:kern w:val="0"/>
          <w:sz w:val="32"/>
          <w:szCs w:val="32"/>
        </w:rPr>
      </w:pPr>
      <w:r>
        <w:rPr>
          <w:rFonts w:hint="eastAsia" w:ascii="黑体" w:hAnsi="黑体" w:eastAsia="黑体" w:cs="仿宋_GB2312"/>
          <w:b/>
          <w:kern w:val="0"/>
          <w:sz w:val="32"/>
          <w:szCs w:val="32"/>
        </w:rPr>
        <w:t xml:space="preserve">附件 </w:t>
      </w:r>
    </w:p>
    <w:p>
      <w:pPr>
        <w:widowControl/>
        <w:tabs>
          <w:tab w:val="left" w:pos="8104"/>
        </w:tabs>
        <w:spacing w:line="600" w:lineRule="exact"/>
        <w:jc w:val="center"/>
        <w:rPr>
          <w:b/>
        </w:rPr>
      </w:pPr>
      <w:bookmarkStart w:id="0" w:name="_GoBack"/>
      <w:r>
        <w:rPr>
          <w:rFonts w:hint="eastAsia" w:ascii="方正小标宋简体" w:eastAsia="方正小标宋简体"/>
          <w:b/>
          <w:kern w:val="0"/>
          <w:sz w:val="44"/>
          <w:szCs w:val="44"/>
        </w:rPr>
        <w:t>赋予乡镇县级行政权力事项目录</w:t>
      </w:r>
      <w:bookmarkEnd w:id="0"/>
    </w:p>
    <w:tbl>
      <w:tblPr>
        <w:tblStyle w:val="3"/>
        <w:tblW w:w="5186" w:type="pct"/>
        <w:jc w:val="center"/>
        <w:tblLayout w:type="fixed"/>
        <w:tblCellMar>
          <w:top w:w="0" w:type="dxa"/>
          <w:left w:w="108" w:type="dxa"/>
          <w:bottom w:w="0" w:type="dxa"/>
          <w:right w:w="108" w:type="dxa"/>
        </w:tblCellMar>
      </w:tblPr>
      <w:tblGrid>
        <w:gridCol w:w="467"/>
        <w:gridCol w:w="727"/>
        <w:gridCol w:w="1161"/>
        <w:gridCol w:w="1635"/>
        <w:gridCol w:w="8529"/>
        <w:gridCol w:w="873"/>
        <w:gridCol w:w="735"/>
        <w:gridCol w:w="574"/>
      </w:tblGrid>
      <w:tr>
        <w:tblPrEx>
          <w:tblCellMar>
            <w:top w:w="0" w:type="dxa"/>
            <w:left w:w="108" w:type="dxa"/>
            <w:bottom w:w="0" w:type="dxa"/>
            <w:right w:w="108" w:type="dxa"/>
          </w:tblCellMar>
        </w:tblPrEx>
        <w:trPr>
          <w:trHeight w:val="305" w:hRule="atLeast"/>
          <w:tblHeader/>
          <w:jc w:val="center"/>
        </w:trPr>
        <w:tc>
          <w:tcPr>
            <w:tcW w:w="15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序号</w:t>
            </w:r>
          </w:p>
        </w:tc>
        <w:tc>
          <w:tcPr>
            <w:tcW w:w="247"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领域</w:t>
            </w:r>
          </w:p>
        </w:tc>
        <w:tc>
          <w:tcPr>
            <w:tcW w:w="39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权力类型</w:t>
            </w:r>
          </w:p>
        </w:tc>
        <w:tc>
          <w:tcPr>
            <w:tcW w:w="556"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权力名称</w:t>
            </w:r>
          </w:p>
        </w:tc>
        <w:tc>
          <w:tcPr>
            <w:tcW w:w="2901"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设定依据</w:t>
            </w:r>
          </w:p>
        </w:tc>
        <w:tc>
          <w:tcPr>
            <w:tcW w:w="547"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下放层级</w:t>
            </w:r>
          </w:p>
        </w:tc>
        <w:tc>
          <w:tcPr>
            <w:tcW w:w="195"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备注</w:t>
            </w:r>
          </w:p>
        </w:tc>
      </w:tr>
      <w:tr>
        <w:tblPrEx>
          <w:tblCellMar>
            <w:top w:w="0" w:type="dxa"/>
            <w:left w:w="108" w:type="dxa"/>
            <w:bottom w:w="0" w:type="dxa"/>
            <w:right w:w="108" w:type="dxa"/>
          </w:tblCellMar>
        </w:tblPrEx>
        <w:trPr>
          <w:trHeight w:val="515" w:hRule="atLeast"/>
          <w:tblHeader/>
          <w:jc w:val="center"/>
        </w:trPr>
        <w:tc>
          <w:tcPr>
            <w:tcW w:w="15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p>
        </w:tc>
        <w:tc>
          <w:tcPr>
            <w:tcW w:w="247"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p>
        </w:tc>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p>
        </w:tc>
        <w:tc>
          <w:tcPr>
            <w:tcW w:w="556"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p>
        </w:tc>
        <w:tc>
          <w:tcPr>
            <w:tcW w:w="2901"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11个镇</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b/>
                <w:bCs/>
                <w:kern w:val="0"/>
                <w:sz w:val="20"/>
                <w:szCs w:val="20"/>
              </w:rPr>
            </w:pPr>
            <w:r>
              <w:rPr>
                <w:rFonts w:hint="eastAsia" w:ascii="宋体" w:hAnsi="宋体"/>
                <w:b/>
                <w:bCs/>
                <w:kern w:val="0"/>
                <w:sz w:val="20"/>
                <w:szCs w:val="20"/>
              </w:rPr>
              <w:t>18个乡镇</w:t>
            </w:r>
          </w:p>
        </w:tc>
        <w:tc>
          <w:tcPr>
            <w:tcW w:w="195"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p>
        </w:tc>
      </w:tr>
      <w:tr>
        <w:tblPrEx>
          <w:tblCellMar>
            <w:top w:w="0" w:type="dxa"/>
            <w:left w:w="108" w:type="dxa"/>
            <w:bottom w:w="0" w:type="dxa"/>
            <w:right w:w="108" w:type="dxa"/>
          </w:tblCellMar>
        </w:tblPrEx>
        <w:trPr>
          <w:trHeight w:val="425"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b/>
                <w:bCs/>
                <w:kern w:val="0"/>
                <w:sz w:val="24"/>
              </w:rPr>
            </w:pPr>
            <w:r>
              <w:rPr>
                <w:rFonts w:hint="eastAsia" w:ascii="宋体" w:hAnsi="宋体"/>
                <w:b/>
                <w:bCs/>
                <w:kern w:val="0"/>
                <w:sz w:val="20"/>
                <w:szCs w:val="20"/>
              </w:rPr>
              <w:t>一、行政征收（2项）</w:t>
            </w:r>
          </w:p>
        </w:tc>
      </w:tr>
      <w:tr>
        <w:tblPrEx>
          <w:tblCellMar>
            <w:top w:w="0" w:type="dxa"/>
            <w:left w:w="108" w:type="dxa"/>
            <w:bottom w:w="0" w:type="dxa"/>
            <w:right w:w="108" w:type="dxa"/>
          </w:tblCellMar>
        </w:tblPrEx>
        <w:trPr>
          <w:trHeight w:val="17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住房城乡建设</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行政征收</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城市生活垃圾处理费的征收</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kern w:val="0"/>
                <w:sz w:val="20"/>
                <w:szCs w:val="20"/>
              </w:rPr>
            </w:pPr>
            <w:r>
              <w:rPr>
                <w:rFonts w:hint="eastAsia" w:ascii="宋体" w:hAnsi="宋体"/>
                <w:kern w:val="0"/>
                <w:sz w:val="20"/>
                <w:szCs w:val="20"/>
              </w:rPr>
              <w:t>1.《城市生活垃圾管理办法》第四条第一款  产生城市生活垃圾的单位和个人，应当按照城市人民政府确定的生活垃圾处理费收费标准和有关规定缴纳城市生活垃圾处理费。</w:t>
            </w:r>
            <w:r>
              <w:rPr>
                <w:rFonts w:hint="eastAsia" w:ascii="宋体" w:hAnsi="宋体"/>
                <w:kern w:val="0"/>
                <w:sz w:val="20"/>
                <w:szCs w:val="20"/>
              </w:rPr>
              <w:br w:type="textWrapping"/>
            </w:r>
            <w:r>
              <w:rPr>
                <w:rFonts w:hint="eastAsia" w:ascii="宋体" w:hAnsi="宋体"/>
                <w:kern w:val="0"/>
                <w:sz w:val="20"/>
                <w:szCs w:val="20"/>
              </w:rPr>
              <w:t>2.《四川省城市生活垃圾及危险废物处理收费管理暂行办法》第十三条第一项（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Arial" w:hAnsi="Arial" w:cs="Arial"/>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59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住房城乡建设</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行政征收</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征收建筑垃圾处置费</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1.《城市建筑垃圾管理规定》第十六条  建筑垃圾处置实行收费制度，收费标准依据国家有关规定执行。</w:t>
            </w:r>
            <w:r>
              <w:rPr>
                <w:rFonts w:hint="eastAsia" w:ascii="宋体" w:hAnsi="宋体"/>
                <w:kern w:val="0"/>
                <w:sz w:val="20"/>
                <w:szCs w:val="20"/>
              </w:rPr>
              <w:br w:type="textWrapping"/>
            </w:r>
            <w:r>
              <w:rPr>
                <w:rFonts w:hint="eastAsia" w:ascii="宋体" w:hAnsi="宋体"/>
                <w:kern w:val="0"/>
                <w:sz w:val="20"/>
                <w:szCs w:val="20"/>
              </w:rPr>
              <w:t>2.《四川省城市生活垃圾及危险废物处理收费管理暂行办法》第五条  城市生活垃圾是指城市人口在日常生活中产生或为城市日常生活提供服务产生的固体废物以及法律、行政法规规定，视为城市生活垃圾的固体废物（包括建筑垃圾和渣土、不包括工业固体废物和危险废物）。</w:t>
            </w:r>
            <w:r>
              <w:rPr>
                <w:rFonts w:hint="eastAsia" w:ascii="宋体" w:hAnsi="宋体"/>
                <w:kern w:val="0"/>
                <w:sz w:val="20"/>
                <w:szCs w:val="20"/>
              </w:rPr>
              <w:br w:type="textWrapping"/>
            </w:r>
            <w:r>
              <w:rPr>
                <w:rFonts w:hint="eastAsia" w:ascii="宋体" w:hAnsi="宋体"/>
                <w:kern w:val="0"/>
                <w:sz w:val="20"/>
                <w:szCs w:val="20"/>
              </w:rPr>
              <w:t>《四川省城市生活垃圾及危险废物处理收费管理暂行办法》第十三条第一项（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Arial" w:hAnsi="Arial" w:cs="Arial"/>
                <w:kern w:val="0"/>
                <w:sz w:val="20"/>
                <w:szCs w:val="20"/>
              </w:rPr>
            </w:pP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36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b/>
                <w:bCs/>
                <w:kern w:val="0"/>
                <w:sz w:val="20"/>
                <w:szCs w:val="20"/>
              </w:rPr>
            </w:pPr>
            <w:r>
              <w:rPr>
                <w:rFonts w:hint="eastAsia" w:ascii="宋体" w:hAnsi="宋体"/>
                <w:b/>
                <w:bCs/>
                <w:kern w:val="0"/>
                <w:sz w:val="20"/>
                <w:szCs w:val="20"/>
              </w:rPr>
              <w:t>二、行政确认（2项）</w:t>
            </w:r>
          </w:p>
        </w:tc>
      </w:tr>
      <w:tr>
        <w:tblPrEx>
          <w:tblCellMar>
            <w:top w:w="0" w:type="dxa"/>
            <w:left w:w="108" w:type="dxa"/>
            <w:bottom w:w="0" w:type="dxa"/>
            <w:right w:w="108" w:type="dxa"/>
          </w:tblCellMar>
        </w:tblPrEx>
        <w:trPr>
          <w:trHeight w:val="965"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行政确认</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农村机电提灌站的产权登记</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《四川省农村机电提灌管理条例》第十六条第二款  农村机电提灌站国有资产和非国有资产的确认，应当依据投资的来源，由县级以上人民政府农业机械主管部门会同有关部门决定，并按国家有关规定进行产权登记。</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037"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kern w:val="0"/>
                <w:sz w:val="20"/>
                <w:szCs w:val="20"/>
              </w:rPr>
            </w:pPr>
            <w:r>
              <w:rPr>
                <w:rFonts w:hint="eastAsia" w:ascii="宋体" w:hAnsi="宋体"/>
                <w:kern w:val="0"/>
                <w:sz w:val="20"/>
                <w:szCs w:val="20"/>
              </w:rPr>
              <w:t>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行政确认</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出售废旧机电提灌设备及其主要零部件的确认</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《四川省农村机电提灌管理条例》第三十四条第一款   出售废旧机电提灌设备及其主要零配件，必须持有县级以上人民政府农业机械主管部门开具的有关证明，废旧物资收购单位应当验证收购。</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260" w:lineRule="exact"/>
              <w:jc w:val="left"/>
              <w:rPr>
                <w:rFonts w:ascii="宋体" w:hAnsi="宋体"/>
                <w:kern w:val="0"/>
                <w:sz w:val="20"/>
                <w:szCs w:val="20"/>
              </w:rPr>
            </w:pPr>
          </w:p>
        </w:tc>
      </w:tr>
      <w:tr>
        <w:tblPrEx>
          <w:tblCellMar>
            <w:top w:w="0" w:type="dxa"/>
            <w:left w:w="108" w:type="dxa"/>
            <w:bottom w:w="0" w:type="dxa"/>
            <w:right w:w="108" w:type="dxa"/>
          </w:tblCellMar>
        </w:tblPrEx>
        <w:trPr>
          <w:trHeight w:val="50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b/>
                <w:bCs/>
                <w:kern w:val="0"/>
                <w:sz w:val="20"/>
                <w:szCs w:val="20"/>
              </w:rPr>
            </w:pPr>
            <w:r>
              <w:rPr>
                <w:rFonts w:hint="eastAsia" w:ascii="宋体" w:hAnsi="宋体"/>
                <w:b/>
                <w:bCs/>
                <w:kern w:val="0"/>
                <w:sz w:val="20"/>
                <w:szCs w:val="20"/>
              </w:rPr>
              <w:t>三、行政检查（27项）</w:t>
            </w:r>
          </w:p>
        </w:tc>
      </w:tr>
      <w:tr>
        <w:tblPrEx>
          <w:tblCellMar>
            <w:top w:w="0" w:type="dxa"/>
            <w:left w:w="108" w:type="dxa"/>
            <w:bottom w:w="0" w:type="dxa"/>
            <w:right w:w="108" w:type="dxa"/>
          </w:tblCellMar>
        </w:tblPrEx>
        <w:trPr>
          <w:trHeight w:val="882"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kern w:val="0"/>
                <w:sz w:val="20"/>
                <w:szCs w:val="20"/>
              </w:rPr>
            </w:pPr>
            <w:r>
              <w:rPr>
                <w:rFonts w:hint="eastAsia" w:ascii="宋体" w:hAnsi="宋体"/>
                <w:kern w:val="0"/>
                <w:sz w:val="20"/>
                <w:szCs w:val="20"/>
              </w:rPr>
              <w:t>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民政</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对养老机构的监督检查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《养老机构管理办法》第三十六条第一款 民政部门应当加强对养老机构服务和运营的监督检查，发现违反本办法规定的，及时依法予以处理并向社会公布。</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260" w:lineRule="exact"/>
              <w:jc w:val="left"/>
              <w:rPr>
                <w:rFonts w:ascii="宋体" w:hAnsi="宋体"/>
                <w:kern w:val="0"/>
                <w:sz w:val="20"/>
                <w:szCs w:val="20"/>
              </w:rPr>
            </w:pPr>
          </w:p>
        </w:tc>
      </w:tr>
      <w:tr>
        <w:tblPrEx>
          <w:tblCellMar>
            <w:top w:w="0" w:type="dxa"/>
            <w:left w:w="108" w:type="dxa"/>
            <w:bottom w:w="0" w:type="dxa"/>
            <w:right w:w="108" w:type="dxa"/>
          </w:tblCellMar>
        </w:tblPrEx>
        <w:trPr>
          <w:trHeight w:val="1084"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kern w:val="0"/>
                <w:sz w:val="20"/>
                <w:szCs w:val="20"/>
              </w:rPr>
            </w:pPr>
            <w:r>
              <w:rPr>
                <w:rFonts w:hint="eastAsia" w:ascii="宋体" w:hAnsi="宋体"/>
                <w:kern w:val="0"/>
                <w:sz w:val="20"/>
                <w:szCs w:val="20"/>
              </w:rPr>
              <w:t>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生态环境</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对重点排污单位环境信息公开活动的监督检查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《企业事业单位环境信息公开办法》第十四条  环境保护主管部门有权对重点排污单位环境信息公开活动进行监督检查。被检查者应当如实反映情况，提供必要的资料。</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260" w:lineRule="exact"/>
              <w:jc w:val="left"/>
              <w:rPr>
                <w:rFonts w:ascii="宋体" w:hAnsi="宋体"/>
                <w:kern w:val="0"/>
                <w:sz w:val="20"/>
                <w:szCs w:val="20"/>
              </w:rPr>
            </w:pPr>
          </w:p>
        </w:tc>
      </w:tr>
      <w:tr>
        <w:tblPrEx>
          <w:tblCellMar>
            <w:top w:w="0" w:type="dxa"/>
            <w:left w:w="108" w:type="dxa"/>
            <w:bottom w:w="0" w:type="dxa"/>
            <w:right w:w="108" w:type="dxa"/>
          </w:tblCellMar>
        </w:tblPrEx>
        <w:trPr>
          <w:trHeight w:val="2188"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kern w:val="0"/>
                <w:sz w:val="20"/>
                <w:szCs w:val="20"/>
              </w:rPr>
            </w:pPr>
            <w:r>
              <w:rPr>
                <w:rFonts w:hint="eastAsia" w:ascii="宋体" w:hAnsi="宋体"/>
                <w:kern w:val="0"/>
                <w:sz w:val="20"/>
                <w:szCs w:val="20"/>
              </w:rPr>
              <w:t>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住房城乡建设</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对房屋和市政工程施工扬尘的监督检查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《中华人民共和国大气污染防治法》第二十九条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r>
              <w:rPr>
                <w:rFonts w:hint="eastAsia" w:ascii="宋体" w:hAnsi="宋体"/>
                <w:kern w:val="0"/>
                <w:sz w:val="20"/>
                <w:szCs w:val="20"/>
              </w:rPr>
              <w:br w:type="textWrapping"/>
            </w:r>
            <w:r>
              <w:rPr>
                <w:rFonts w:hint="eastAsia" w:ascii="宋体" w:hAnsi="宋体"/>
                <w:kern w:val="0"/>
                <w:sz w:val="20"/>
                <w:szCs w:val="20"/>
              </w:rPr>
              <w:t>《中华人民共和国大气污染防治法》第六十八条  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260" w:lineRule="exact"/>
              <w:jc w:val="left"/>
              <w:rPr>
                <w:rFonts w:ascii="宋体" w:hAnsi="宋体"/>
                <w:kern w:val="0"/>
                <w:sz w:val="20"/>
                <w:szCs w:val="20"/>
              </w:rPr>
            </w:pPr>
          </w:p>
        </w:tc>
      </w:tr>
      <w:tr>
        <w:tblPrEx>
          <w:tblCellMar>
            <w:top w:w="0" w:type="dxa"/>
            <w:left w:w="108" w:type="dxa"/>
            <w:bottom w:w="0" w:type="dxa"/>
            <w:right w:w="108" w:type="dxa"/>
          </w:tblCellMar>
        </w:tblPrEx>
        <w:trPr>
          <w:trHeight w:val="1488"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hint="eastAsia" w:ascii="宋体" w:hAnsi="宋体"/>
                <w:kern w:val="0"/>
                <w:sz w:val="20"/>
                <w:szCs w:val="20"/>
              </w:rPr>
            </w:pPr>
            <w:r>
              <w:rPr>
                <w:rFonts w:hint="eastAsia" w:ascii="宋体" w:hAnsi="宋体"/>
                <w:kern w:val="0"/>
                <w:sz w:val="20"/>
                <w:szCs w:val="20"/>
              </w:rPr>
              <w:t>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住房城乡建设</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对燃气经营、燃气使用安全状况的监督检查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《城镇燃气管理条例》第四十一条  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260" w:lineRule="exact"/>
              <w:jc w:val="left"/>
              <w:rPr>
                <w:rFonts w:ascii="宋体" w:hAnsi="宋体"/>
                <w:kern w:val="0"/>
                <w:sz w:val="20"/>
                <w:szCs w:val="20"/>
              </w:rPr>
            </w:pPr>
          </w:p>
        </w:tc>
      </w:tr>
      <w:tr>
        <w:tblPrEx>
          <w:tblCellMar>
            <w:top w:w="0" w:type="dxa"/>
            <w:left w:w="108" w:type="dxa"/>
            <w:bottom w:w="0" w:type="dxa"/>
            <w:right w:w="108" w:type="dxa"/>
          </w:tblCellMar>
        </w:tblPrEx>
        <w:trPr>
          <w:trHeight w:val="2134"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交通运输</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对道路运输及相关业务经营场所、客货集散地的监督检查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1.《中华人民共和国道路运输条例》第五十八条第二款  道路运输管理机构的工作人员应当重点在道路运输及相关业务经营场所、客货集散地进行监督检查。</w:t>
            </w:r>
            <w:r>
              <w:rPr>
                <w:rFonts w:hint="eastAsia" w:ascii="宋体" w:hAnsi="宋体"/>
                <w:kern w:val="0"/>
                <w:sz w:val="20"/>
                <w:szCs w:val="20"/>
              </w:rPr>
              <w:br w:type="textWrapping"/>
            </w:r>
            <w:r>
              <w:rPr>
                <w:rFonts w:hint="eastAsia" w:ascii="宋体" w:hAnsi="宋体"/>
                <w:kern w:val="0"/>
                <w:sz w:val="20"/>
                <w:szCs w:val="20"/>
              </w:rPr>
              <w:t>2.《四川省道路运输条例》第五十三条第一款  道路运输行政执法人员应当在道路运输及相关业务经营场所、客货集散地进行监督检查，可以在省人民政府批准的交通检查站或者道路宽阔、视线良好的路段检查道路运输车辆。</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318"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交通运输</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对道路运输车辆的监督检查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hint="eastAsia" w:ascii="宋体" w:hAnsi="宋体"/>
                <w:kern w:val="0"/>
                <w:sz w:val="20"/>
                <w:szCs w:val="20"/>
              </w:rPr>
            </w:pPr>
            <w:r>
              <w:rPr>
                <w:rFonts w:hint="eastAsia" w:ascii="宋体" w:hAnsi="宋体"/>
                <w:kern w:val="0"/>
                <w:sz w:val="20"/>
                <w:szCs w:val="20"/>
              </w:rPr>
              <w:t>1.《中华人民共和国道路运输条例》第五十八条第三款  道路运输管理机构的工作人员在公路路口进行监督检查时，不得随意拦截正常行驶的道路运输车辆。</w:t>
            </w:r>
          </w:p>
          <w:p>
            <w:pPr>
              <w:widowControl/>
              <w:spacing w:line="260" w:lineRule="exact"/>
              <w:jc w:val="left"/>
              <w:rPr>
                <w:rFonts w:ascii="宋体" w:hAnsi="宋体"/>
                <w:kern w:val="0"/>
                <w:sz w:val="20"/>
                <w:szCs w:val="20"/>
              </w:rPr>
            </w:pPr>
            <w:r>
              <w:rPr>
                <w:rFonts w:hint="eastAsia" w:ascii="宋体" w:hAnsi="宋体"/>
                <w:kern w:val="0"/>
                <w:sz w:val="20"/>
                <w:szCs w:val="20"/>
              </w:rPr>
              <w:t>2.《四川省道路运输条例》第五十三条第一款  道路运输行政执法人员应当在道路运输及相关业务经营场所、客货集散地进行监督检查，可以在省人民政府批准的交通检查站或者道路宽阔、视线良好的路段检查道路运输车辆。</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819"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交通运输</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对船舶、船员的监督检查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1.《中华人民共和国内河交通安全管理条例》第五十九条  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r>
              <w:rPr>
                <w:rFonts w:hint="eastAsia" w:ascii="宋体" w:hAnsi="宋体"/>
                <w:kern w:val="0"/>
                <w:sz w:val="20"/>
                <w:szCs w:val="20"/>
              </w:rPr>
              <w:br w:type="textWrapping"/>
            </w:r>
            <w:r>
              <w:rPr>
                <w:rFonts w:hint="eastAsia" w:ascii="宋体" w:hAnsi="宋体"/>
                <w:kern w:val="0"/>
                <w:sz w:val="20"/>
                <w:szCs w:val="20"/>
              </w:rPr>
              <w:t>2.《中华人民共和国船员条例》第四十条  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3701"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交通运输</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对有关单位、个人或其他组织执行公路管理法律、法规、规章情况进行的监督检查（仅下放对超限运输车辆、公路路产路权的检查）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 xml:space="preserve">1.《公路安全保护条例》第四十条  公路管理机构在监督检查中发现车辆超过公路、公路桥梁、公路隧道或者汽车渡船的限载、限高、限宽、限长标准的，应当就近引导至固定超限检测站点进行处理。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禁止通过引路绕行等方式为不符合国家有关载运标准的车辆逃避超限检测提供便利。                                                         </w:t>
            </w:r>
            <w:r>
              <w:rPr>
                <w:rFonts w:hint="eastAsia" w:ascii="宋体" w:hAnsi="宋体"/>
                <w:kern w:val="0"/>
                <w:sz w:val="20"/>
                <w:szCs w:val="20"/>
              </w:rPr>
              <w:br w:type="textWrapping"/>
            </w:r>
            <w:r>
              <w:rPr>
                <w:rFonts w:hint="eastAsia" w:ascii="宋体" w:hAnsi="宋体"/>
                <w:kern w:val="0"/>
                <w:sz w:val="20"/>
                <w:szCs w:val="20"/>
              </w:rPr>
              <w:t>2.《四川省公路路政管理条例》第九条  各级公路路政管理机构的职责是：（一）负责贯彻执行公路路政管理法律、法规和规章；（二）负责管理和保护公路路产；（三实施公路路政巡查；（四）对违反公路路政管理法律、法规、规章的行为，有权制止并依法进行处罚；（五）与规划、国土、城建部门共同依法控制公路两侧建筑红线（六）审理从地下、地面、上空穿（跨）越公路的其它建筑设施事宜；（七）核批公路的特殊占用及超限运输，并对其实施行为进行监督检查；（八）维护公路、公路渡口的养护、施工作业的正常秩序；（九）法律、法规、规章规定的其他职权。</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06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水利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水土保持监督检查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《中华人民共和国水土保持法》第四十三条  县级以上人民政府水行政主管部门负责对水土保持情况进行监督检查。流域管理机构在其管辖范围内可以行使国务院水行政主管部门的监督检查职权。</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40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水利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检查督促防洪工程设施的建设和水毁工程的修复</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《四川省〈中华人民共和国防洪法〉实施办法》第十三条  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在同级人民政府水行政主管部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86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水利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监督检查其他有防汛抗洪任务的部门和单位做好本行业和本单位防汛工作的情况</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《四川省〈中华人民共和国防洪法〉实施办法》第十四条  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4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16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水利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对供用水单位的取水、供水和用水情况进行监督检查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1.《四川省〈中华人民共和国水法〉实施办法》第三十二条第二款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r>
              <w:rPr>
                <w:rFonts w:hint="eastAsia" w:ascii="宋体" w:hAnsi="宋体"/>
                <w:kern w:val="0"/>
                <w:sz w:val="20"/>
                <w:szCs w:val="20"/>
              </w:rPr>
              <w:br w:type="textWrapping"/>
            </w:r>
            <w:r>
              <w:rPr>
                <w:rFonts w:hint="eastAsia" w:ascii="宋体" w:hAnsi="宋体"/>
                <w:kern w:val="0"/>
                <w:sz w:val="20"/>
                <w:szCs w:val="20"/>
              </w:rPr>
              <w:t>2.《四川省取水许可和水资源费征收管理办法》第二十四条  县级以上地方人民政府水行政主管部门进入取水单位或者个人的生产场所进行检查时，取水单位或者个人应当予以配合，提供有关文件、证照、资料等，并说明情况。</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3025"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17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水利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河道采砂检查（仅下放对村民生活自用河砂开采及使用的检查）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《四川省河道采砂管理条例》第五条第一款  县级以上地方人民政府水行政主管部门具体负责河道采砂的管理和监督工作。</w:t>
            </w:r>
            <w:r>
              <w:rPr>
                <w:rFonts w:hint="eastAsia" w:ascii="宋体" w:hAnsi="宋体"/>
                <w:kern w:val="0"/>
                <w:sz w:val="20"/>
                <w:szCs w:val="20"/>
              </w:rPr>
              <w:br w:type="textWrapping"/>
            </w:r>
            <w:r>
              <w:rPr>
                <w:rFonts w:hint="eastAsia" w:ascii="宋体" w:hAnsi="宋体"/>
                <w:kern w:val="0"/>
                <w:sz w:val="20"/>
                <w:szCs w:val="20"/>
              </w:rPr>
              <w:t>《四川省河道采砂管理条例》第二十八条  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448"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18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水利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农村饮水安全检查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1.《四川省〈中华人民共和国水法〉实施办法》第三十二条第二款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r>
              <w:rPr>
                <w:rFonts w:hint="eastAsia" w:ascii="宋体" w:hAnsi="宋体"/>
                <w:kern w:val="0"/>
                <w:sz w:val="20"/>
                <w:szCs w:val="20"/>
              </w:rPr>
              <w:br w:type="textWrapping"/>
            </w:r>
            <w:r>
              <w:rPr>
                <w:rFonts w:hint="eastAsia" w:ascii="宋体" w:hAnsi="宋体"/>
                <w:kern w:val="0"/>
                <w:sz w:val="20"/>
                <w:szCs w:val="20"/>
              </w:rPr>
              <w:t>2.《四川省村镇供水条例》第三十三条 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3121"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19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ascii="宋体" w:hAnsi="宋体"/>
                <w:kern w:val="0"/>
                <w:sz w:val="20"/>
                <w:szCs w:val="20"/>
              </w:rPr>
            </w:pPr>
            <w:r>
              <w:rPr>
                <w:rFonts w:hint="eastAsia" w:ascii="宋体" w:hAnsi="宋体"/>
                <w:kern w:val="0"/>
                <w:sz w:val="20"/>
                <w:szCs w:val="20"/>
              </w:rPr>
              <w:t>对农产品质量安全的监督检查(不含监督抽查）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ascii="宋体" w:hAnsi="宋体"/>
                <w:kern w:val="0"/>
                <w:sz w:val="20"/>
                <w:szCs w:val="20"/>
              </w:rPr>
            </w:pPr>
            <w:r>
              <w:rPr>
                <w:rFonts w:hint="eastAsia" w:ascii="宋体" w:hAnsi="宋体"/>
                <w:kern w:val="0"/>
                <w:sz w:val="20"/>
                <w:szCs w:val="20"/>
              </w:rPr>
              <w:t>1.《国务院关于加强食品等产品安全监督管理的特别规定》第十五条 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r>
              <w:rPr>
                <w:rFonts w:hint="eastAsia" w:ascii="宋体" w:hAnsi="宋体"/>
                <w:kern w:val="0"/>
                <w:sz w:val="20"/>
                <w:szCs w:val="20"/>
              </w:rPr>
              <w:br w:type="textWrapping"/>
            </w:r>
            <w:r>
              <w:rPr>
                <w:rFonts w:hint="eastAsia" w:ascii="宋体" w:hAnsi="宋体"/>
                <w:kern w:val="0"/>
                <w:sz w:val="20"/>
                <w:szCs w:val="20"/>
              </w:rPr>
              <w:t>2.《四川省〈中华人民共和国农产品质量安全法〉实施办法》第三十三条 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701"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对农产品地理标志的地域范围、标志使用的监督检查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《农产品地理标志管理办法》第十八条 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32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对农药生产、经营、使用场所进行检查（不含对农药实施抽查检测）</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kern w:val="0"/>
                <w:sz w:val="20"/>
                <w:szCs w:val="20"/>
              </w:rPr>
            </w:pPr>
            <w:r>
              <w:rPr>
                <w:rFonts w:hint="eastAsia" w:ascii="宋体" w:hAnsi="宋体"/>
                <w:kern w:val="0"/>
                <w:sz w:val="20"/>
                <w:szCs w:val="20"/>
              </w:rPr>
              <w:t>1.《四川省农药管理条例》三十八条 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r>
              <w:rPr>
                <w:rFonts w:hint="eastAsia" w:ascii="宋体" w:hAnsi="宋体"/>
                <w:kern w:val="0"/>
                <w:sz w:val="20"/>
                <w:szCs w:val="20"/>
              </w:rPr>
              <w:br w:type="textWrapping"/>
            </w:r>
            <w:r>
              <w:rPr>
                <w:rFonts w:hint="eastAsia" w:ascii="宋体" w:hAnsi="宋体"/>
                <w:kern w:val="0"/>
                <w:sz w:val="20"/>
                <w:szCs w:val="20"/>
              </w:rPr>
              <w:t>2.《农药管理条例》第四十一条 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50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 xml:space="preserve"> 对动物防疫的监督检查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kern w:val="0"/>
                <w:sz w:val="20"/>
                <w:szCs w:val="20"/>
              </w:rPr>
            </w:pPr>
            <w:r>
              <w:rPr>
                <w:rFonts w:hint="eastAsia" w:ascii="宋体" w:hAnsi="宋体"/>
                <w:kern w:val="0"/>
                <w:sz w:val="20"/>
                <w:szCs w:val="20"/>
              </w:rPr>
              <w:t>《中华人民共和国动物防疫法》第五十九条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动物卫生监督机构根据动物疫病预防、控制需要，经当地县级以上地方人民政府批准，可以在车站、港口、机场等相关场所派驻官方兽医。</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135"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对生猪屠宰活动的监督检查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rPr>
                <w:rFonts w:ascii="宋体" w:hAnsi="宋体"/>
                <w:kern w:val="0"/>
                <w:sz w:val="20"/>
                <w:szCs w:val="20"/>
              </w:rPr>
            </w:pPr>
            <w:r>
              <w:rPr>
                <w:rFonts w:hint="eastAsia" w:ascii="宋体" w:hAnsi="宋体"/>
                <w:kern w:val="0"/>
                <w:sz w:val="20"/>
                <w:szCs w:val="20"/>
              </w:rPr>
              <w:t>《生猪屠宰管理条例》第二十一条 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106"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《对绿色食品及绿色食品标志的监督检查（不含监督抽查）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《绿色食品标志管理办法》第二十四条 县级以上地方人民政府农业行政主管部门应当加强绿色食品标志的监督管理工作，依法对辖区内绿色食品产地环境、产品质量、包装标识、标志使用等情况进行监督检查。</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942"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对农业机械的安全监督检查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1.《农业机械安全监督管理条例》第四十条 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r>
              <w:rPr>
                <w:rFonts w:hint="eastAsia" w:ascii="宋体" w:hAnsi="宋体"/>
                <w:kern w:val="0"/>
                <w:sz w:val="20"/>
                <w:szCs w:val="20"/>
              </w:rPr>
              <w:br w:type="textWrapping"/>
            </w:r>
            <w:r>
              <w:rPr>
                <w:rFonts w:hint="eastAsia" w:ascii="宋体" w:hAnsi="宋体"/>
                <w:kern w:val="0"/>
                <w:sz w:val="20"/>
                <w:szCs w:val="20"/>
              </w:rPr>
              <w:t>2.《农业机械维修管理规定》第十六条 农业机械化主管部门、工商行政管理部门应当按照各自职责，密切配合，加强对农业机械维修者的从业资格、维修人员资格、维修质量、维修设备和检测仪器技术状态以及安全生产情况的监督检查。</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86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26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对兽药的监督检查（仅下放对兽药经营企业的监督检查）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kern w:val="0"/>
                <w:sz w:val="20"/>
                <w:szCs w:val="20"/>
              </w:rPr>
            </w:pPr>
            <w:r>
              <w:rPr>
                <w:rFonts w:hint="eastAsia" w:ascii="宋体" w:hAnsi="宋体"/>
                <w:kern w:val="0"/>
                <w:sz w:val="20"/>
                <w:szCs w:val="20"/>
              </w:rPr>
              <w:t>《兽药管理条例》第二十五条 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86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27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对渔业及渔业船舶的监督检查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1.《中华人民共和国渔业法》第六条第二款  县级以上人民政府渔业行政主管部门及其所属的渔政监督管理机构可以设渔政检查人员。渔政检查人员执行渔业行政主管部门及其所属的渔政监督管理机构交付的任务。</w:t>
            </w:r>
            <w:r>
              <w:rPr>
                <w:rFonts w:hint="eastAsia" w:ascii="宋体" w:hAnsi="宋体"/>
                <w:kern w:val="0"/>
                <w:sz w:val="20"/>
                <w:szCs w:val="20"/>
              </w:rPr>
              <w:br w:type="textWrapping"/>
            </w:r>
            <w:r>
              <w:rPr>
                <w:rFonts w:hint="eastAsia" w:ascii="宋体" w:hAnsi="宋体"/>
                <w:kern w:val="0"/>
                <w:sz w:val="20"/>
                <w:szCs w:val="20"/>
              </w:rPr>
              <w:t>2.《中华人民共和国渔业法实施细则》第七条  渔政检查人员有权对各种渔业及渔业船舶的证件、渔船、渔具、渔获物和捕捞方法，进行检查。渔政检查人员经国务院渔业行政主管部门或者省级人民政府渔业行政主管部门考核，合格者方可执行公务。</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28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28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对经营利用水生野生动物及其产品、捕捉国家重点保护的水生野生动物的监督检查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《中华人民共和国水生野生动物保护实施条例》第十五条第二款  县级人民政府渔业行政主管部门或者其所属的渔政监督管理机构对在本行政区域内捕捉国家重点保护的水生野生动物的活动，应当进行监督检查，并及时向批准捕捉的部门报告监督检查结果。</w:t>
            </w:r>
            <w:r>
              <w:rPr>
                <w:rFonts w:hint="eastAsia" w:ascii="宋体" w:hAnsi="宋体"/>
                <w:kern w:val="0"/>
                <w:sz w:val="20"/>
                <w:szCs w:val="20"/>
              </w:rPr>
              <w:br w:type="textWrapping"/>
            </w:r>
            <w:r>
              <w:rPr>
                <w:rFonts w:hint="eastAsia" w:ascii="宋体" w:hAnsi="宋体"/>
                <w:kern w:val="0"/>
                <w:sz w:val="20"/>
                <w:szCs w:val="20"/>
              </w:rPr>
              <w:t>《中华人民共和国水生野生动物保护实施条例》第十九条第一款  县级以上各级人民政府渔业行政主管部门和工商行政管理部门，应当对水生野生动物或者其产品的经营利用建立监督检查制度，加强对经营利用水生野生动物或者其产品的监督管理。</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551"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29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对违反农村宅基地管理法律、法规行为的监督检查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《中华人民共和国土地管理法》第六十七条  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62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林业和草原</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森林防火检查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32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文物</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行政检查</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对宗教活动场所内的文物保护单位的行政检查</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《四川省〈中华人民共和国文物保护法〉实施办法》第二十条  宗教活动场所内的文物保护单位，由管理使用该场所的宗教组织负责依法对其进行修缮、保养和安全管理并接受文物行政主管部门的监督检查。</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50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黑体" w:hAnsi="黑体" w:eastAsia="黑体"/>
                <w:kern w:val="0"/>
                <w:sz w:val="20"/>
                <w:szCs w:val="20"/>
              </w:rPr>
            </w:pPr>
            <w:r>
              <w:rPr>
                <w:rFonts w:hint="eastAsia" w:ascii="黑体" w:hAnsi="黑体" w:eastAsia="黑体"/>
                <w:kern w:val="0"/>
                <w:sz w:val="20"/>
                <w:szCs w:val="20"/>
              </w:rPr>
              <w:t>四、行政奖励（7项）</w:t>
            </w:r>
          </w:p>
        </w:tc>
      </w:tr>
      <w:tr>
        <w:tblPrEx>
          <w:tblCellMar>
            <w:top w:w="0" w:type="dxa"/>
            <w:left w:w="108" w:type="dxa"/>
            <w:bottom w:w="0" w:type="dxa"/>
            <w:right w:w="108" w:type="dxa"/>
          </w:tblCellMar>
        </w:tblPrEx>
        <w:trPr>
          <w:trHeight w:val="23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自然资源</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对基本农田保护的奖励</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1.《中华人民共和国基本农田保护条例》第七条  国家对在基本农田保护工作中取得显著成绩的单位和个人，给予奖励。</w:t>
            </w:r>
            <w:r>
              <w:rPr>
                <w:rFonts w:hint="eastAsia" w:ascii="宋体" w:hAnsi="宋体"/>
                <w:kern w:val="0"/>
                <w:sz w:val="20"/>
                <w:szCs w:val="20"/>
              </w:rPr>
              <w:br w:type="textWrapping"/>
            </w:r>
            <w:r>
              <w:rPr>
                <w:rFonts w:hint="eastAsia" w:ascii="宋体" w:hAnsi="宋体"/>
                <w:kern w:val="0"/>
                <w:sz w:val="20"/>
                <w:szCs w:val="20"/>
              </w:rPr>
              <w:t>2.《自然资源部 农业农村部关于加强和改进永久基本农田保护工作的通知》第十七项（十七）完善激励补偿机制。省级自然资源主管部门和农业农村主管部门要会同相关部门，认真总结地方经验，按照“谁保护、谁受益”的原则，探索实行耕地保护激励性补偿和跨区域资源性补偿。鼓励有条件的地区建立耕地保护基金，与整合有关涉农补贴政策、完善粮食主产区利益补偿机制相衔接，与生态补偿机制相联动，依据永久基本农田保护任务和“两区”划定与建设任务落实情况、实际粮食生产情况，对农村集体经济组织和农户给予奖补。</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46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生态环境</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对环境保护工作有重要推动作用的信访人的表扬或者奖励</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《环境信访办法》第七条  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98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对举报违反食品安全规定的行为进行奖励</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《国务院关于加强食品等产品安全监督管理的特别规定》第十九条  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351"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35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应急管理</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对应急预案管理工作中做出显著成绩的单位和人员给予奖励（不含表彰）</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《生产安全事故应急预案管理办法》第四十三条  对于在应急预案管理工作中做出显著成绩的单位和人员，各级人民政府应急管理部门、生产经营单位可以给予表彰和奖励。</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237"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36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林业和草原</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对在森林病虫害防治工作中做出突出成绩的单位和个人给予奖励（不含表彰）</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《森林病虫害防治条例》第二十一条  有下列成绩之一的单位和个人，由人民政府或者林业主管部门给予奖励：（一）严格执行森林病虫害防治法规，预防和除治措施得力，在本地区或者经营区域内，连续五年没有发生森林病虫害的；（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183"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37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林业和草原</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在森林防火工作中做出突出成绩或在扑救重大、特别重大森林火灾中表现突出的单位和个人给予奖励（不含表彰）</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《森林防火条例》第十二条  对在森林防火工作中作出突出成绩的单位和个人，按照国家有关规定，给予表彰和奖励。对在扑救重大、特别重大森林火灾中表现突出的单位和个人，可以由森林防火指挥机构当场给予表彰和奖励。</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507"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38</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林业和草原</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行政奖励</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对在森林资源保护管理工作中做出突出成绩的单位和个人给予奖励（不含表彰）</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《中华人民共和国森林法》第十三条  对在造林绿化、森林保护、森林经营管理以及林业科学研究等方面成绩显著的组织或者个人，按照国家有关规定给予表彰、奖励。</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50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黑体" w:hAnsi="黑体" w:eastAsia="黑体"/>
                <w:kern w:val="0"/>
                <w:sz w:val="20"/>
                <w:szCs w:val="20"/>
              </w:rPr>
            </w:pPr>
            <w:r>
              <w:rPr>
                <w:rFonts w:hint="eastAsia" w:ascii="黑体" w:hAnsi="黑体" w:eastAsia="黑体"/>
                <w:kern w:val="0"/>
                <w:sz w:val="20"/>
                <w:szCs w:val="20"/>
              </w:rPr>
              <w:t>五、其他行政权力（9项）</w:t>
            </w:r>
          </w:p>
        </w:tc>
      </w:tr>
      <w:tr>
        <w:tblPrEx>
          <w:tblCellMar>
            <w:top w:w="0" w:type="dxa"/>
            <w:left w:w="108" w:type="dxa"/>
            <w:bottom w:w="0" w:type="dxa"/>
            <w:right w:w="108" w:type="dxa"/>
          </w:tblCellMar>
        </w:tblPrEx>
        <w:trPr>
          <w:trHeight w:val="132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39</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自然资源</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对阻挠国家建设征收土地的处理</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《中华人民共和国土地管理法实施条例》第四十五条  违反土地管理法律、法规规定阻挠国家建设征收土地的，由县级以上人民政府土地行政主管部门责令交出土地；拒不交出土地的，申请人民法院强制执行。</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3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40</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自然资源</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对被征地当事人依法补偿、安置后拒不搬迁的处理</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《四川省〈中华人民共和国土地管理法〉实施办法》第六十三条  建设征用、使用土地，依法补偿、安置后，当事人拒不搬迁的，由县级以上人民政府土地行政主管部门责令其限期搬迁；逾期不搬迁的，由市、县人民政府依法申请人民法院强制搬迁。</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2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41</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住房城乡建设</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房屋租赁登记备案</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《商品房屋租赁管理办法》第十四条  房屋租赁合同订立后三十日内，房屋租赁当事人应当到租赁房屋所在地直辖市、市、县人民政府建设（房地产）主管部门办理房屋租赁登记备案。房屋租赁当事人可以书面委托他人办理租赁登记备案。</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02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42</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隔离、处理染疫或者疑似染疫的动物、动物产品及相关物品</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《中华人民共和国动物防疫法》第五十九条第一款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8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kern w:val="0"/>
                <w:sz w:val="20"/>
                <w:szCs w:val="20"/>
              </w:rPr>
            </w:pPr>
            <w:r>
              <w:rPr>
                <w:rFonts w:hint="eastAsia" w:ascii="宋体" w:hAnsi="宋体"/>
                <w:kern w:val="0"/>
                <w:sz w:val="20"/>
                <w:szCs w:val="20"/>
              </w:rPr>
              <w:t>43</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畜禽养殖场、养殖小区备案</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《中华人民共和国畜牧法》第三十九条第二款 养殖场、养殖小区兴办者应当将养殖场、养殖小区的名称、养殖地址、畜禽品种和养殖规模，向养殖场、养殖小区所在地县级人民政府畜牧兽医行政主管部门备案，取得畜禽标识代码。</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56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44</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农业农村</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动物收购贩运备案</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《四川省〈中华人民共和国动物防疫法〉实施办法》第十三条  从事动物收购贩运的单位和个人应当在所在地县级动物卫生监督执法机构进行备案，并遵守以下规定:</w:t>
            </w:r>
            <w:r>
              <w:rPr>
                <w:rFonts w:hint="eastAsia" w:ascii="宋体" w:hAnsi="宋体"/>
                <w:kern w:val="0"/>
                <w:sz w:val="20"/>
                <w:szCs w:val="20"/>
              </w:rPr>
              <w:br w:type="textWrapping"/>
            </w:r>
            <w:r>
              <w:rPr>
                <w:rFonts w:hint="eastAsia" w:ascii="宋体" w:hAnsi="宋体"/>
                <w:kern w:val="0"/>
                <w:sz w:val="20"/>
                <w:szCs w:val="20"/>
              </w:rPr>
              <w:t>（一）收购贩运的动物附有检疫合格证明；（二）运输动物前、后对运输工具进行消毒；（三）建立收购贩运台账，真实记录动物品种、数量、来源、免疫、检疫合格证明编号、畜禽标识及运输、销售等信息。</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52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45</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市场监管</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食品小作坊、小经营店备案</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《四川省食品小作坊、小经营店及摊贩管理条例》第十一条  食品小作坊、小经营店生产经营实行备案管理。食品生产经营者应当在从事生产经营活动前向生产经营所在地县级食品监督行政部门提交下列备案材料：（一）申请书；（二）申请人的身份证复印件及联系方式；（三）营业执照复印件；（四）从事接触直接入口食品工作的人员的健康证明；（五）生产经营的主要食品类别或者业态。</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234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46</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体育</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对侵占、破坏公共体育设施的处理</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1.《中华人民共和国体育法》第五十条  侵占、破坏公共体育设施的，由体育行政部门责令限期改正，并依法承担民事责任。有前款所列行为，违反治安管理的，由公安机关依照治安管理处罚法的有关规定给予处罚；构成犯罪的，依法追究刑事责任。                                                               2.《四川省全民健身条例》第四十一条  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r>
        <w:tblPrEx>
          <w:tblCellMar>
            <w:top w:w="0" w:type="dxa"/>
            <w:left w:w="108" w:type="dxa"/>
            <w:bottom w:w="0" w:type="dxa"/>
            <w:right w:w="108" w:type="dxa"/>
          </w:tblCellMar>
        </w:tblPrEx>
        <w:trPr>
          <w:trHeight w:val="1500" w:hRule="atLeast"/>
          <w:jc w:val="center"/>
        </w:trPr>
        <w:tc>
          <w:tcPr>
            <w:tcW w:w="1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47</w:t>
            </w:r>
          </w:p>
        </w:tc>
        <w:tc>
          <w:tcPr>
            <w:tcW w:w="2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林业和草原</w:t>
            </w:r>
          </w:p>
        </w:tc>
        <w:tc>
          <w:tcPr>
            <w:tcW w:w="3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其他行政权力</w:t>
            </w:r>
          </w:p>
        </w:tc>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下达森林火灾隐患整改通知书</w:t>
            </w:r>
          </w:p>
        </w:tc>
        <w:tc>
          <w:tcPr>
            <w:tcW w:w="290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kern w:val="0"/>
                <w:sz w:val="20"/>
                <w:szCs w:val="20"/>
              </w:rPr>
            </w:pPr>
            <w:r>
              <w:rPr>
                <w:rFonts w:hint="eastAsia" w:ascii="宋体" w:hAnsi="宋体"/>
                <w:kern w:val="0"/>
                <w:sz w:val="20"/>
                <w:szCs w:val="20"/>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c>
          <w:tcPr>
            <w:tcW w:w="2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 w:val="20"/>
                <w:szCs w:val="20"/>
              </w:rPr>
            </w:pPr>
            <w:r>
              <w:rPr>
                <w:rFonts w:hint="eastAsia" w:ascii="宋体" w:hAnsi="宋体"/>
                <w:kern w:val="0"/>
                <w:sz w:val="20"/>
                <w:szCs w:val="20"/>
              </w:rPr>
              <w:t>√</w:t>
            </w:r>
          </w:p>
        </w:tc>
        <w:tc>
          <w:tcPr>
            <w:tcW w:w="195" w:type="pct"/>
            <w:tcBorders>
              <w:top w:val="single" w:color="000000" w:sz="4" w:space="0"/>
              <w:left w:val="single" w:color="000000" w:sz="4" w:space="0"/>
              <w:bottom w:val="single" w:color="000000" w:sz="4" w:space="0"/>
              <w:right w:val="single" w:color="000000" w:sz="4" w:space="0"/>
            </w:tcBorders>
            <w:noWrap/>
            <w:vAlign w:val="top"/>
          </w:tcPr>
          <w:p>
            <w:pPr>
              <w:widowControl/>
              <w:spacing w:line="300" w:lineRule="exact"/>
              <w:jc w:val="left"/>
              <w:rPr>
                <w:rFonts w:ascii="宋体" w:hAnsi="宋体"/>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FF9BB"/>
    <w:rsid w:val="656FF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2021-05-19T17:46:00Z</dcterms:created>
  <dc:creator>uos</dc:creator>
  <cp:lastModifiedBy>uos</cp:lastModifiedBy>
  <dcterms:modified xsi:type="dcterms:W3CDTF">2021-05-19T17:47:16Z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