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6" w:lineRule="exact"/>
        <w:jc w:val="center"/>
        <w:rPr>
          <w:rFonts w:ascii="黑体" w:hAnsi="黑体" w:eastAsia="黑体" w:cs="黑体"/>
        </w:rPr>
      </w:pPr>
      <w:r>
        <w:rPr>
          <w:rFonts w:hint="eastAsia" w:ascii="黑体" w:hAnsi="黑体" w:eastAsia="黑体" w:cs="黑体"/>
        </w:rPr>
        <w:t>剑阁县2024年</w:t>
      </w:r>
      <w:r>
        <w:rPr>
          <w:rFonts w:hint="eastAsia" w:ascii="黑体" w:hAnsi="黑体" w:eastAsia="黑体" w:cs="黑体"/>
          <w:lang w:val="en-US" w:eastAsia="zh-CN"/>
        </w:rPr>
        <w:t>9</w:t>
      </w:r>
      <w:r>
        <w:rPr>
          <w:rFonts w:hint="eastAsia" w:ascii="黑体" w:hAnsi="黑体" w:eastAsia="黑体" w:cs="黑体"/>
        </w:rPr>
        <w:t>月环境信访办理情况公示</w:t>
      </w:r>
    </w:p>
    <w:tbl>
      <w:tblPr>
        <w:tblStyle w:val="7"/>
        <w:tblpPr w:leftFromText="180" w:rightFromText="180" w:vertAnchor="text" w:horzAnchor="page" w:tblpX="1401" w:tblpY="14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56"/>
        <w:gridCol w:w="909"/>
        <w:gridCol w:w="792"/>
        <w:gridCol w:w="850"/>
        <w:gridCol w:w="2552"/>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70"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956"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信访</w:t>
            </w:r>
          </w:p>
          <w:p>
            <w:pPr>
              <w:spacing w:line="230" w:lineRule="exact"/>
              <w:jc w:val="center"/>
              <w:rPr>
                <w:rFonts w:ascii="黑体" w:hAnsi="黑体" w:eastAsia="黑体" w:cs="黑体"/>
                <w:sz w:val="24"/>
                <w:szCs w:val="24"/>
              </w:rPr>
            </w:pPr>
            <w:r>
              <w:rPr>
                <w:rFonts w:hint="eastAsia" w:ascii="黑体" w:hAnsi="黑体" w:eastAsia="黑体" w:cs="黑体"/>
                <w:sz w:val="24"/>
                <w:szCs w:val="24"/>
              </w:rPr>
              <w:t>来源</w:t>
            </w:r>
          </w:p>
        </w:tc>
        <w:tc>
          <w:tcPr>
            <w:tcW w:w="909"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pPr>
              <w:spacing w:line="230" w:lineRule="exact"/>
              <w:jc w:val="center"/>
              <w:rPr>
                <w:rFonts w:ascii="黑体" w:hAnsi="黑体" w:eastAsia="黑体" w:cs="黑体"/>
                <w:sz w:val="24"/>
                <w:szCs w:val="24"/>
              </w:rPr>
            </w:pPr>
            <w:r>
              <w:rPr>
                <w:rFonts w:hint="eastAsia" w:ascii="黑体" w:hAnsi="黑体" w:eastAsia="黑体" w:cs="黑体"/>
                <w:sz w:val="24"/>
                <w:szCs w:val="24"/>
              </w:rPr>
              <w:t>地址</w:t>
            </w:r>
          </w:p>
        </w:tc>
        <w:tc>
          <w:tcPr>
            <w:tcW w:w="792"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pPr>
              <w:spacing w:line="230" w:lineRule="exact"/>
              <w:jc w:val="center"/>
              <w:rPr>
                <w:rFonts w:ascii="黑体" w:hAnsi="黑体" w:eastAsia="黑体" w:cs="黑体"/>
                <w:sz w:val="24"/>
                <w:szCs w:val="24"/>
              </w:rPr>
            </w:pPr>
            <w:r>
              <w:rPr>
                <w:rFonts w:hint="eastAsia" w:ascii="黑体" w:hAnsi="黑体" w:eastAsia="黑体" w:cs="黑体"/>
                <w:sz w:val="24"/>
                <w:szCs w:val="24"/>
              </w:rPr>
              <w:t>类别</w:t>
            </w:r>
          </w:p>
        </w:tc>
        <w:tc>
          <w:tcPr>
            <w:tcW w:w="850"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投诉时间</w:t>
            </w:r>
          </w:p>
        </w:tc>
        <w:tc>
          <w:tcPr>
            <w:tcW w:w="2552"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pPr>
              <w:spacing w:line="230" w:lineRule="exact"/>
              <w:jc w:val="center"/>
              <w:rPr>
                <w:rFonts w:ascii="黑体" w:hAnsi="黑体" w:eastAsia="黑体" w:cs="黑体"/>
                <w:sz w:val="24"/>
                <w:szCs w:val="24"/>
              </w:rPr>
            </w:pPr>
            <w:r>
              <w:rPr>
                <w:rFonts w:hint="eastAsia" w:ascii="黑体" w:hAnsi="黑体" w:eastAsia="黑体" w:cs="黑体"/>
                <w:sz w:val="24"/>
                <w:szCs w:val="24"/>
              </w:rPr>
              <w:t>内容</w:t>
            </w:r>
          </w:p>
        </w:tc>
        <w:tc>
          <w:tcPr>
            <w:tcW w:w="8080"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pPr>
              <w:jc w:val="center"/>
              <w:rPr>
                <w:rFonts w:ascii="宋体" w:hAnsi="宋体" w:cs="宋体"/>
                <w:sz w:val="18"/>
                <w:szCs w:val="18"/>
              </w:rPr>
            </w:pPr>
            <w:r>
              <w:rPr>
                <w:rFonts w:hint="eastAsia" w:ascii="宋体" w:hAnsi="宋体" w:cs="宋体"/>
                <w:sz w:val="18"/>
                <w:szCs w:val="18"/>
              </w:rPr>
              <w:t>1</w:t>
            </w:r>
          </w:p>
        </w:tc>
        <w:tc>
          <w:tcPr>
            <w:tcW w:w="956"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市局转办 （网络）</w:t>
            </w:r>
          </w:p>
        </w:tc>
        <w:tc>
          <w:tcPr>
            <w:tcW w:w="909"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公兴镇圈龙社区</w:t>
            </w:r>
          </w:p>
        </w:tc>
        <w:tc>
          <w:tcPr>
            <w:tcW w:w="792"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水</w:t>
            </w:r>
          </w:p>
        </w:tc>
        <w:tc>
          <w:tcPr>
            <w:tcW w:w="850"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9.12</w:t>
            </w:r>
          </w:p>
        </w:tc>
        <w:tc>
          <w:tcPr>
            <w:tcW w:w="2552" w:type="dxa"/>
            <w:vAlign w:val="center"/>
          </w:tcPr>
          <w:p>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反映：剑阁县公兴镇污水处理厂没有工作，圈龙场的污水全部都到河里了，要求及时核实处理。</w:t>
            </w:r>
          </w:p>
        </w:tc>
        <w:tc>
          <w:tcPr>
            <w:tcW w:w="8080" w:type="dxa"/>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执法人员进行了核实处理，经查，信访反映的“污水处理厂”实为剑阁县圈龙污水处理站，位于原圈龙乡场镇，由剑阁县水利发展（集团）有限公司负责建设和使用，设计处理规模100m³/d，主要收集处理圈龙场镇及附近村组居民生活污水。污水处理站于2024年初建成并投入时试运行，现运行基本正常。经调查核实，9月12日，圈龙污水处理站进水口由于垃圾堵塞，导致泵站格栅水流不畅，部分污水溢出至外环境，群众反映情况属实。处理情况：公兴镇政府</w:t>
            </w:r>
            <w:r>
              <w:rPr>
                <w:rFonts w:hint="eastAsia" w:ascii="宋体" w:hAnsi="宋体" w:cs="宋体"/>
                <w:i w:val="0"/>
                <w:iCs w:val="0"/>
                <w:color w:val="000000"/>
                <w:kern w:val="0"/>
                <w:sz w:val="18"/>
                <w:szCs w:val="18"/>
                <w:u w:val="none"/>
                <w:lang w:val="en-US" w:eastAsia="zh-CN" w:bidi="ar"/>
              </w:rPr>
              <w:t>已</w:t>
            </w:r>
            <w:r>
              <w:rPr>
                <w:rFonts w:hint="eastAsia" w:ascii="宋体" w:hAnsi="宋体" w:eastAsia="宋体" w:cs="宋体"/>
                <w:i w:val="0"/>
                <w:iCs w:val="0"/>
                <w:color w:val="000000"/>
                <w:kern w:val="0"/>
                <w:sz w:val="18"/>
                <w:szCs w:val="18"/>
                <w:u w:val="none"/>
                <w:lang w:val="en-US" w:eastAsia="zh-CN" w:bidi="ar"/>
              </w:rPr>
              <w:t>联系剑阁县水利发展（集团）有限公司，组织专业人员于9月13日上午对污水处理厂泵站格栅处垃圾进行了彻底清理，并对前期污染地块进行了翻耕覆盖，现污水处理站已正常进水并正常运行。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回访情况：公兴镇政府通过网络方式联系上了信访群众，将核实及现场处理情况进行了告知，群众对处理表示满意，并主动在网上进行了删帖。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570" w:type="dxa"/>
            <w:vAlign w:val="center"/>
          </w:tcPr>
          <w:p>
            <w:pPr>
              <w:jc w:val="center"/>
              <w:rPr>
                <w:rFonts w:ascii="宋体" w:hAnsi="宋体" w:cs="宋体"/>
                <w:sz w:val="18"/>
                <w:szCs w:val="18"/>
              </w:rPr>
            </w:pPr>
            <w:r>
              <w:rPr>
                <w:rFonts w:hint="eastAsia" w:ascii="宋体" w:hAnsi="宋体" w:cs="宋体"/>
                <w:sz w:val="18"/>
                <w:szCs w:val="18"/>
              </w:rPr>
              <w:t>2</w:t>
            </w:r>
          </w:p>
        </w:tc>
        <w:tc>
          <w:tcPr>
            <w:tcW w:w="956"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县长信箱 （网络）</w:t>
            </w:r>
          </w:p>
        </w:tc>
        <w:tc>
          <w:tcPr>
            <w:tcW w:w="909"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白龙镇临津社区</w:t>
            </w:r>
          </w:p>
        </w:tc>
        <w:tc>
          <w:tcPr>
            <w:tcW w:w="792"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畜禽养殖</w:t>
            </w:r>
          </w:p>
        </w:tc>
        <w:tc>
          <w:tcPr>
            <w:tcW w:w="850"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9.17</w:t>
            </w:r>
          </w:p>
        </w:tc>
        <w:tc>
          <w:tcPr>
            <w:tcW w:w="2552" w:type="dxa"/>
            <w:vAlign w:val="center"/>
          </w:tcPr>
          <w:p>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白龙镇青峰村7组规模化养鸡污染严重味道太大饮水安全求解决:邻居办理养鸡场已经达到规模化养鸡600只还包括几十只鸭，该养鸡场就在其家后面距离几米，距离居民点太近，对周边生活环境造成极大影响和污染，周边味道很大很臭而且苍蝇很多，已经严重影响到生活起居和饮水安全</w:t>
            </w:r>
          </w:p>
        </w:tc>
        <w:tc>
          <w:tcPr>
            <w:tcW w:w="8080" w:type="dxa"/>
            <w:vAlign w:val="center"/>
          </w:tcPr>
          <w:p>
            <w:pPr>
              <w:keepNext w:val="0"/>
              <w:keepLines w:val="0"/>
              <w:widowControl/>
              <w:suppressLineNumbers w:val="0"/>
              <w:spacing w:after="180" w:afterAutospacing="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执法人员会同属地政府进行了核实、处理，经查，群众所反映的养鸡场位于白龙镇临津社区（原青峰村7组），该养殖户利用原养猪场（未养殖）后的空坝养殖家禽，现场检查时，实际存栏鸡300余只、鸭40余只。养殖场距离群众家住所10米左右（在其住房后），现场核查，确实有一定异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现场查看反映的水井，未发现明显污染痕迹，且周边群众均使用自来水。处理情况：执法人员组织养殖业主，并邀请信访人父亲及周边群众参与，就养鸡场投诉事宜进行协商，达成一致意见：养殖业主认识到其养殖行为确实对周边群众生活有一定影响，主动承诺，于近期将所有饲养的鸡鸭进行出售处理，而后对养殖场地进行清理，以后不再养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回访情况：9月19日上午，镇分管领导进行了电话回访，将核实及处理情况进行了告知。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pPr>
              <w:jc w:val="center"/>
              <w:rPr>
                <w:rFonts w:ascii="仿宋" w:hAnsi="仿宋" w:eastAsia="仿宋" w:cs="宋体"/>
                <w:sz w:val="18"/>
                <w:szCs w:val="18"/>
              </w:rPr>
            </w:pPr>
            <w:r>
              <w:rPr>
                <w:rFonts w:hint="eastAsia" w:ascii="仿宋" w:hAnsi="仿宋" w:eastAsia="仿宋" w:cs="宋体"/>
                <w:sz w:val="18"/>
                <w:szCs w:val="18"/>
              </w:rPr>
              <w:t>3</w:t>
            </w:r>
          </w:p>
        </w:tc>
        <w:tc>
          <w:tcPr>
            <w:tcW w:w="956"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12345电话</w:t>
            </w:r>
          </w:p>
        </w:tc>
        <w:tc>
          <w:tcPr>
            <w:tcW w:w="909"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秀钟乡钟山村3组</w:t>
            </w:r>
          </w:p>
        </w:tc>
        <w:tc>
          <w:tcPr>
            <w:tcW w:w="792"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畜禽养殖</w:t>
            </w:r>
          </w:p>
        </w:tc>
        <w:tc>
          <w:tcPr>
            <w:tcW w:w="850"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9.23</w:t>
            </w:r>
          </w:p>
        </w:tc>
        <w:tc>
          <w:tcPr>
            <w:tcW w:w="2552" w:type="dxa"/>
            <w:vAlign w:val="center"/>
          </w:tcPr>
          <w:p>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反映：秀钟乡钟山村3组养殖场直排粪水，导致河水被污染，堰塘内全是污水，目前正在通过沟渠排放，要求及时处理。</w:t>
            </w:r>
          </w:p>
        </w:tc>
        <w:tc>
          <w:tcPr>
            <w:tcW w:w="8080" w:type="dxa"/>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会同属地政府进行了核实、处理，经查，群众所反映的养殖场实为秀钟柏堰养殖场，位于秀钟乡钟山村（原柏堰村）三组，法人代表王胡春，养殖场修建于2017年，设计养殖场规模2000头/年，现存栏1000头，有营业执照，有环保手续，建有相关的粪污收集和处理设施且现场设施运行良好。现场核查，未发现有养殖废水外排现象，养殖场及周边未发现有外排痕迹，群众反养殖废水直排的问题不属实。进一步核实，在该养殖场下方约300米处有一废弃堰塘，存有少许塘水（未发现有养殖废水进入），塘中有大量浮萍。现因村民杨全志（电话号码：15283994389）计划承包该堰塘用于养鱼，在2024年9月22日起，将堰塘中水放干后进行整治、消杀，在放水过程中由于有塘底淤泥一同放出，造成放出的水比较浑浊，周边群众误以为是在直排养殖废水。调查人员现场提取了塘中水样观察，水质较清澈无明显异味。处理要求：1、要求养殖场对场内粪污收集和处理设施进行一次全面自查，坚决防止粪污外排污染周边环境；2、要求规范粪污还田利用程序，严格按照畜牧粪污还田处理规范流程处理污水；3、要求秀钟乡进一步加强对养殖场的监管，严防出现废水直排的违法行为。回访情况：9月24日下午，政府分管领导电话联系信访群众，将核实及处理情况进行了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pPr>
              <w:jc w:val="center"/>
              <w:rPr>
                <w:rFonts w:ascii="仿宋" w:hAnsi="仿宋" w:eastAsia="仿宋" w:cs="宋体"/>
                <w:sz w:val="18"/>
                <w:szCs w:val="18"/>
              </w:rPr>
            </w:pPr>
            <w:r>
              <w:rPr>
                <w:rFonts w:hint="eastAsia" w:ascii="仿宋" w:hAnsi="仿宋" w:eastAsia="仿宋" w:cs="宋体"/>
                <w:sz w:val="18"/>
                <w:szCs w:val="18"/>
              </w:rPr>
              <w:t>4</w:t>
            </w:r>
          </w:p>
        </w:tc>
        <w:tc>
          <w:tcPr>
            <w:tcW w:w="956"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环保举报平台（微信）</w:t>
            </w:r>
          </w:p>
        </w:tc>
        <w:tc>
          <w:tcPr>
            <w:tcW w:w="909"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秀钟乡钟山村3组</w:t>
            </w:r>
          </w:p>
        </w:tc>
        <w:tc>
          <w:tcPr>
            <w:tcW w:w="792"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畜禽养殖</w:t>
            </w:r>
          </w:p>
        </w:tc>
        <w:tc>
          <w:tcPr>
            <w:tcW w:w="850"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9.23</w:t>
            </w:r>
          </w:p>
        </w:tc>
        <w:tc>
          <w:tcPr>
            <w:tcW w:w="2552" w:type="dxa"/>
            <w:vAlign w:val="center"/>
          </w:tcPr>
          <w:p>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反映：秀钟乡钟山村3组养殖场直排粪水泄露，导致周边村民用水影响。</w:t>
            </w:r>
          </w:p>
        </w:tc>
        <w:tc>
          <w:tcPr>
            <w:tcW w:w="8080" w:type="dxa"/>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会同属地政府进行了核实、处理，经查，群众所反映的养殖场实为秀钟柏堰养殖场，位于秀钟乡钟山村（原柏堰村）三组，法人代表王胡春，养殖场修建于2017年，设计养殖场规模2000头/年，现存栏1000头，有营业执照，有环保手续，建有相关的粪污收集和处理设施且现场设施运行良好。现场核查，未发现有养殖废水外排现象，养殖场及周边未发现有外排痕迹，群众反养殖废水直排的问题不属实。进一步核实，在该养殖场下方约300米处有一废弃堰塘，存有少许塘水（未发现有养殖废水进入），塘中有大量浮萍。现因村民杨全志（电话号码：15283994389）计划承包该堰塘用于养鱼，在2024年9月22日起，将堰塘中水放干后进行整治、消杀，在放水过程中由于有塘底淤泥一同放出，造成放出的水比较浑浊，周边群众误以为是在直排养殖废水。调查人员现场提取了塘中水样观察，水质较清澈无明显异味。处理要求：1、要求养殖场对场内粪污收集和处理设施进行一次全面自查，坚决防止粪污外排污染周边环境；2、要求规范粪污还田利用程序，严格按照畜牧粪污还田处理规范流程处理污水；3、要求秀钟乡进一步加强对养殖场的监管，严防出现废水直排的违法行为。回访情况：9月24日下午，政府分管领导电话联系信访群众，将核实及处理情况进行了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pPr>
              <w:jc w:val="center"/>
              <w:rPr>
                <w:rFonts w:ascii="仿宋" w:hAnsi="仿宋" w:eastAsia="仿宋" w:cs="宋体"/>
                <w:sz w:val="18"/>
                <w:szCs w:val="18"/>
              </w:rPr>
            </w:pPr>
            <w:r>
              <w:rPr>
                <w:rFonts w:hint="eastAsia" w:ascii="仿宋" w:hAnsi="仿宋" w:eastAsia="仿宋" w:cs="宋体"/>
                <w:sz w:val="18"/>
                <w:szCs w:val="18"/>
              </w:rPr>
              <w:t>5</w:t>
            </w:r>
          </w:p>
        </w:tc>
        <w:tc>
          <w:tcPr>
            <w:tcW w:w="956"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市局转办 （网络）</w:t>
            </w:r>
          </w:p>
        </w:tc>
        <w:tc>
          <w:tcPr>
            <w:tcW w:w="909"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剑阁普安镇</w:t>
            </w:r>
          </w:p>
        </w:tc>
        <w:tc>
          <w:tcPr>
            <w:tcW w:w="792"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废气</w:t>
            </w:r>
          </w:p>
        </w:tc>
        <w:tc>
          <w:tcPr>
            <w:tcW w:w="850"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9.24</w:t>
            </w:r>
          </w:p>
        </w:tc>
        <w:tc>
          <w:tcPr>
            <w:tcW w:w="2552" w:type="dxa"/>
            <w:vAlign w:val="center"/>
          </w:tcPr>
          <w:p>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反映：剑阁县前锋村4组微波站山上的垃圾填埋场选址在山顶是否合理？这几天有人焚烧垃圾，此举是否会污染地下水？如何保障居民饮用水安全？</w:t>
            </w:r>
          </w:p>
        </w:tc>
        <w:tc>
          <w:tcPr>
            <w:tcW w:w="8080" w:type="dxa"/>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要求普安镇环保办配合镇信访办现场调查处理。经查，群众所反映的剑阁县前锋村四组微波站山上的垃圾填埋场是临时设置的村级小型垃圾填埋场，该填埋场2017年建成投入使用，已于2019年正式关停,停止使用。该垃圾填埋场属于临时建设，使用时间不长，未发现对周边环境及居民饮用水有大的影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关于反映山上有焚烧垃圾的问题属实，现场调查发现，前锋村在环境卫生整治过程中，工作人员为图省事，直接将周边村组的垃圾收集倒入垃圾填埋场焚烧处置。执法人员要求</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立即停止违规焚烧垃圾行为；</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将现场垃圾清理转运至普安镇垃圾压缩站处理；</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清理、规整废弃垃圾场及周边环境，并设置警示标志；</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前锋村两委加强对废弃垃圾场日常监管，严禁倾倒及焚烧垃圾。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pPr>
              <w:jc w:val="center"/>
              <w:rPr>
                <w:rFonts w:ascii="仿宋" w:hAnsi="仿宋" w:eastAsia="仿宋" w:cs="宋体"/>
                <w:sz w:val="18"/>
                <w:szCs w:val="18"/>
              </w:rPr>
            </w:pPr>
            <w:r>
              <w:rPr>
                <w:rFonts w:hint="eastAsia" w:ascii="仿宋" w:hAnsi="仿宋" w:eastAsia="仿宋" w:cs="宋体"/>
                <w:sz w:val="18"/>
                <w:szCs w:val="18"/>
              </w:rPr>
              <w:t>6</w:t>
            </w:r>
          </w:p>
        </w:tc>
        <w:tc>
          <w:tcPr>
            <w:tcW w:w="956"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信访局交办(网络)</w:t>
            </w:r>
          </w:p>
        </w:tc>
        <w:tc>
          <w:tcPr>
            <w:tcW w:w="909"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 张王乡金黄村</w:t>
            </w:r>
          </w:p>
        </w:tc>
        <w:tc>
          <w:tcPr>
            <w:tcW w:w="792"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噪音</w:t>
            </w:r>
          </w:p>
        </w:tc>
        <w:tc>
          <w:tcPr>
            <w:tcW w:w="850" w:type="dxa"/>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9.24</w:t>
            </w:r>
          </w:p>
        </w:tc>
        <w:tc>
          <w:tcPr>
            <w:tcW w:w="2552" w:type="dxa"/>
            <w:vAlign w:val="center"/>
          </w:tcPr>
          <w:p>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反映：张王乡金黄村3组风力发电噪音扰民，要求赔偿。</w:t>
            </w:r>
          </w:p>
        </w:tc>
        <w:tc>
          <w:tcPr>
            <w:tcW w:w="8080" w:type="dxa"/>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执法人员进行了核实处理，经查，群众反映的风力发电系中节能广元剑阁天台山风电场二期项目。该项目于2019年12月取得省发改委批准（川发改能源〔2019〕582号），2021年3月取得项目环境影响评价批复（广剑环建发〔2021〕5号）。项目建设涉及张王镇、汉阳镇、江口镇、普安镇、剑门关镇5个乡镇。建设内容主要包括：安装32台单机容量3MW和2台单机容量2MW的风力发电机组，总装机容量为100MW。项目总投资70690.08万元。项目于2020年12月开工建设，2022年2月建成运行，2022年6月完成竣工环保自主验收。该项目噪声环境执行《声环境质量》（GB3096-2008）2类标准标准及《风电场噪声限值及测量方法》（DL/1084-2008）2类标准。群众反映的噪音，主要为该项目风力发电机组在运行过程中因风机叶片切割空气和发电机组转动会产生一定的运行噪声。</w:t>
            </w:r>
            <w:bookmarkStart w:id="0" w:name="_GoBack"/>
            <w:bookmarkEnd w:id="0"/>
            <w:r>
              <w:rPr>
                <w:rFonts w:hint="eastAsia" w:ascii="宋体" w:hAnsi="宋体" w:eastAsia="宋体" w:cs="宋体"/>
                <w:i w:val="0"/>
                <w:iCs w:val="0"/>
                <w:color w:val="000000"/>
                <w:kern w:val="0"/>
                <w:sz w:val="18"/>
                <w:szCs w:val="18"/>
                <w:u w:val="none"/>
                <w:lang w:val="en-US" w:eastAsia="zh-CN" w:bidi="ar"/>
              </w:rPr>
              <w:t>经现场勘查，群众房屋周边有5台风机，其中：西南方1台（28#）、东南方4台（29#、30#、31#、32#）。按照该项目环评文件批复要求“距离各风机基座边界170米安全防护距离范围内，不得修建学校、医院、养老院等任何对声环境要求较高的单位及居民住宅”。经核实：5台风机中离您房屋最近的28#风机距离约210米，不在规定的防护距离范围内。经座谈了解，该项目风机在满负荷运行时噪音过大，影响到其正常生活。为客观调查噪音扰民事实，公正认定环境损害责任，经与涉事企业和信访群众共同协商达成一致处理意见：待近期具备一定风速情况及风机运行达到正常运行工况条件下，由我局委托具备监测资质的第三方检测公司，在镇、村、群众代表和信访群众的共同见证下，开展噪音监测；根据监测情况，客观认定环境损害责任，视情况制定相应措施。若监测结果不满足《声环境质量》（GB3096-2008）2类标准，将会同县经信科局、张王镇人民政府督促该公司采取切实可行的降噪措施，确保风机运行噪声达标排放，保障</w:t>
            </w:r>
            <w:r>
              <w:rPr>
                <w:rFonts w:hint="eastAsia" w:ascii="宋体" w:hAnsi="宋体" w:cs="宋体"/>
                <w:i w:val="0"/>
                <w:iCs w:val="0"/>
                <w:color w:val="000000"/>
                <w:kern w:val="0"/>
                <w:sz w:val="18"/>
                <w:szCs w:val="18"/>
                <w:u w:val="none"/>
                <w:lang w:val="en-US" w:eastAsia="zh-CN" w:bidi="ar"/>
              </w:rPr>
              <w:t>群众</w:t>
            </w:r>
            <w:r>
              <w:rPr>
                <w:rFonts w:hint="eastAsia" w:ascii="宋体" w:hAnsi="宋体" w:eastAsia="宋体" w:cs="宋体"/>
                <w:i w:val="0"/>
                <w:iCs w:val="0"/>
                <w:color w:val="000000"/>
                <w:kern w:val="0"/>
                <w:sz w:val="18"/>
                <w:szCs w:val="18"/>
                <w:u w:val="none"/>
                <w:lang w:val="en-US" w:eastAsia="zh-CN" w:bidi="ar"/>
              </w:rPr>
              <w:t>的合理环境权益。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pPr>
              <w:jc w:val="center"/>
              <w:rPr>
                <w:rFonts w:ascii="仿宋" w:hAnsi="仿宋" w:eastAsia="仿宋" w:cs="宋体"/>
                <w:sz w:val="18"/>
                <w:szCs w:val="18"/>
              </w:rPr>
            </w:pPr>
          </w:p>
        </w:tc>
        <w:tc>
          <w:tcPr>
            <w:tcW w:w="956" w:type="dxa"/>
            <w:vAlign w:val="center"/>
          </w:tcPr>
          <w:p>
            <w:pPr>
              <w:jc w:val="both"/>
              <w:rPr>
                <w:rFonts w:ascii="宋体" w:hAnsi="宋体" w:cs="宋体"/>
                <w:sz w:val="18"/>
                <w:szCs w:val="18"/>
              </w:rPr>
            </w:pPr>
          </w:p>
        </w:tc>
        <w:tc>
          <w:tcPr>
            <w:tcW w:w="909" w:type="dxa"/>
            <w:vAlign w:val="center"/>
          </w:tcPr>
          <w:p>
            <w:pPr>
              <w:jc w:val="both"/>
              <w:rPr>
                <w:rFonts w:ascii="宋体" w:hAnsi="宋体" w:cs="宋体"/>
                <w:sz w:val="18"/>
                <w:szCs w:val="18"/>
              </w:rPr>
            </w:pPr>
          </w:p>
        </w:tc>
        <w:tc>
          <w:tcPr>
            <w:tcW w:w="792" w:type="dxa"/>
            <w:vAlign w:val="center"/>
          </w:tcPr>
          <w:p>
            <w:pPr>
              <w:jc w:val="both"/>
              <w:rPr>
                <w:rFonts w:ascii="宋体" w:hAnsi="宋体" w:cs="宋体"/>
                <w:sz w:val="18"/>
                <w:szCs w:val="18"/>
              </w:rPr>
            </w:pPr>
          </w:p>
        </w:tc>
        <w:tc>
          <w:tcPr>
            <w:tcW w:w="850" w:type="dxa"/>
            <w:vAlign w:val="center"/>
          </w:tcPr>
          <w:p>
            <w:pPr>
              <w:jc w:val="center"/>
              <w:rPr>
                <w:rFonts w:ascii="宋体" w:hAnsi="宋体" w:cs="宋体"/>
                <w:sz w:val="18"/>
                <w:szCs w:val="18"/>
              </w:rPr>
            </w:pPr>
          </w:p>
        </w:tc>
        <w:tc>
          <w:tcPr>
            <w:tcW w:w="2552" w:type="dxa"/>
            <w:vAlign w:val="center"/>
          </w:tcPr>
          <w:p>
            <w:pPr>
              <w:rPr>
                <w:rFonts w:ascii="宋体" w:hAnsi="宋体" w:cs="宋体"/>
                <w:sz w:val="18"/>
                <w:szCs w:val="18"/>
              </w:rPr>
            </w:pPr>
          </w:p>
        </w:tc>
        <w:tc>
          <w:tcPr>
            <w:tcW w:w="8080"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pPr>
              <w:jc w:val="center"/>
              <w:rPr>
                <w:rFonts w:ascii="仿宋" w:hAnsi="仿宋" w:eastAsia="仿宋" w:cs="宋体"/>
                <w:sz w:val="18"/>
                <w:szCs w:val="18"/>
              </w:rPr>
            </w:pPr>
          </w:p>
        </w:tc>
        <w:tc>
          <w:tcPr>
            <w:tcW w:w="956" w:type="dxa"/>
            <w:vAlign w:val="center"/>
          </w:tcPr>
          <w:p>
            <w:pPr>
              <w:jc w:val="center"/>
              <w:rPr>
                <w:rFonts w:ascii="宋体" w:hAnsi="宋体" w:cs="宋体"/>
                <w:sz w:val="18"/>
                <w:szCs w:val="18"/>
              </w:rPr>
            </w:pPr>
          </w:p>
        </w:tc>
        <w:tc>
          <w:tcPr>
            <w:tcW w:w="909" w:type="dxa"/>
            <w:vAlign w:val="center"/>
          </w:tcPr>
          <w:p>
            <w:pPr>
              <w:jc w:val="center"/>
              <w:rPr>
                <w:rFonts w:ascii="宋体" w:hAnsi="宋体" w:cs="宋体"/>
                <w:sz w:val="18"/>
                <w:szCs w:val="18"/>
              </w:rPr>
            </w:pPr>
          </w:p>
        </w:tc>
        <w:tc>
          <w:tcPr>
            <w:tcW w:w="792" w:type="dxa"/>
            <w:vAlign w:val="center"/>
          </w:tcPr>
          <w:p>
            <w:pPr>
              <w:jc w:val="center"/>
              <w:rPr>
                <w:rFonts w:ascii="宋体" w:hAnsi="宋体" w:cs="宋体"/>
                <w:sz w:val="18"/>
                <w:szCs w:val="18"/>
              </w:rPr>
            </w:pPr>
          </w:p>
        </w:tc>
        <w:tc>
          <w:tcPr>
            <w:tcW w:w="850" w:type="dxa"/>
            <w:vAlign w:val="center"/>
          </w:tcPr>
          <w:p>
            <w:pPr>
              <w:jc w:val="center"/>
              <w:rPr>
                <w:rFonts w:ascii="宋体" w:hAnsi="宋体" w:cs="宋体"/>
                <w:sz w:val="18"/>
                <w:szCs w:val="18"/>
              </w:rPr>
            </w:pPr>
          </w:p>
        </w:tc>
        <w:tc>
          <w:tcPr>
            <w:tcW w:w="2552" w:type="dxa"/>
            <w:vAlign w:val="center"/>
          </w:tcPr>
          <w:p>
            <w:pPr>
              <w:rPr>
                <w:rFonts w:ascii="宋体" w:hAnsi="宋体" w:cs="宋体"/>
                <w:sz w:val="18"/>
                <w:szCs w:val="18"/>
              </w:rPr>
            </w:pPr>
          </w:p>
        </w:tc>
        <w:tc>
          <w:tcPr>
            <w:tcW w:w="8080" w:type="dxa"/>
            <w:vAlign w:val="center"/>
          </w:tcPr>
          <w:p>
            <w:pPr>
              <w:rPr>
                <w:rFonts w:ascii="宋体" w:hAnsi="宋体" w:cs="宋体"/>
                <w:sz w:val="18"/>
                <w:szCs w:val="18"/>
              </w:rPr>
            </w:pPr>
          </w:p>
        </w:tc>
      </w:tr>
    </w:tbl>
    <w:p>
      <w:pPr>
        <w:pStyle w:val="2"/>
      </w:pPr>
    </w:p>
    <w:sectPr>
      <w:pgSz w:w="16838" w:h="11906" w:orient="landscape"/>
      <w:pgMar w:top="1417"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YWNkOTZlOGY2Y2QwNDE3OWIzZTJiMzJmZDE3ZDcifQ=="/>
  </w:docVars>
  <w:rsids>
    <w:rsidRoot w:val="105C4E35"/>
    <w:rsid w:val="00016DD1"/>
    <w:rsid w:val="00045BD9"/>
    <w:rsid w:val="00051F59"/>
    <w:rsid w:val="00054ABF"/>
    <w:rsid w:val="000570AA"/>
    <w:rsid w:val="00074267"/>
    <w:rsid w:val="00075DBA"/>
    <w:rsid w:val="000837F6"/>
    <w:rsid w:val="00093CAA"/>
    <w:rsid w:val="000A2E65"/>
    <w:rsid w:val="000A3E87"/>
    <w:rsid w:val="000C2DB3"/>
    <w:rsid w:val="000E48CD"/>
    <w:rsid w:val="000E5E81"/>
    <w:rsid w:val="00105F03"/>
    <w:rsid w:val="001104B4"/>
    <w:rsid w:val="001216E9"/>
    <w:rsid w:val="00130F13"/>
    <w:rsid w:val="001422D3"/>
    <w:rsid w:val="00147D49"/>
    <w:rsid w:val="00161B88"/>
    <w:rsid w:val="00181AC2"/>
    <w:rsid w:val="00183AB9"/>
    <w:rsid w:val="001A1241"/>
    <w:rsid w:val="001A386F"/>
    <w:rsid w:val="001A3AB3"/>
    <w:rsid w:val="001B4B38"/>
    <w:rsid w:val="001B7DDA"/>
    <w:rsid w:val="001D4F35"/>
    <w:rsid w:val="001F310B"/>
    <w:rsid w:val="00200387"/>
    <w:rsid w:val="00207963"/>
    <w:rsid w:val="00211D51"/>
    <w:rsid w:val="00256A18"/>
    <w:rsid w:val="002615CF"/>
    <w:rsid w:val="002630B3"/>
    <w:rsid w:val="00267E13"/>
    <w:rsid w:val="00270773"/>
    <w:rsid w:val="0027333A"/>
    <w:rsid w:val="00280321"/>
    <w:rsid w:val="00283383"/>
    <w:rsid w:val="00284299"/>
    <w:rsid w:val="0029153D"/>
    <w:rsid w:val="00294AE5"/>
    <w:rsid w:val="002A0C18"/>
    <w:rsid w:val="002B0A7B"/>
    <w:rsid w:val="002E5BE8"/>
    <w:rsid w:val="003229C3"/>
    <w:rsid w:val="0033190C"/>
    <w:rsid w:val="00333D10"/>
    <w:rsid w:val="003550D6"/>
    <w:rsid w:val="00372017"/>
    <w:rsid w:val="00374C63"/>
    <w:rsid w:val="0038633C"/>
    <w:rsid w:val="003A076D"/>
    <w:rsid w:val="003B0681"/>
    <w:rsid w:val="003C4AE2"/>
    <w:rsid w:val="003C4CFD"/>
    <w:rsid w:val="003F0CAF"/>
    <w:rsid w:val="003F6C78"/>
    <w:rsid w:val="003F7D89"/>
    <w:rsid w:val="004126AC"/>
    <w:rsid w:val="00420CD9"/>
    <w:rsid w:val="00430A93"/>
    <w:rsid w:val="004459D8"/>
    <w:rsid w:val="004C191D"/>
    <w:rsid w:val="004C787F"/>
    <w:rsid w:val="004D3491"/>
    <w:rsid w:val="00510E4B"/>
    <w:rsid w:val="00516A9B"/>
    <w:rsid w:val="005328D9"/>
    <w:rsid w:val="005564C3"/>
    <w:rsid w:val="00584BE5"/>
    <w:rsid w:val="005D0735"/>
    <w:rsid w:val="005E5E7C"/>
    <w:rsid w:val="005E7D25"/>
    <w:rsid w:val="005F40F8"/>
    <w:rsid w:val="005F6CFB"/>
    <w:rsid w:val="00614150"/>
    <w:rsid w:val="00627C41"/>
    <w:rsid w:val="006425C9"/>
    <w:rsid w:val="00667580"/>
    <w:rsid w:val="00683B3F"/>
    <w:rsid w:val="00685856"/>
    <w:rsid w:val="006935F8"/>
    <w:rsid w:val="00693C31"/>
    <w:rsid w:val="00697AB2"/>
    <w:rsid w:val="006B093C"/>
    <w:rsid w:val="006D5943"/>
    <w:rsid w:val="006D7D5E"/>
    <w:rsid w:val="006E2C0E"/>
    <w:rsid w:val="006E341E"/>
    <w:rsid w:val="006E344B"/>
    <w:rsid w:val="007010B4"/>
    <w:rsid w:val="00704265"/>
    <w:rsid w:val="0071603A"/>
    <w:rsid w:val="00773FF9"/>
    <w:rsid w:val="00774E71"/>
    <w:rsid w:val="007861C5"/>
    <w:rsid w:val="007E15E6"/>
    <w:rsid w:val="007E7C92"/>
    <w:rsid w:val="007F0D9A"/>
    <w:rsid w:val="007F28D1"/>
    <w:rsid w:val="007F4A0D"/>
    <w:rsid w:val="00807604"/>
    <w:rsid w:val="0081719E"/>
    <w:rsid w:val="00826581"/>
    <w:rsid w:val="00836BD0"/>
    <w:rsid w:val="00836E5C"/>
    <w:rsid w:val="00857A79"/>
    <w:rsid w:val="00864003"/>
    <w:rsid w:val="008640AB"/>
    <w:rsid w:val="00871ECC"/>
    <w:rsid w:val="0087252C"/>
    <w:rsid w:val="00880F9B"/>
    <w:rsid w:val="00890906"/>
    <w:rsid w:val="0089342A"/>
    <w:rsid w:val="008B227F"/>
    <w:rsid w:val="008B4EE5"/>
    <w:rsid w:val="008C44F1"/>
    <w:rsid w:val="008D5038"/>
    <w:rsid w:val="008D58A6"/>
    <w:rsid w:val="008F0D74"/>
    <w:rsid w:val="008F537F"/>
    <w:rsid w:val="00931A6B"/>
    <w:rsid w:val="00933938"/>
    <w:rsid w:val="00942310"/>
    <w:rsid w:val="00946A91"/>
    <w:rsid w:val="00956552"/>
    <w:rsid w:val="00982004"/>
    <w:rsid w:val="009835A6"/>
    <w:rsid w:val="009918DF"/>
    <w:rsid w:val="009B6DAC"/>
    <w:rsid w:val="009D5106"/>
    <w:rsid w:val="009D7406"/>
    <w:rsid w:val="009D7980"/>
    <w:rsid w:val="00A02B75"/>
    <w:rsid w:val="00A04B77"/>
    <w:rsid w:val="00A213DF"/>
    <w:rsid w:val="00A2507B"/>
    <w:rsid w:val="00A31C32"/>
    <w:rsid w:val="00A36A02"/>
    <w:rsid w:val="00A42BFD"/>
    <w:rsid w:val="00A50751"/>
    <w:rsid w:val="00A5410C"/>
    <w:rsid w:val="00A54DD1"/>
    <w:rsid w:val="00A6329F"/>
    <w:rsid w:val="00A67074"/>
    <w:rsid w:val="00A976DD"/>
    <w:rsid w:val="00A978C2"/>
    <w:rsid w:val="00AD3B2A"/>
    <w:rsid w:val="00AE17B6"/>
    <w:rsid w:val="00AE4FB5"/>
    <w:rsid w:val="00AF114F"/>
    <w:rsid w:val="00B12604"/>
    <w:rsid w:val="00B12EC5"/>
    <w:rsid w:val="00B34981"/>
    <w:rsid w:val="00B41A1A"/>
    <w:rsid w:val="00B44367"/>
    <w:rsid w:val="00B53DBC"/>
    <w:rsid w:val="00B54CB6"/>
    <w:rsid w:val="00B62901"/>
    <w:rsid w:val="00B631DB"/>
    <w:rsid w:val="00B654CA"/>
    <w:rsid w:val="00B66C80"/>
    <w:rsid w:val="00B76B88"/>
    <w:rsid w:val="00B77454"/>
    <w:rsid w:val="00B923B8"/>
    <w:rsid w:val="00BA00B8"/>
    <w:rsid w:val="00BB44AB"/>
    <w:rsid w:val="00BB66D4"/>
    <w:rsid w:val="00BC16DB"/>
    <w:rsid w:val="00BD41B7"/>
    <w:rsid w:val="00BF3531"/>
    <w:rsid w:val="00C0620C"/>
    <w:rsid w:val="00C140C2"/>
    <w:rsid w:val="00C15AB9"/>
    <w:rsid w:val="00C2020B"/>
    <w:rsid w:val="00C32990"/>
    <w:rsid w:val="00C32E4E"/>
    <w:rsid w:val="00C45822"/>
    <w:rsid w:val="00C64E29"/>
    <w:rsid w:val="00C92025"/>
    <w:rsid w:val="00C9624A"/>
    <w:rsid w:val="00CB7DD2"/>
    <w:rsid w:val="00CD20CE"/>
    <w:rsid w:val="00CD59B0"/>
    <w:rsid w:val="00CE07D3"/>
    <w:rsid w:val="00CE50FC"/>
    <w:rsid w:val="00CE7655"/>
    <w:rsid w:val="00D10F7A"/>
    <w:rsid w:val="00D21B6C"/>
    <w:rsid w:val="00D576B3"/>
    <w:rsid w:val="00D61A14"/>
    <w:rsid w:val="00D7640E"/>
    <w:rsid w:val="00D863C3"/>
    <w:rsid w:val="00DB1A93"/>
    <w:rsid w:val="00DB5BEA"/>
    <w:rsid w:val="00DC2A7B"/>
    <w:rsid w:val="00DC2B68"/>
    <w:rsid w:val="00DD144E"/>
    <w:rsid w:val="00DD3DDF"/>
    <w:rsid w:val="00DD7893"/>
    <w:rsid w:val="00DE767B"/>
    <w:rsid w:val="00E02F7D"/>
    <w:rsid w:val="00E03A3A"/>
    <w:rsid w:val="00E13B8F"/>
    <w:rsid w:val="00E1420B"/>
    <w:rsid w:val="00E20FFD"/>
    <w:rsid w:val="00E35CDF"/>
    <w:rsid w:val="00E50A80"/>
    <w:rsid w:val="00E55F2F"/>
    <w:rsid w:val="00E63A35"/>
    <w:rsid w:val="00E842D6"/>
    <w:rsid w:val="00E85883"/>
    <w:rsid w:val="00E9657A"/>
    <w:rsid w:val="00EB0584"/>
    <w:rsid w:val="00EB31B4"/>
    <w:rsid w:val="00EB6991"/>
    <w:rsid w:val="00EE3B5A"/>
    <w:rsid w:val="00EF6B1A"/>
    <w:rsid w:val="00F20B53"/>
    <w:rsid w:val="00F505F0"/>
    <w:rsid w:val="00F60E78"/>
    <w:rsid w:val="00F71392"/>
    <w:rsid w:val="00F7399A"/>
    <w:rsid w:val="00F77D2A"/>
    <w:rsid w:val="00FA14E4"/>
    <w:rsid w:val="00FA633F"/>
    <w:rsid w:val="00FA69EF"/>
    <w:rsid w:val="00FD5406"/>
    <w:rsid w:val="00FF6C37"/>
    <w:rsid w:val="01F53A14"/>
    <w:rsid w:val="03ED0128"/>
    <w:rsid w:val="080D610B"/>
    <w:rsid w:val="09210E0D"/>
    <w:rsid w:val="0B631D92"/>
    <w:rsid w:val="0DA95C90"/>
    <w:rsid w:val="0FE352B5"/>
    <w:rsid w:val="105C4E35"/>
    <w:rsid w:val="11535674"/>
    <w:rsid w:val="12413A4D"/>
    <w:rsid w:val="13AC6B9C"/>
    <w:rsid w:val="13B57B12"/>
    <w:rsid w:val="14AD0B16"/>
    <w:rsid w:val="164268D4"/>
    <w:rsid w:val="186227ED"/>
    <w:rsid w:val="1AD13816"/>
    <w:rsid w:val="1AE73717"/>
    <w:rsid w:val="1C9241AA"/>
    <w:rsid w:val="1CE45194"/>
    <w:rsid w:val="1D635F0F"/>
    <w:rsid w:val="1DED028B"/>
    <w:rsid w:val="1FCB5C37"/>
    <w:rsid w:val="1FCB7775"/>
    <w:rsid w:val="200E3EA3"/>
    <w:rsid w:val="204159A2"/>
    <w:rsid w:val="20F2001C"/>
    <w:rsid w:val="22996848"/>
    <w:rsid w:val="237D5183"/>
    <w:rsid w:val="243D081E"/>
    <w:rsid w:val="2491219B"/>
    <w:rsid w:val="252D5E0C"/>
    <w:rsid w:val="264A0AFC"/>
    <w:rsid w:val="26865DB2"/>
    <w:rsid w:val="2A0D531D"/>
    <w:rsid w:val="2AE9199F"/>
    <w:rsid w:val="2B2F26DC"/>
    <w:rsid w:val="2B46152C"/>
    <w:rsid w:val="2B754D50"/>
    <w:rsid w:val="2CE5134F"/>
    <w:rsid w:val="2D530D1A"/>
    <w:rsid w:val="2DCF636D"/>
    <w:rsid w:val="2DF801AF"/>
    <w:rsid w:val="30D21A41"/>
    <w:rsid w:val="30ED6874"/>
    <w:rsid w:val="32C05E17"/>
    <w:rsid w:val="32EC337C"/>
    <w:rsid w:val="339E3E78"/>
    <w:rsid w:val="35482BD8"/>
    <w:rsid w:val="36EB528F"/>
    <w:rsid w:val="38B011F2"/>
    <w:rsid w:val="39CA505F"/>
    <w:rsid w:val="3A212775"/>
    <w:rsid w:val="3AA234F9"/>
    <w:rsid w:val="3AF42A3D"/>
    <w:rsid w:val="3C784FA2"/>
    <w:rsid w:val="3D6F1281"/>
    <w:rsid w:val="3EC55354"/>
    <w:rsid w:val="40822593"/>
    <w:rsid w:val="41DD2C27"/>
    <w:rsid w:val="43A350CA"/>
    <w:rsid w:val="45606F10"/>
    <w:rsid w:val="459D50C5"/>
    <w:rsid w:val="45AD4CCA"/>
    <w:rsid w:val="463A10DF"/>
    <w:rsid w:val="46791FE4"/>
    <w:rsid w:val="471B4D53"/>
    <w:rsid w:val="481B40BD"/>
    <w:rsid w:val="48C54E0D"/>
    <w:rsid w:val="49431B18"/>
    <w:rsid w:val="4AFD5988"/>
    <w:rsid w:val="4FB32C07"/>
    <w:rsid w:val="50D35291"/>
    <w:rsid w:val="50F83767"/>
    <w:rsid w:val="511D36DE"/>
    <w:rsid w:val="51667EBF"/>
    <w:rsid w:val="536B00BB"/>
    <w:rsid w:val="53AF5629"/>
    <w:rsid w:val="555B06EB"/>
    <w:rsid w:val="56A20F6B"/>
    <w:rsid w:val="57604D7B"/>
    <w:rsid w:val="58F158CA"/>
    <w:rsid w:val="595D5375"/>
    <w:rsid w:val="5CCE4C5F"/>
    <w:rsid w:val="5D191188"/>
    <w:rsid w:val="5FC97CA5"/>
    <w:rsid w:val="5FCF3E46"/>
    <w:rsid w:val="667E529A"/>
    <w:rsid w:val="67486A82"/>
    <w:rsid w:val="67F02FD2"/>
    <w:rsid w:val="68661898"/>
    <w:rsid w:val="68DF77EA"/>
    <w:rsid w:val="6A612CF9"/>
    <w:rsid w:val="6D535020"/>
    <w:rsid w:val="6D572137"/>
    <w:rsid w:val="6DF00F3B"/>
    <w:rsid w:val="708B7819"/>
    <w:rsid w:val="71754A05"/>
    <w:rsid w:val="727E3586"/>
    <w:rsid w:val="72805E48"/>
    <w:rsid w:val="732151DA"/>
    <w:rsid w:val="764D3275"/>
    <w:rsid w:val="79E96793"/>
    <w:rsid w:val="7A54783C"/>
    <w:rsid w:val="7ACB0AC9"/>
    <w:rsid w:val="7AF17A6D"/>
    <w:rsid w:val="7B002409"/>
    <w:rsid w:val="7C7946FA"/>
    <w:rsid w:val="7DB33C2F"/>
    <w:rsid w:val="7DC857C8"/>
    <w:rsid w:val="7F7F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31"/>
    <w:basedOn w:val="8"/>
    <w:qFormat/>
    <w:uiPriority w:val="0"/>
    <w:rPr>
      <w:rFonts w:hint="eastAsia" w:ascii="宋体" w:hAnsi="宋体" w:eastAsia="宋体" w:cs="宋体"/>
      <w:color w:val="000000"/>
      <w:sz w:val="20"/>
      <w:szCs w:val="20"/>
      <w:u w:val="none"/>
    </w:rPr>
  </w:style>
  <w:style w:type="character" w:customStyle="1" w:styleId="11">
    <w:name w:val="font61"/>
    <w:basedOn w:val="8"/>
    <w:qFormat/>
    <w:uiPriority w:val="0"/>
    <w:rPr>
      <w:rFonts w:hint="default" w:ascii="Times New Roman" w:hAnsi="Times New Roman" w:cs="Times New Roman"/>
      <w:color w:val="000000"/>
      <w:sz w:val="18"/>
      <w:szCs w:val="18"/>
      <w:u w:val="none"/>
    </w:rPr>
  </w:style>
  <w:style w:type="character" w:customStyle="1" w:styleId="12">
    <w:name w:val="font11"/>
    <w:basedOn w:val="8"/>
    <w:qFormat/>
    <w:uiPriority w:val="0"/>
    <w:rPr>
      <w:rFonts w:hint="eastAsia" w:ascii="宋体" w:hAnsi="宋体" w:eastAsia="宋体" w:cs="宋体"/>
      <w:color w:val="000000"/>
      <w:sz w:val="18"/>
      <w:szCs w:val="18"/>
      <w:u w:val="none"/>
    </w:rPr>
  </w:style>
  <w:style w:type="character" w:customStyle="1" w:styleId="13">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6</Pages>
  <Words>5719</Words>
  <Characters>6080</Characters>
  <Lines>44</Lines>
  <Paragraphs>12</Paragraphs>
  <TotalTime>9</TotalTime>
  <ScaleCrop>false</ScaleCrop>
  <LinksUpToDate>false</LinksUpToDate>
  <CharactersWithSpaces>6145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2021-10-13T02:23:00Z</dcterms:created>
  <dc:creator>jagger sun</dc:creator>
  <cp:lastModifiedBy>Administrator</cp:lastModifiedBy>
  <cp:lastPrinted>2021-04-12T06:51:00Z</cp:lastPrinted>
  <dcterms:modified xsi:type="dcterms:W3CDTF">2024-10-08T01:59:58Z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79EF6558F35649849043146F25C04E52_13</vt:lpwstr>
  </property>
</Properties>
</file>