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rPr>
      </w:pPr>
      <w:r>
        <w:rPr>
          <w:rFonts w:hint="eastAsia" w:ascii="黑体" w:hAnsi="黑体" w:eastAsia="黑体" w:cs="黑体"/>
        </w:rPr>
        <w:t>剑阁县202</w:t>
      </w:r>
      <w:r>
        <w:rPr>
          <w:rFonts w:hint="eastAsia" w:ascii="黑体" w:hAnsi="黑体" w:eastAsia="黑体" w:cs="黑体"/>
          <w:lang w:val="en-US" w:eastAsia="zh-CN"/>
        </w:rPr>
        <w:t>5</w:t>
      </w:r>
      <w:r>
        <w:rPr>
          <w:rFonts w:hint="eastAsia" w:ascii="黑体" w:hAnsi="黑体" w:eastAsia="黑体" w:cs="黑体"/>
        </w:rPr>
        <w:t>年1月环境信访办理情况公示</w:t>
      </w:r>
      <w:bookmarkStart w:id="0" w:name="_GoBack"/>
      <w:bookmarkEnd w:id="0"/>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1728"/>
        <w:gridCol w:w="8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1728"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86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color w:val="000000" w:themeColor="text1"/>
                <w:sz w:val="18"/>
                <w:szCs w:val="18"/>
              </w:rPr>
            </w:pPr>
            <w:r>
              <w:rPr>
                <w:rFonts w:hint="eastAsia" w:ascii="宋体" w:hAnsi="宋体" w:cs="宋体"/>
                <w:color w:val="000000" w:themeColor="text1"/>
                <w:sz w:val="18"/>
                <w:szCs w:val="18"/>
              </w:rPr>
              <w:t>1</w:t>
            </w:r>
          </w:p>
        </w:tc>
        <w:tc>
          <w:tcPr>
            <w:tcW w:w="851"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市局转办 （微博）</w:t>
            </w:r>
          </w:p>
        </w:tc>
        <w:tc>
          <w:tcPr>
            <w:tcW w:w="909"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张王镇金黄村6组</w:t>
            </w:r>
          </w:p>
        </w:tc>
        <w:tc>
          <w:tcPr>
            <w:tcW w:w="792"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噪音</w:t>
            </w:r>
          </w:p>
        </w:tc>
        <w:tc>
          <w:tcPr>
            <w:tcW w:w="1145"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2025.1.07</w:t>
            </w:r>
          </w:p>
        </w:tc>
        <w:tc>
          <w:tcPr>
            <w:tcW w:w="1728" w:type="dxa"/>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18"/>
                <w:szCs w:val="18"/>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themeColor="text1"/>
                <w:kern w:val="0"/>
                <w:sz w:val="18"/>
                <w:szCs w:val="18"/>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themeColor="text1"/>
                <w:kern w:val="0"/>
                <w:sz w:val="18"/>
                <w:szCs w:val="18"/>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themeColor="text1"/>
                <w:kern w:val="0"/>
                <w:sz w:val="18"/>
                <w:szCs w:val="18"/>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themeColor="text1"/>
                <w:kern w:val="0"/>
                <w:sz w:val="18"/>
                <w:szCs w:val="18"/>
                <w:u w:val="none"/>
                <w:lang w:val="en-US" w:eastAsia="zh-CN" w:bidi="ar"/>
              </w:rPr>
            </w:pPr>
          </w:p>
          <w:p>
            <w:pPr>
              <w:keepNext w:val="0"/>
              <w:keepLines w:val="0"/>
              <w:widowControl/>
              <w:suppressLineNumbers w:val="0"/>
              <w:jc w:val="both"/>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125095</wp:posOffset>
                  </wp:positionH>
                  <wp:positionV relativeFrom="paragraph">
                    <wp:posOffset>0</wp:posOffset>
                  </wp:positionV>
                  <wp:extent cx="542290" cy="8890"/>
                  <wp:effectExtent l="0" t="0" r="0" b="0"/>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4"/>
                          <a:stretch>
                            <a:fillRect/>
                          </a:stretch>
                        </pic:blipFill>
                        <pic:spPr>
                          <a:xfrm>
                            <a:off x="0" y="0"/>
                            <a:ext cx="542290" cy="889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125095</wp:posOffset>
                  </wp:positionH>
                  <wp:positionV relativeFrom="paragraph">
                    <wp:posOffset>0</wp:posOffset>
                  </wp:positionV>
                  <wp:extent cx="542290" cy="17780"/>
                  <wp:effectExtent l="0" t="0" r="0" b="0"/>
                  <wp:wrapNone/>
                  <wp:docPr id="7" name="图片_2_SpCnt_1"/>
                  <wp:cNvGraphicFramePr/>
                  <a:graphic xmlns:a="http://schemas.openxmlformats.org/drawingml/2006/main">
                    <a:graphicData uri="http://schemas.openxmlformats.org/drawingml/2006/picture">
                      <pic:pic xmlns:pic="http://schemas.openxmlformats.org/drawingml/2006/picture">
                        <pic:nvPicPr>
                          <pic:cNvPr id="7" name="图片_2_SpCnt_1"/>
                          <pic:cNvPicPr/>
                        </pic:nvPicPr>
                        <pic:blipFill>
                          <a:blip r:embed="rId5"/>
                          <a:stretch>
                            <a:fillRect/>
                          </a:stretch>
                        </pic:blipFill>
                        <pic:spPr>
                          <a:xfrm>
                            <a:off x="0" y="0"/>
                            <a:ext cx="542290" cy="1778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125095</wp:posOffset>
                  </wp:positionH>
                  <wp:positionV relativeFrom="paragraph">
                    <wp:posOffset>0</wp:posOffset>
                  </wp:positionV>
                  <wp:extent cx="542290" cy="17780"/>
                  <wp:effectExtent l="0" t="0" r="0" b="0"/>
                  <wp:wrapNone/>
                  <wp:docPr id="8" name="图片_2_SpCnt_2"/>
                  <wp:cNvGraphicFramePr/>
                  <a:graphic xmlns:a="http://schemas.openxmlformats.org/drawingml/2006/main">
                    <a:graphicData uri="http://schemas.openxmlformats.org/drawingml/2006/picture">
                      <pic:pic xmlns:pic="http://schemas.openxmlformats.org/drawingml/2006/picture">
                        <pic:nvPicPr>
                          <pic:cNvPr id="8" name="图片_2_SpCnt_2"/>
                          <pic:cNvPicPr/>
                        </pic:nvPicPr>
                        <pic:blipFill>
                          <a:blip r:embed="rId5"/>
                          <a:stretch>
                            <a:fillRect/>
                          </a:stretch>
                        </pic:blipFill>
                        <pic:spPr>
                          <a:xfrm>
                            <a:off x="0" y="0"/>
                            <a:ext cx="542290" cy="1778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125095</wp:posOffset>
                  </wp:positionH>
                  <wp:positionV relativeFrom="paragraph">
                    <wp:posOffset>0</wp:posOffset>
                  </wp:positionV>
                  <wp:extent cx="542290" cy="8890"/>
                  <wp:effectExtent l="0" t="0" r="0" b="0"/>
                  <wp:wrapNone/>
                  <wp:docPr id="9" name="图片_2_SpCnt_3"/>
                  <wp:cNvGraphicFramePr/>
                  <a:graphic xmlns:a="http://schemas.openxmlformats.org/drawingml/2006/main">
                    <a:graphicData uri="http://schemas.openxmlformats.org/drawingml/2006/picture">
                      <pic:pic xmlns:pic="http://schemas.openxmlformats.org/drawingml/2006/picture">
                        <pic:nvPicPr>
                          <pic:cNvPr id="9" name="图片_2_SpCnt_3"/>
                          <pic:cNvPicPr/>
                        </pic:nvPicPr>
                        <pic:blipFill>
                          <a:blip r:embed="rId4"/>
                          <a:stretch>
                            <a:fillRect/>
                          </a:stretch>
                        </pic:blipFill>
                        <pic:spPr>
                          <a:xfrm>
                            <a:off x="0" y="0"/>
                            <a:ext cx="542290" cy="889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125095</wp:posOffset>
                  </wp:positionH>
                  <wp:positionV relativeFrom="paragraph">
                    <wp:posOffset>0</wp:posOffset>
                  </wp:positionV>
                  <wp:extent cx="542290" cy="8890"/>
                  <wp:effectExtent l="0" t="0" r="0" b="0"/>
                  <wp:wrapNone/>
                  <wp:docPr id="10" name="图片_2_SpCnt_4"/>
                  <wp:cNvGraphicFramePr/>
                  <a:graphic xmlns:a="http://schemas.openxmlformats.org/drawingml/2006/main">
                    <a:graphicData uri="http://schemas.openxmlformats.org/drawingml/2006/picture">
                      <pic:pic xmlns:pic="http://schemas.openxmlformats.org/drawingml/2006/picture">
                        <pic:nvPicPr>
                          <pic:cNvPr id="10" name="图片_2_SpCnt_4"/>
                          <pic:cNvPicPr/>
                        </pic:nvPicPr>
                        <pic:blipFill>
                          <a:blip r:embed="rId4"/>
                          <a:stretch>
                            <a:fillRect/>
                          </a:stretch>
                        </pic:blipFill>
                        <pic:spPr>
                          <a:xfrm>
                            <a:off x="0" y="0"/>
                            <a:ext cx="542290" cy="889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lang w:val="en-US" w:eastAsia="zh-CN" w:bidi="ar"/>
              </w:rPr>
              <w:t>反映中节能风力发电公司风机运行噪音扰民，养殖影响群众生活。</w:t>
            </w:r>
          </w:p>
        </w:tc>
        <w:tc>
          <w:tcPr>
            <w:tcW w:w="8609" w:type="dxa"/>
            <w:vAlign w:val="center"/>
          </w:tcPr>
          <w:p>
            <w:pPr>
              <w:keepNext w:val="0"/>
              <w:keepLines w:val="0"/>
              <w:widowControl/>
              <w:suppressLineNumbers w:val="0"/>
              <w:jc w:val="left"/>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剑阁生态环境局执法人员进行了核实处理，经查，群众反映的风力发电项目实为中节能广元剑阁天台山风电场二期项目（以下简称“该项目”）。该项目建设地点涉及张王、江口、汉阳、普安和剑门关5个乡镇，共计安装32台单机容量3MW和2台单机容量2MW的风力发电机组。2021年3月，该项目取得环境影响评价批复手续，2021年11月建设完成并投入运行，2022年6月完成建设项目竣工环境保护验收。该项目风力发电机组在运行过程中因风机叶片切割空气和发电机转动会产生一定的运行噪声。现场调查发现噪声较为明显，主要涉及28、29、30、31、32、33、34号风力发电机组。为准确客观反映风机运行噪声是否超标，是否对周边群众造成影响以及具体影响程度，2025年1月10日，我局</w:t>
            </w:r>
            <w:r>
              <w:rPr>
                <w:rFonts w:hint="eastAsia" w:ascii="宋体" w:hAnsi="宋体" w:cs="宋体"/>
                <w:i w:val="0"/>
                <w:iCs w:val="0"/>
                <w:color w:val="000000" w:themeColor="text1"/>
                <w:kern w:val="0"/>
                <w:sz w:val="18"/>
                <w:szCs w:val="18"/>
                <w:u w:val="none"/>
                <w:lang w:val="en-US" w:eastAsia="zh-CN" w:bidi="ar"/>
              </w:rPr>
              <w:t>执法人员</w:t>
            </w:r>
            <w:r>
              <w:rPr>
                <w:rFonts w:hint="eastAsia" w:ascii="宋体" w:hAnsi="宋体" w:eastAsia="宋体" w:cs="宋体"/>
                <w:i w:val="0"/>
                <w:iCs w:val="0"/>
                <w:color w:val="000000" w:themeColor="text1"/>
                <w:kern w:val="0"/>
                <w:sz w:val="18"/>
                <w:szCs w:val="18"/>
                <w:u w:val="none"/>
                <w:lang w:val="en-US" w:eastAsia="zh-CN" w:bidi="ar"/>
              </w:rPr>
              <w:t>会同凯乐检测认证集团（广元）有限公司对周围具有代表性的敏感点进行</w:t>
            </w:r>
            <w:r>
              <w:rPr>
                <w:rFonts w:hint="eastAsia" w:ascii="宋体" w:hAnsi="宋体" w:cs="宋体"/>
                <w:i w:val="0"/>
                <w:iCs w:val="0"/>
                <w:color w:val="000000" w:themeColor="text1"/>
                <w:kern w:val="0"/>
                <w:sz w:val="18"/>
                <w:szCs w:val="18"/>
                <w:u w:val="none"/>
                <w:lang w:val="en-US" w:eastAsia="zh-CN" w:bidi="ar"/>
              </w:rPr>
              <w:t>了</w:t>
            </w:r>
            <w:r>
              <w:rPr>
                <w:rFonts w:hint="eastAsia" w:ascii="宋体" w:hAnsi="宋体" w:eastAsia="宋体" w:cs="宋体"/>
                <w:i w:val="0"/>
                <w:iCs w:val="0"/>
                <w:color w:val="000000" w:themeColor="text1"/>
                <w:kern w:val="0"/>
                <w:sz w:val="18"/>
                <w:szCs w:val="18"/>
                <w:u w:val="none"/>
                <w:lang w:val="en-US" w:eastAsia="zh-CN" w:bidi="ar"/>
              </w:rPr>
              <w:t>夜间噪音监测，并邀请村民代表对监测全过程进行监督，该监测共设置了8个监测点位。根据监测报告显示，3号点位（30、31、32号风机东北侧）、4号点位（31、32号风机东北侧）夜间噪声检测值超过《声环境质量》（GB3096-2008）2类标准，其余点位夜间噪声检测值符合2类标准。针对监测结果，中节能风力发电公司已与3号、4号点位涉及的群众进行了沟通，拟采取对涉及群众居住房屋加装隔音窗户，加装隔音顶棚的方式进行物理降噪，确保群众正常的生活不受影响。我局将会同经信科局、张王镇政府，督促中节能公司对涉及群众居住房屋门窗、顶棚进行改造，切实保障群众合法的环境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pPr>
              <w:jc w:val="center"/>
              <w:rPr>
                <w:rFonts w:ascii="宋体" w:hAnsi="宋体" w:cs="宋体"/>
                <w:color w:val="000000" w:themeColor="text1"/>
                <w:sz w:val="18"/>
                <w:szCs w:val="18"/>
              </w:rPr>
            </w:pPr>
            <w:r>
              <w:rPr>
                <w:rFonts w:hint="eastAsia" w:ascii="宋体" w:hAnsi="宋体" w:cs="宋体"/>
                <w:color w:val="000000" w:themeColor="text1"/>
                <w:sz w:val="18"/>
                <w:szCs w:val="18"/>
              </w:rPr>
              <w:t>2</w:t>
            </w:r>
          </w:p>
        </w:tc>
        <w:tc>
          <w:tcPr>
            <w:tcW w:w="851"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国家环保平台（微信）</w:t>
            </w:r>
          </w:p>
        </w:tc>
        <w:tc>
          <w:tcPr>
            <w:tcW w:w="909"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王河镇荣光村</w:t>
            </w:r>
          </w:p>
        </w:tc>
        <w:tc>
          <w:tcPr>
            <w:tcW w:w="792"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气、噪音</w:t>
            </w:r>
          </w:p>
        </w:tc>
        <w:tc>
          <w:tcPr>
            <w:tcW w:w="1145"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2025.1.07</w:t>
            </w:r>
          </w:p>
        </w:tc>
        <w:tc>
          <w:tcPr>
            <w:tcW w:w="1728" w:type="dxa"/>
            <w:vAlign w:val="center"/>
          </w:tcPr>
          <w:p>
            <w:pPr>
              <w:keepNext w:val="0"/>
              <w:keepLines w:val="0"/>
              <w:widowControl/>
              <w:suppressLineNumbers w:val="0"/>
              <w:jc w:val="both"/>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反应：川庆钻探公司燃放的废气浓烟滚滚，气味扑鼻，噪声震耳欲聋，影响周边群众生活。</w:t>
            </w:r>
          </w:p>
        </w:tc>
        <w:tc>
          <w:tcPr>
            <w:tcW w:w="8609" w:type="dxa"/>
            <w:vAlign w:val="center"/>
          </w:tcPr>
          <w:p>
            <w:pPr>
              <w:keepNext w:val="0"/>
              <w:keepLines w:val="0"/>
              <w:widowControl/>
              <w:suppressLineNumbers w:val="0"/>
              <w:jc w:val="left"/>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剑阁生态环境局执法人员进行了现场调查处理,经查，群众反映的“川庆钻探公司”实为中国石油天然气股份有限公司西南油气田分公司文浅9井组钻井工程,位于剑阁县王河镇荣光村 1组，该工程办有环境影响评价手续，计划作业周期约7个月。工程建设内容包括钻前工程、钻井工程、完井测试工程；配套建设有储运工程、泥浆循环系统、天然气放喷系统、废水处理设施、岩屑暂存区、危险废物暂存间等环保设施。经现场核实，群众反映“燃放的废气浓烟滚滚，气味扑鼻，噪音震耳”的问题，情况基本属实。执法人员查阅了项目相关资料，听取项目负责人介绍证实，及时放喷是项目作业过程中的必要程序，通过放喷泄压，确保气井压力在安全的范围内，以防止安全事故的发生。放喷浓烟主要是因为初期天然气中含有杂质，燃烧时会产生，同时通过放喷燃烧，可以避免有害气体排放空气中，减少对大气环境的污染。</w:t>
            </w:r>
            <w:r>
              <w:rPr>
                <w:rFonts w:hint="eastAsia" w:ascii="宋体" w:hAnsi="宋体" w:eastAsia="宋体" w:cs="宋体"/>
                <w:i w:val="0"/>
                <w:iCs w:val="0"/>
                <w:color w:val="000000" w:themeColor="text1"/>
                <w:kern w:val="0"/>
                <w:sz w:val="18"/>
                <w:szCs w:val="18"/>
                <w:u w:val="none"/>
                <w:lang w:val="en-US" w:eastAsia="zh-CN" w:bidi="ar"/>
              </w:rPr>
              <w:br w:type="textWrapping"/>
            </w:r>
            <w:r>
              <w:rPr>
                <w:rFonts w:hint="eastAsia" w:ascii="宋体" w:hAnsi="宋体" w:eastAsia="宋体" w:cs="宋体"/>
                <w:i w:val="0"/>
                <w:iCs w:val="0"/>
                <w:color w:val="000000" w:themeColor="text1"/>
                <w:kern w:val="0"/>
                <w:sz w:val="18"/>
                <w:szCs w:val="18"/>
                <w:u w:val="none"/>
                <w:lang w:val="en-US" w:eastAsia="zh-CN" w:bidi="ar"/>
              </w:rPr>
              <w:t>处理情况:1、要求川庆钻探工程有限公司规范操作，减少放喷频次；2、要求公司在确保规范、安全的前提下，尽可能的不在晚上放喷，最大限度的减轻噪音对周边群众的影响；3、要求公司积极向周边群众进行宣传、引导，让周边群众克服对放喷过程的恐惧心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color w:val="000000" w:themeColor="text1"/>
                <w:sz w:val="18"/>
                <w:szCs w:val="18"/>
              </w:rPr>
            </w:pPr>
            <w:r>
              <w:rPr>
                <w:rFonts w:hint="eastAsia"/>
                <w:color w:val="000000" w:themeColor="text1"/>
                <w:sz w:val="18"/>
                <w:szCs w:val="18"/>
              </w:rPr>
              <w:t>3</w:t>
            </w:r>
          </w:p>
        </w:tc>
        <w:tc>
          <w:tcPr>
            <w:tcW w:w="851"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市局转办 （电话）</w:t>
            </w:r>
          </w:p>
        </w:tc>
        <w:tc>
          <w:tcPr>
            <w:tcW w:w="909"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公兴镇大凉村</w:t>
            </w:r>
          </w:p>
        </w:tc>
        <w:tc>
          <w:tcPr>
            <w:tcW w:w="792"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畜禽养殖</w:t>
            </w:r>
          </w:p>
        </w:tc>
        <w:tc>
          <w:tcPr>
            <w:tcW w:w="1145"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2025.1.17</w:t>
            </w:r>
          </w:p>
        </w:tc>
        <w:tc>
          <w:tcPr>
            <w:tcW w:w="1728" w:type="dxa"/>
            <w:vAlign w:val="center"/>
          </w:tcPr>
          <w:p>
            <w:pPr>
              <w:keepNext w:val="0"/>
              <w:keepLines w:val="0"/>
              <w:widowControl/>
              <w:suppressLineNumbers w:val="0"/>
              <w:jc w:val="both"/>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反映：公兴镇大凉村六组一养牛场，将养殖粪污乱排。要求及时处理。</w:t>
            </w:r>
          </w:p>
        </w:tc>
        <w:tc>
          <w:tcPr>
            <w:tcW w:w="8609" w:type="dxa"/>
            <w:vAlign w:val="center"/>
          </w:tcPr>
          <w:p>
            <w:pPr>
              <w:keepNext w:val="0"/>
              <w:keepLines w:val="0"/>
              <w:widowControl/>
              <w:suppressLineNumbers w:val="0"/>
              <w:jc w:val="left"/>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按网格化管理要求转公兴镇处理，经查，群众所反映的“剑阁县道良村六组养殖场”实为剑阁县公兴镇大凉村养殖户伏国军(系脱贫户)，现养殖5头牛。现场核实，群众反映的“养殖户将粪污乱排”，实则是养殖户在外出放牛时（平时一般圈养），由于牛蹄沾染带出少部分牛粪，掉至群众家前路面上。信访群众认为影响房屋外环境卫生，联系养殖业主，要求清理路上的牛粪（牛蹄带出的），但由于双方交流中方法、语气不当，伏国军未予理睬、未及时进行清理。经公兴镇政府、镇环保办工作人员积极沟通协调，伏国军已对现场进行了及时清理，双方对政府协调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color w:val="000000" w:themeColor="text1"/>
                <w:sz w:val="18"/>
                <w:szCs w:val="18"/>
              </w:rPr>
            </w:pPr>
            <w:r>
              <w:rPr>
                <w:rFonts w:hint="eastAsia"/>
                <w:color w:val="000000" w:themeColor="text1"/>
                <w:sz w:val="18"/>
                <w:szCs w:val="18"/>
              </w:rPr>
              <w:t>4</w:t>
            </w:r>
          </w:p>
        </w:tc>
        <w:tc>
          <w:tcPr>
            <w:tcW w:w="851"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国家环保平台（微信）</w:t>
            </w:r>
          </w:p>
        </w:tc>
        <w:tc>
          <w:tcPr>
            <w:tcW w:w="909"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王河镇荣光村</w:t>
            </w:r>
          </w:p>
        </w:tc>
        <w:tc>
          <w:tcPr>
            <w:tcW w:w="792"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气、噪音</w:t>
            </w:r>
          </w:p>
        </w:tc>
        <w:tc>
          <w:tcPr>
            <w:tcW w:w="1145" w:type="dxa"/>
            <w:vAlign w:val="center"/>
          </w:tcPr>
          <w:p>
            <w:pPr>
              <w:keepNext w:val="0"/>
              <w:keepLines w:val="0"/>
              <w:widowControl/>
              <w:suppressLineNumbers w:val="0"/>
              <w:jc w:val="center"/>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2025.1.18</w:t>
            </w:r>
          </w:p>
        </w:tc>
        <w:tc>
          <w:tcPr>
            <w:tcW w:w="1728" w:type="dxa"/>
            <w:vAlign w:val="center"/>
          </w:tcPr>
          <w:p>
            <w:pPr>
              <w:keepNext w:val="0"/>
              <w:keepLines w:val="0"/>
              <w:widowControl/>
              <w:suppressLineNumbers w:val="0"/>
              <w:jc w:val="both"/>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反应：川庆钻探公司燃放的废气浓烟滚滚，气味扑鼻，噪声震耳欲聋，影响周边群众生活。</w:t>
            </w:r>
          </w:p>
        </w:tc>
        <w:tc>
          <w:tcPr>
            <w:tcW w:w="8609" w:type="dxa"/>
            <w:vAlign w:val="center"/>
          </w:tcPr>
          <w:p>
            <w:pPr>
              <w:keepNext w:val="0"/>
              <w:keepLines w:val="0"/>
              <w:widowControl/>
              <w:suppressLineNumbers w:val="0"/>
              <w:jc w:val="left"/>
              <w:textAlignment w:val="center"/>
              <w:rPr>
                <w:rFonts w:ascii="宋体" w:hAnsi="宋体" w:cs="宋体"/>
                <w:color w:val="000000" w:themeColor="text1"/>
                <w:sz w:val="18"/>
                <w:szCs w:val="18"/>
              </w:rPr>
            </w:pPr>
            <w:r>
              <w:rPr>
                <w:rFonts w:hint="eastAsia" w:ascii="宋体" w:hAnsi="宋体" w:eastAsia="宋体" w:cs="宋体"/>
                <w:i w:val="0"/>
                <w:iCs w:val="0"/>
                <w:color w:val="000000" w:themeColor="text1"/>
                <w:kern w:val="0"/>
                <w:sz w:val="18"/>
                <w:szCs w:val="18"/>
                <w:u w:val="none"/>
                <w:lang w:val="en-US" w:eastAsia="zh-CN" w:bidi="ar"/>
              </w:rPr>
              <w:t>广元市剑阁生态环境局执法人员进行了现场调查处理。现将有关情况报告如下： 经查，信访群众反映的“川庆钻探公司”实为中国石油天然气股份有限公司西南油气田分公司文浅9井组钻井工程,位于剑阁县王河镇荣光村 1组，该工程办有环境影响评价手续，计划作业周期约7个月。工程建设内容包括钻前工程、钻井工程、完井测试工程；配套建设有储运工程、泥浆循环系统、天然气放喷系统、废水处理设施、岩屑暂存区、危险废物暂存间等环保设施。经现场核实，群众反映“燃放的废气浓烟滚滚，气味扑鼻，噪音震耳”的问题，情况基本属实。执法人员查阅了项目相关资料，听取项目负责人介绍证实，及时放喷是项目作业过程中的必要程序，通过放喷泄压，确保气井压力在安全的范围内，以防止安全事故的发生。放喷浓烟主要是因为初期天然气中含有杂质，燃烧时会产生，同时通过放喷燃烧，可以避免有害气体排放空气中，减少对大气环境的污染。 处理情况:1、要求川庆钻探工程有限公司规范操作，减少放喷频次；2、要求公司在确保规范、安全的前提下，尽可能的不在晚上放喷，最大限度的减轻噪音对周边群众的影响；3、要求公司积极向周边群众进行宣传、引导，让周边群众克服对放喷过程的恐惧心里。 经再次与川庆钻探工程有限公司核实，公司已在技术上进行了改进，后期放喷频次、放喷量以及噪音、异味都将大幅降低。同时，已积极与群众进行了沟通交流，以赢得群众的理解和支持。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jc w:val="both"/>
              <w:rPr>
                <w:rFonts w:ascii="宋体" w:hAnsi="宋体" w:cs="宋体"/>
                <w:sz w:val="18"/>
                <w:szCs w:val="18"/>
              </w:rPr>
            </w:pPr>
          </w:p>
        </w:tc>
        <w:tc>
          <w:tcPr>
            <w:tcW w:w="909" w:type="dxa"/>
            <w:vAlign w:val="center"/>
          </w:tcPr>
          <w:p>
            <w:pPr>
              <w:jc w:val="both"/>
              <w:rPr>
                <w:rFonts w:ascii="宋体" w:hAnsi="宋体" w:cs="宋体"/>
                <w:sz w:val="18"/>
                <w:szCs w:val="18"/>
              </w:rPr>
            </w:pPr>
          </w:p>
        </w:tc>
        <w:tc>
          <w:tcPr>
            <w:tcW w:w="792" w:type="dxa"/>
            <w:vAlign w:val="center"/>
          </w:tcPr>
          <w:p>
            <w:pPr>
              <w:jc w:val="both"/>
              <w:rPr>
                <w:rFonts w:ascii="宋体" w:hAnsi="宋体" w:cs="宋体"/>
                <w:sz w:val="18"/>
                <w:szCs w:val="18"/>
              </w:rPr>
            </w:pPr>
          </w:p>
        </w:tc>
        <w:tc>
          <w:tcPr>
            <w:tcW w:w="1145" w:type="dxa"/>
            <w:vAlign w:val="center"/>
          </w:tcPr>
          <w:p>
            <w:pPr>
              <w:jc w:val="both"/>
              <w:rPr>
                <w:rFonts w:ascii="宋体" w:hAnsi="宋体" w:cs="宋体"/>
                <w:sz w:val="18"/>
                <w:szCs w:val="18"/>
              </w:rPr>
            </w:pPr>
          </w:p>
        </w:tc>
        <w:tc>
          <w:tcPr>
            <w:tcW w:w="1728" w:type="dxa"/>
            <w:vAlign w:val="center"/>
          </w:tcPr>
          <w:p>
            <w:pPr>
              <w:rPr>
                <w:rFonts w:ascii="宋体" w:hAnsi="宋体" w:cs="宋体"/>
                <w:sz w:val="18"/>
                <w:szCs w:val="18"/>
              </w:rPr>
            </w:pPr>
          </w:p>
        </w:tc>
        <w:tc>
          <w:tcPr>
            <w:tcW w:w="8609" w:type="dxa"/>
            <w:vAlign w:val="center"/>
          </w:tcPr>
          <w:p>
            <w:pPr>
              <w:rPr>
                <w:rFonts w:ascii="宋体" w:hAnsi="宋体" w:cs="宋体"/>
                <w:sz w:val="18"/>
                <w:szCs w:val="18"/>
              </w:rPr>
            </w:pPr>
            <w:r>
              <w:rPr>
                <w:rFonts w:hint="eastAsia"/>
                <w:sz w:val="18"/>
                <w:szCs w:val="18"/>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rPr>
                <w:rFonts w:ascii="宋体" w:hAnsi="宋体" w:cs="宋体"/>
                <w:sz w:val="18"/>
                <w:szCs w:val="18"/>
              </w:rPr>
            </w:pPr>
          </w:p>
        </w:tc>
        <w:tc>
          <w:tcPr>
            <w:tcW w:w="909" w:type="dxa"/>
            <w:vAlign w:val="center"/>
          </w:tcPr>
          <w:p>
            <w:pPr>
              <w:rPr>
                <w:rFonts w:ascii="宋体" w:hAnsi="宋体" w:cs="宋体"/>
                <w:sz w:val="18"/>
                <w:szCs w:val="18"/>
              </w:rPr>
            </w:pPr>
          </w:p>
        </w:tc>
        <w:tc>
          <w:tcPr>
            <w:tcW w:w="792" w:type="dxa"/>
            <w:vAlign w:val="center"/>
          </w:tcPr>
          <w:p>
            <w:pPr>
              <w:rPr>
                <w:rFonts w:ascii="宋体" w:hAnsi="宋体" w:cs="宋体"/>
                <w:sz w:val="18"/>
                <w:szCs w:val="18"/>
              </w:rPr>
            </w:pPr>
          </w:p>
        </w:tc>
        <w:tc>
          <w:tcPr>
            <w:tcW w:w="1145" w:type="dxa"/>
            <w:vAlign w:val="center"/>
          </w:tcPr>
          <w:p>
            <w:pPr>
              <w:rPr>
                <w:rFonts w:ascii="宋体" w:hAnsi="宋体" w:cs="宋体"/>
                <w:sz w:val="18"/>
                <w:szCs w:val="18"/>
              </w:rPr>
            </w:pPr>
          </w:p>
        </w:tc>
        <w:tc>
          <w:tcPr>
            <w:tcW w:w="1728" w:type="dxa"/>
            <w:vAlign w:val="center"/>
          </w:tcPr>
          <w:p>
            <w:pPr>
              <w:rPr>
                <w:rFonts w:ascii="宋体" w:hAnsi="宋体" w:cs="宋体"/>
                <w:sz w:val="18"/>
                <w:szCs w:val="18"/>
              </w:rPr>
            </w:pPr>
          </w:p>
        </w:tc>
        <w:tc>
          <w:tcPr>
            <w:tcW w:w="8609" w:type="dxa"/>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rPr>
                <w:rFonts w:ascii="宋体" w:hAnsi="宋体" w:cs="宋体"/>
                <w:sz w:val="18"/>
                <w:szCs w:val="18"/>
              </w:rPr>
            </w:pPr>
          </w:p>
        </w:tc>
        <w:tc>
          <w:tcPr>
            <w:tcW w:w="909" w:type="dxa"/>
            <w:vAlign w:val="center"/>
          </w:tcPr>
          <w:p>
            <w:pPr>
              <w:rPr>
                <w:rFonts w:ascii="宋体" w:hAnsi="宋体" w:cs="宋体"/>
                <w:sz w:val="18"/>
                <w:szCs w:val="18"/>
              </w:rPr>
            </w:pPr>
          </w:p>
        </w:tc>
        <w:tc>
          <w:tcPr>
            <w:tcW w:w="792" w:type="dxa"/>
            <w:vAlign w:val="center"/>
          </w:tcPr>
          <w:p>
            <w:pPr>
              <w:rPr>
                <w:rFonts w:ascii="宋体" w:hAnsi="宋体" w:cs="宋体"/>
                <w:sz w:val="18"/>
                <w:szCs w:val="18"/>
              </w:rPr>
            </w:pPr>
          </w:p>
        </w:tc>
        <w:tc>
          <w:tcPr>
            <w:tcW w:w="1145" w:type="dxa"/>
            <w:vAlign w:val="center"/>
          </w:tcPr>
          <w:p>
            <w:pPr>
              <w:rPr>
                <w:rFonts w:ascii="宋体" w:hAnsi="宋体" w:cs="宋体"/>
                <w:sz w:val="18"/>
                <w:szCs w:val="18"/>
              </w:rPr>
            </w:pPr>
          </w:p>
        </w:tc>
        <w:tc>
          <w:tcPr>
            <w:tcW w:w="1728" w:type="dxa"/>
            <w:vAlign w:val="center"/>
          </w:tcPr>
          <w:p>
            <w:pPr>
              <w:rPr>
                <w:rFonts w:ascii="宋体" w:hAnsi="宋体" w:cs="宋体"/>
                <w:sz w:val="18"/>
                <w:szCs w:val="18"/>
              </w:rPr>
            </w:pPr>
          </w:p>
        </w:tc>
        <w:tc>
          <w:tcPr>
            <w:tcW w:w="8609" w:type="dxa"/>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rPr>
                <w:rFonts w:ascii="宋体" w:hAnsi="宋体" w:cs="宋体"/>
                <w:sz w:val="18"/>
                <w:szCs w:val="18"/>
              </w:rPr>
            </w:pPr>
          </w:p>
        </w:tc>
        <w:tc>
          <w:tcPr>
            <w:tcW w:w="909" w:type="dxa"/>
            <w:vAlign w:val="center"/>
          </w:tcPr>
          <w:p>
            <w:pPr>
              <w:rPr>
                <w:rFonts w:ascii="宋体" w:hAnsi="宋体" w:cs="宋体"/>
                <w:sz w:val="18"/>
                <w:szCs w:val="18"/>
              </w:rPr>
            </w:pPr>
          </w:p>
        </w:tc>
        <w:tc>
          <w:tcPr>
            <w:tcW w:w="792" w:type="dxa"/>
            <w:vAlign w:val="center"/>
          </w:tcPr>
          <w:p>
            <w:pPr>
              <w:rPr>
                <w:rFonts w:ascii="宋体" w:hAnsi="宋体" w:cs="宋体"/>
                <w:sz w:val="18"/>
                <w:szCs w:val="18"/>
              </w:rPr>
            </w:pPr>
          </w:p>
        </w:tc>
        <w:tc>
          <w:tcPr>
            <w:tcW w:w="1145" w:type="dxa"/>
            <w:vAlign w:val="center"/>
          </w:tcPr>
          <w:p>
            <w:pPr>
              <w:rPr>
                <w:rFonts w:ascii="宋体" w:hAnsi="宋体" w:cs="宋体"/>
                <w:sz w:val="18"/>
                <w:szCs w:val="18"/>
              </w:rPr>
            </w:pPr>
          </w:p>
        </w:tc>
        <w:tc>
          <w:tcPr>
            <w:tcW w:w="1728" w:type="dxa"/>
            <w:vAlign w:val="center"/>
          </w:tcPr>
          <w:p>
            <w:pPr>
              <w:rPr>
                <w:rFonts w:ascii="宋体" w:hAnsi="宋体" w:cs="宋体"/>
                <w:sz w:val="18"/>
                <w:szCs w:val="18"/>
              </w:rPr>
            </w:pPr>
          </w:p>
        </w:tc>
        <w:tc>
          <w:tcPr>
            <w:tcW w:w="8609" w:type="dxa"/>
            <w:vAlign w:val="center"/>
          </w:tcPr>
          <w:p>
            <w:pPr>
              <w:rPr>
                <w:rFonts w:ascii="宋体" w:hAnsi="宋体" w:cs="宋体"/>
                <w:sz w:val="18"/>
                <w:szCs w:val="18"/>
              </w:rPr>
            </w:pPr>
          </w:p>
        </w:tc>
      </w:tr>
    </w:tbl>
    <w:p>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E5YWNkOTZlOGY2Y2QwNDE3OWIzZTJiMzJmZDE3ZDcifQ=="/>
  </w:docVars>
  <w:rsids>
    <w:rsidRoot w:val="105C4E35"/>
    <w:rsid w:val="00016DD1"/>
    <w:rsid w:val="00045BD9"/>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15CF"/>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1719E"/>
    <w:rsid w:val="00836BD0"/>
    <w:rsid w:val="00836E5C"/>
    <w:rsid w:val="00857A79"/>
    <w:rsid w:val="008640AB"/>
    <w:rsid w:val="00871ECC"/>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2B75"/>
    <w:rsid w:val="00A04B77"/>
    <w:rsid w:val="00A213DF"/>
    <w:rsid w:val="00A2507B"/>
    <w:rsid w:val="00A31C32"/>
    <w:rsid w:val="00A42BFD"/>
    <w:rsid w:val="00A50751"/>
    <w:rsid w:val="00A5410C"/>
    <w:rsid w:val="00A54DD1"/>
    <w:rsid w:val="00A67074"/>
    <w:rsid w:val="00A976DD"/>
    <w:rsid w:val="00A978C2"/>
    <w:rsid w:val="00AE17B6"/>
    <w:rsid w:val="00AE4FB5"/>
    <w:rsid w:val="00AF114F"/>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C0620C"/>
    <w:rsid w:val="00C140C2"/>
    <w:rsid w:val="00C2020B"/>
    <w:rsid w:val="00C32990"/>
    <w:rsid w:val="00C45822"/>
    <w:rsid w:val="00C64E29"/>
    <w:rsid w:val="00C92025"/>
    <w:rsid w:val="00C9624A"/>
    <w:rsid w:val="00CD20CE"/>
    <w:rsid w:val="00CD59B0"/>
    <w:rsid w:val="00CE07D3"/>
    <w:rsid w:val="00CE50FC"/>
    <w:rsid w:val="00CE7655"/>
    <w:rsid w:val="00D21B6C"/>
    <w:rsid w:val="00D576B3"/>
    <w:rsid w:val="00D61A14"/>
    <w:rsid w:val="00D863C3"/>
    <w:rsid w:val="00DB1A93"/>
    <w:rsid w:val="00DB5BEA"/>
    <w:rsid w:val="00DC2A7B"/>
    <w:rsid w:val="00DC2B68"/>
    <w:rsid w:val="00DD3DDF"/>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5984D50"/>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67E529A"/>
    <w:rsid w:val="67486A82"/>
    <w:rsid w:val="67F02FD2"/>
    <w:rsid w:val="68661898"/>
    <w:rsid w:val="68DF77EA"/>
    <w:rsid w:val="6A5F3793"/>
    <w:rsid w:val="6A612CF9"/>
    <w:rsid w:val="6D535020"/>
    <w:rsid w:val="6D572137"/>
    <w:rsid w:val="708B7819"/>
    <w:rsid w:val="71754A05"/>
    <w:rsid w:val="71987B9A"/>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415</Words>
  <Characters>2366</Characters>
  <Lines>19</Lines>
  <Paragraphs>5</Paragraphs>
  <TotalTime>35</TotalTime>
  <ScaleCrop>false</ScaleCrop>
  <LinksUpToDate>false</LinksUpToDate>
  <CharactersWithSpaces>2776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Administrator</cp:lastModifiedBy>
  <cp:lastPrinted>2021-04-12T06:51:00Z</cp:lastPrinted>
  <dcterms:modified xsi:type="dcterms:W3CDTF">2025-02-11T01:09:17Z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4EABB30B8A2C43EAB9CDAFF0B83D1816</vt:lpwstr>
  </property>
</Properties>
</file>