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eastAsiaTheme="minorEastAsia"/>
          <w:b/>
          <w:color w:val="auto"/>
          <w:sz w:val="44"/>
          <w:szCs w:val="44"/>
          <w:highlight w:val="none"/>
          <w:lang w:val="en-US" w:eastAsia="zh-CN"/>
        </w:rPr>
      </w:pPr>
      <w:r>
        <w:rPr>
          <w:rFonts w:hint="eastAsia"/>
          <w:b/>
          <w:color w:val="auto"/>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剑阁县20</w:t>
      </w:r>
      <w:r>
        <w:rPr>
          <w:rFonts w:hint="eastAsia" w:ascii="方正小标宋简体" w:hAnsi="方正小标宋简体" w:eastAsia="方正小标宋简体" w:cs="方正小标宋简体"/>
          <w:b w:val="0"/>
          <w:bCs/>
          <w:color w:val="auto"/>
          <w:sz w:val="44"/>
          <w:szCs w:val="44"/>
          <w:highlight w:val="none"/>
          <w:lang w:val="en-US" w:eastAsia="zh-CN"/>
        </w:rPr>
        <w:t>23</w:t>
      </w:r>
      <w:r>
        <w:rPr>
          <w:rFonts w:hint="eastAsia" w:ascii="方正小标宋简体" w:hAnsi="方正小标宋简体" w:eastAsia="方正小标宋简体" w:cs="方正小标宋简体"/>
          <w:b w:val="0"/>
          <w:bCs/>
          <w:color w:val="auto"/>
          <w:sz w:val="44"/>
          <w:szCs w:val="44"/>
          <w:highlight w:val="none"/>
        </w:rPr>
        <w:t>年国民经济和社会发展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统  计  公  报</w:t>
      </w:r>
    </w:p>
    <w:p>
      <w:pPr>
        <w:keepNext w:val="0"/>
        <w:keepLines w:val="0"/>
        <w:pageBreakBefore w:val="0"/>
        <w:widowControl w:val="0"/>
        <w:kinsoku/>
        <w:wordWrap/>
        <w:overflowPunct/>
        <w:topLinePunct w:val="0"/>
        <w:autoSpaceDE/>
        <w:autoSpaceDN/>
        <w:bidi w:val="0"/>
        <w:adjustRightInd/>
        <w:snapToGrid/>
        <w:spacing w:line="576" w:lineRule="exact"/>
        <w:textAlignment w:val="auto"/>
        <w:rPr>
          <w:color w:val="auto"/>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2023年，面对复杂严峻的外部环境和多重困难压力</w:t>
      </w:r>
      <w:r>
        <w:rPr>
          <w:rFonts w:hint="default" w:ascii="仿宋_GB2312" w:eastAsia="仿宋_GB2312"/>
          <w:color w:val="auto"/>
          <w:sz w:val="32"/>
          <w:szCs w:val="32"/>
          <w:highlight w:val="none"/>
          <w:lang w:eastAsia="zh-CN"/>
        </w:rPr>
        <w:t>，县委</w:t>
      </w:r>
      <w:r>
        <w:rPr>
          <w:rFonts w:hint="eastAsia" w:ascii="仿宋_GB2312" w:eastAsia="仿宋_GB2312"/>
          <w:color w:val="auto"/>
          <w:sz w:val="32"/>
          <w:szCs w:val="32"/>
          <w:highlight w:val="none"/>
          <w:lang w:val="en-US" w:eastAsia="zh-CN"/>
        </w:rPr>
        <w:t>县政府</w:t>
      </w:r>
      <w:r>
        <w:rPr>
          <w:rFonts w:hint="default" w:ascii="仿宋_GB2312" w:eastAsia="仿宋_GB2312"/>
          <w:color w:val="auto"/>
          <w:sz w:val="32"/>
          <w:szCs w:val="32"/>
          <w:highlight w:val="none"/>
          <w:lang w:eastAsia="zh-CN"/>
        </w:rPr>
        <w:t>坚定以习近平新时代中国特色社会主义思想为指导，深入学习贯彻党的二十大精神和习近平总书记来川来广视察重要指示精神，全面落实党中央国务院、省委省政府和市委</w:t>
      </w:r>
      <w:r>
        <w:rPr>
          <w:rFonts w:hint="eastAsia" w:ascii="仿宋_GB2312" w:eastAsia="仿宋_GB2312"/>
          <w:color w:val="auto"/>
          <w:sz w:val="32"/>
          <w:szCs w:val="32"/>
          <w:highlight w:val="none"/>
          <w:lang w:eastAsia="zh-CN"/>
        </w:rPr>
        <w:t>市政府</w:t>
      </w:r>
      <w:r>
        <w:rPr>
          <w:rFonts w:hint="default" w:ascii="仿宋_GB2312" w:eastAsia="仿宋_GB2312"/>
          <w:color w:val="auto"/>
          <w:sz w:val="32"/>
          <w:szCs w:val="32"/>
          <w:highlight w:val="none"/>
          <w:lang w:eastAsia="zh-CN"/>
        </w:rPr>
        <w:t>决策部署，</w:t>
      </w:r>
      <w:r>
        <w:rPr>
          <w:rFonts w:hint="eastAsia" w:ascii="仿宋_GB2312" w:hAnsi="仿宋_GB2312" w:eastAsia="仿宋_GB2312" w:cs="仿宋_GB2312"/>
          <w:b w:val="0"/>
          <w:bCs w:val="0"/>
          <w:color w:val="auto"/>
          <w:spacing w:val="0"/>
          <w:kern w:val="2"/>
          <w:sz w:val="32"/>
          <w:szCs w:val="32"/>
          <w:highlight w:val="none"/>
          <w:lang w:val="en-US" w:eastAsia="zh-CN" w:bidi="ar-SA"/>
        </w:rPr>
        <w:t>深入开展“九大行动”，全力以赴拼经济比发展争一流，</w:t>
      </w:r>
      <w:r>
        <w:rPr>
          <w:rFonts w:hint="eastAsia" w:ascii="仿宋_GB2312" w:hAnsi="仿宋_GB2312" w:eastAsia="仿宋_GB2312" w:cs="仿宋_GB2312"/>
          <w:color w:val="auto"/>
          <w:sz w:val="32"/>
          <w:szCs w:val="32"/>
          <w:highlight w:val="none"/>
          <w:lang w:val="en" w:eastAsia="zh-CN"/>
        </w:rPr>
        <w:t>国民</w:t>
      </w:r>
      <w:r>
        <w:rPr>
          <w:rFonts w:hint="default" w:ascii="仿宋_GB2312" w:hAnsi="仿宋_GB2312" w:eastAsia="仿宋_GB2312" w:cs="仿宋_GB2312"/>
          <w:color w:val="auto"/>
          <w:sz w:val="32"/>
          <w:szCs w:val="32"/>
          <w:highlight w:val="none"/>
          <w:lang w:val="en" w:eastAsia="zh-CN"/>
        </w:rPr>
        <w:t>经济回升向好</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b w:val="0"/>
          <w:bCs w:val="0"/>
          <w:color w:val="auto"/>
          <w:spacing w:val="0"/>
          <w:kern w:val="2"/>
          <w:sz w:val="32"/>
          <w:szCs w:val="32"/>
          <w:highlight w:val="none"/>
          <w:lang w:val="en-US" w:eastAsia="zh-CN" w:bidi="ar-SA"/>
        </w:rPr>
        <w:t>剑阁现代化建设再创新局面。</w:t>
      </w:r>
    </w:p>
    <w:p>
      <w:pPr>
        <w:keepNext w:val="0"/>
        <w:keepLines w:val="0"/>
        <w:pageBreakBefore w:val="0"/>
        <w:widowControl w:val="0"/>
        <w:kinsoku/>
        <w:wordWrap/>
        <w:overflowPunct/>
        <w:topLinePunct w:val="0"/>
        <w:autoSpaceDE/>
        <w:autoSpaceDN/>
        <w:bidi w:val="0"/>
        <w:adjustRightInd/>
        <w:snapToGrid/>
        <w:spacing w:line="576" w:lineRule="exact"/>
        <w:ind w:firstLine="641" w:firstLineChars="200"/>
        <w:jc w:val="left"/>
        <w:textAlignment w:val="auto"/>
        <w:rPr>
          <w:rFonts w:ascii="华文中宋" w:hAnsi="华文中宋" w:eastAsia="华文中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2891" w:firstLineChars="90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一、综    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sz w:val="32"/>
          <w:szCs w:val="32"/>
          <w:highlight w:val="none"/>
        </w:rPr>
      </w:pPr>
    </w:p>
    <w:p>
      <w:pPr>
        <w:keepNext w:val="0"/>
        <w:keepLines w:val="0"/>
        <w:pageBreakBefore w:val="0"/>
        <w:widowControl/>
        <w:tabs>
          <w:tab w:val="left" w:pos="810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hAnsiTheme="minorHAnsi" w:cstheme="minorBidi"/>
          <w:color w:val="auto"/>
          <w:kern w:val="2"/>
          <w:sz w:val="32"/>
          <w:szCs w:val="32"/>
          <w:highlight w:val="none"/>
          <w:lang w:val="en-US" w:eastAsia="zh-CN" w:bidi="ar-SA"/>
        </w:rPr>
      </w:pPr>
      <w:r>
        <w:rPr>
          <w:rFonts w:hint="eastAsia" w:ascii="仿宋_GB2312" w:eastAsia="仿宋_GB2312"/>
          <w:color w:val="auto"/>
          <w:sz w:val="32"/>
          <w:szCs w:val="32"/>
          <w:highlight w:val="none"/>
        </w:rPr>
        <w:t>全年地区生产总值（GDP）</w:t>
      </w:r>
      <w:r>
        <w:rPr>
          <w:rFonts w:hint="eastAsia" w:ascii="仿宋_GB2312" w:eastAsia="仿宋_GB2312"/>
          <w:color w:val="auto"/>
          <w:sz w:val="32"/>
          <w:szCs w:val="32"/>
          <w:highlight w:val="none"/>
          <w:lang w:val="en-US" w:eastAsia="zh-CN"/>
        </w:rPr>
        <w:t>168.85</w:t>
      </w:r>
      <w:r>
        <w:rPr>
          <w:rFonts w:hint="eastAsia" w:ascii="仿宋_GB2312" w:eastAsia="仿宋_GB2312"/>
          <w:color w:val="auto"/>
          <w:sz w:val="32"/>
          <w:szCs w:val="32"/>
          <w:highlight w:val="none"/>
        </w:rPr>
        <w:t>亿元，按可比价格计算，</w:t>
      </w:r>
      <w:r>
        <w:rPr>
          <w:rFonts w:hint="eastAsia" w:ascii="仿宋_GB2312" w:eastAsia="仿宋_GB2312"/>
          <w:color w:val="auto"/>
          <w:sz w:val="32"/>
          <w:szCs w:val="32"/>
          <w:highlight w:val="none"/>
          <w:lang w:eastAsia="zh-CN"/>
        </w:rPr>
        <w:t>同比增长5.8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第一产业增加值</w:t>
      </w:r>
      <w:r>
        <w:rPr>
          <w:rFonts w:hint="eastAsia" w:ascii="仿宋_GB2312" w:eastAsia="仿宋_GB2312"/>
          <w:color w:val="auto"/>
          <w:sz w:val="32"/>
          <w:szCs w:val="32"/>
          <w:highlight w:val="none"/>
          <w:lang w:val="en-US" w:eastAsia="zh-CN"/>
        </w:rPr>
        <w:t>51.27</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同比</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3.9</w:t>
      </w:r>
      <w:r>
        <w:rPr>
          <w:rFonts w:hint="eastAsia" w:ascii="仿宋_GB2312" w:eastAsia="仿宋_GB2312"/>
          <w:color w:val="auto"/>
          <w:sz w:val="32"/>
          <w:szCs w:val="32"/>
          <w:highlight w:val="none"/>
        </w:rPr>
        <w:t>%；第二产业增加值</w:t>
      </w:r>
      <w:r>
        <w:rPr>
          <w:rFonts w:hint="eastAsia" w:ascii="仿宋_GB2312" w:eastAsia="仿宋_GB2312"/>
          <w:color w:val="auto"/>
          <w:sz w:val="32"/>
          <w:szCs w:val="32"/>
          <w:highlight w:val="none"/>
          <w:lang w:val="en-US" w:eastAsia="zh-CN"/>
        </w:rPr>
        <w:t>44.78</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增长6.5</w:t>
      </w:r>
      <w:r>
        <w:rPr>
          <w:rFonts w:hint="eastAsia" w:ascii="仿宋_GB2312" w:eastAsia="仿宋_GB2312"/>
          <w:color w:val="auto"/>
          <w:sz w:val="32"/>
          <w:szCs w:val="32"/>
          <w:highlight w:val="none"/>
        </w:rPr>
        <w:t>%；第三产业增加值</w:t>
      </w:r>
      <w:r>
        <w:rPr>
          <w:rFonts w:hint="eastAsia" w:ascii="仿宋_GB2312" w:eastAsia="仿宋_GB2312"/>
          <w:color w:val="auto"/>
          <w:sz w:val="32"/>
          <w:szCs w:val="32"/>
          <w:highlight w:val="none"/>
          <w:lang w:val="en-US" w:eastAsia="zh-CN"/>
        </w:rPr>
        <w:t>72.80</w:t>
      </w:r>
      <w:r>
        <w:rPr>
          <w:rFonts w:hint="eastAsia" w:ascii="仿宋_GB2312" w:eastAsia="仿宋_GB2312"/>
          <w:color w:val="auto"/>
          <w:sz w:val="32"/>
          <w:szCs w:val="32"/>
          <w:highlight w:val="none"/>
        </w:rPr>
        <w:t>亿元，增长</w:t>
      </w:r>
      <w:r>
        <w:rPr>
          <w:rFonts w:hint="eastAsia" w:ascii="仿宋_GB2312" w:eastAsia="仿宋_GB2312"/>
          <w:color w:val="auto"/>
          <w:sz w:val="32"/>
          <w:szCs w:val="32"/>
          <w:highlight w:val="none"/>
          <w:lang w:val="en-US" w:eastAsia="zh-CN"/>
        </w:rPr>
        <w:t>6.8</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全年人均地区生产总值</w:t>
      </w:r>
      <w:r>
        <w:rPr>
          <w:rFonts w:hint="eastAsia" w:ascii="仿宋_GB2312" w:hAnsi="仿宋_GB2312" w:eastAsia="仿宋_GB2312" w:cs="仿宋_GB2312"/>
          <w:color w:val="auto"/>
          <w:sz w:val="32"/>
          <w:szCs w:val="32"/>
          <w:highlight w:val="none"/>
          <w:lang w:val="en-US" w:eastAsia="zh-CN"/>
        </w:rPr>
        <w:t>41588元，比上年增长8.9%。</w:t>
      </w:r>
      <w:r>
        <w:rPr>
          <w:rFonts w:hint="eastAsia" w:ascii="仿宋_GB2312" w:eastAsia="仿宋_GB2312"/>
          <w:color w:val="auto"/>
          <w:sz w:val="32"/>
          <w:szCs w:val="32"/>
          <w:highlight w:val="none"/>
        </w:rPr>
        <w:t>第一、</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三产业</w:t>
      </w:r>
      <w:r>
        <w:rPr>
          <w:rFonts w:hint="eastAsia" w:ascii="仿宋_GB2312" w:eastAsia="仿宋_GB2312"/>
          <w:color w:val="auto"/>
          <w:sz w:val="32"/>
          <w:szCs w:val="32"/>
          <w:highlight w:val="none"/>
          <w:lang w:eastAsia="zh-CN"/>
        </w:rPr>
        <w:t>分别拉动经济增长</w:t>
      </w:r>
      <w:r>
        <w:rPr>
          <w:rFonts w:hint="eastAsia" w:ascii="仿宋_GB2312" w:eastAsia="仿宋_GB2312"/>
          <w:color w:val="auto"/>
          <w:sz w:val="32"/>
          <w:szCs w:val="32"/>
          <w:highlight w:val="none"/>
        </w:rPr>
        <w:t>1.2、</w:t>
      </w:r>
      <w:r>
        <w:rPr>
          <w:rFonts w:hint="eastAsia" w:ascii="仿宋_GB2312" w:eastAsia="仿宋_GB2312"/>
          <w:color w:val="auto"/>
          <w:sz w:val="32"/>
          <w:szCs w:val="32"/>
          <w:highlight w:val="none"/>
          <w:lang w:eastAsia="zh-CN"/>
        </w:rPr>
        <w:t>1.7、2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9</w:t>
      </w:r>
      <w:r>
        <w:rPr>
          <w:rFonts w:hint="eastAsia" w:ascii="仿宋_GB2312" w:eastAsia="仿宋_GB2312"/>
          <w:color w:val="auto"/>
          <w:sz w:val="32"/>
          <w:szCs w:val="32"/>
          <w:highlight w:val="none"/>
        </w:rPr>
        <w:t>个百分点。</w:t>
      </w:r>
    </w:p>
    <w:p>
      <w:pPr>
        <w:pStyle w:val="4"/>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hAnsiTheme="minorHAnsi" w:cstheme="minorBidi"/>
          <w:color w:val="auto"/>
          <w:kern w:val="2"/>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textAlignment w:val="auto"/>
        <w:rPr>
          <w:rFonts w:hint="eastAsia" w:ascii="仿宋_GB2312" w:eastAsia="仿宋_GB2312"/>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ind w:firstLine="640" w:firstLineChars="200"/>
        <w:textAlignment w:val="auto"/>
        <w:rPr>
          <w:rFonts w:hint="eastAsia" w:ascii="仿宋_GB2312" w:eastAsia="仿宋_GB2312" w:hAnsiTheme="minorHAnsi" w:cstheme="minorBidi"/>
          <w:color w:val="auto"/>
          <w:kern w:val="2"/>
          <w:sz w:val="32"/>
          <w:szCs w:val="32"/>
          <w:highlight w:val="none"/>
          <w:lang w:val="en-US" w:eastAsia="zh-CN" w:bidi="ar-SA"/>
        </w:rPr>
      </w:pPr>
      <w:r>
        <w:rPr>
          <w:rFonts w:hint="eastAsia" w:ascii="仿宋_GB2312" w:eastAsia="仿宋_GB2312"/>
          <w:color w:val="auto"/>
          <w:sz w:val="32"/>
          <w:szCs w:val="32"/>
          <w:highlight w:val="none"/>
        </w:rPr>
        <w:t>三次产业结构由上年的</w:t>
      </w:r>
      <w:r>
        <w:rPr>
          <w:rFonts w:hint="eastAsia" w:ascii="仿宋_GB2312" w:eastAsia="仿宋_GB2312"/>
          <w:color w:val="auto"/>
          <w:sz w:val="32"/>
          <w:szCs w:val="32"/>
          <w:highlight w:val="none"/>
          <w:lang w:val="en-US" w:eastAsia="zh-CN"/>
        </w:rPr>
        <w:t>31.7:26.6:41.7</w:t>
      </w:r>
      <w:r>
        <w:rPr>
          <w:rFonts w:hint="eastAsia" w:ascii="仿宋_GB2312" w:eastAsia="仿宋_GB2312"/>
          <w:color w:val="auto"/>
          <w:sz w:val="32"/>
          <w:szCs w:val="32"/>
          <w:highlight w:val="none"/>
        </w:rPr>
        <w:t>调整为</w:t>
      </w:r>
      <w:r>
        <w:rPr>
          <w:rFonts w:hint="eastAsia" w:ascii="仿宋_GB2312" w:eastAsia="仿宋_GB2312"/>
          <w:color w:val="auto"/>
          <w:sz w:val="32"/>
          <w:szCs w:val="32"/>
          <w:highlight w:val="none"/>
          <w:lang w:val="en-US" w:eastAsia="zh-CN"/>
        </w:rPr>
        <w:t>30.4:26.5:43.1。</w:t>
      </w:r>
    </w:p>
    <w:p>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color w:val="auto"/>
          <w:highlight w:val="none"/>
        </w:rPr>
        <w:drawing>
          <wp:anchor distT="0" distB="0" distL="114300" distR="114300" simplePos="0" relativeHeight="251659264" behindDoc="0" locked="0" layoutInCell="1" allowOverlap="1">
            <wp:simplePos x="0" y="0"/>
            <wp:positionH relativeFrom="column">
              <wp:posOffset>242570</wp:posOffset>
            </wp:positionH>
            <wp:positionV relativeFrom="paragraph">
              <wp:posOffset>36830</wp:posOffset>
            </wp:positionV>
            <wp:extent cx="4664075" cy="3251835"/>
            <wp:effectExtent l="4445" t="4445" r="17780" b="2032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tabs>
          <w:tab w:val="left" w:pos="740"/>
        </w:tabs>
        <w:kinsoku/>
        <w:wordWrap/>
        <w:overflowPunct/>
        <w:topLinePunct w:val="0"/>
        <w:bidi w:val="0"/>
        <w:snapToGrid/>
        <w:spacing w:line="576"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全年民营经济增加值</w:t>
      </w:r>
      <w:r>
        <w:rPr>
          <w:rFonts w:hint="eastAsia" w:ascii="仿宋_GB2312" w:eastAsia="仿宋_GB2312"/>
          <w:color w:val="auto"/>
          <w:sz w:val="32"/>
          <w:szCs w:val="32"/>
          <w:highlight w:val="none"/>
          <w:lang w:val="en-US" w:eastAsia="zh-CN"/>
        </w:rPr>
        <w:t>92.81</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同比增长4.9</w:t>
      </w:r>
      <w:r>
        <w:rPr>
          <w:rFonts w:hint="eastAsia" w:ascii="仿宋_GB2312" w:eastAsia="仿宋_GB2312"/>
          <w:color w:val="auto"/>
          <w:sz w:val="32"/>
          <w:szCs w:val="32"/>
          <w:highlight w:val="none"/>
        </w:rPr>
        <w:t>%。民营经济增加值占GDP比重为</w:t>
      </w:r>
      <w:r>
        <w:rPr>
          <w:rFonts w:hint="eastAsia" w:ascii="仿宋_GB2312" w:eastAsia="仿宋_GB2312"/>
          <w:color w:val="auto"/>
          <w:sz w:val="32"/>
          <w:szCs w:val="32"/>
          <w:highlight w:val="none"/>
          <w:lang w:val="en-US" w:eastAsia="zh-CN"/>
        </w:rPr>
        <w:t>55.0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比上年减少</w:t>
      </w:r>
      <w:r>
        <w:rPr>
          <w:rFonts w:hint="eastAsia" w:ascii="仿宋_GB2312" w:eastAsia="仿宋_GB2312"/>
          <w:color w:val="auto"/>
          <w:sz w:val="32"/>
          <w:szCs w:val="32"/>
          <w:highlight w:val="none"/>
          <w:lang w:val="en-US" w:eastAsia="zh-CN"/>
        </w:rPr>
        <w:t>0.7个百分点</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其中，第一产业增加值</w:t>
      </w:r>
      <w:r>
        <w:rPr>
          <w:rFonts w:hint="eastAsia" w:ascii="仿宋_GB2312" w:hAnsi="仿宋_GB2312" w:eastAsia="仿宋_GB2312" w:cs="仿宋_GB2312"/>
          <w:color w:val="auto"/>
          <w:sz w:val="32"/>
          <w:szCs w:val="32"/>
          <w:highlight w:val="none"/>
          <w:lang w:val="en-US" w:eastAsia="zh-CN"/>
        </w:rPr>
        <w:t>18.32</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%；第二产业增加值</w:t>
      </w:r>
      <w:r>
        <w:rPr>
          <w:rFonts w:hint="eastAsia" w:ascii="仿宋_GB2312" w:hAnsi="仿宋_GB2312" w:eastAsia="仿宋_GB2312" w:cs="仿宋_GB2312"/>
          <w:color w:val="auto"/>
          <w:sz w:val="32"/>
          <w:szCs w:val="32"/>
          <w:highlight w:val="none"/>
          <w:lang w:val="en-US" w:eastAsia="zh-CN"/>
        </w:rPr>
        <w:t>38.76</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%；第三产业增加值</w:t>
      </w:r>
      <w:r>
        <w:rPr>
          <w:rFonts w:hint="eastAsia" w:ascii="仿宋_GB2312" w:hAnsi="仿宋_GB2312" w:eastAsia="仿宋_GB2312" w:cs="仿宋_GB2312"/>
          <w:color w:val="auto"/>
          <w:sz w:val="32"/>
          <w:szCs w:val="32"/>
          <w:highlight w:val="none"/>
          <w:lang w:val="en-US" w:eastAsia="zh-CN"/>
        </w:rPr>
        <w:t>35.73</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年末全县“四上”企业在库193个，比上年净增23个。其中，规模以上工业企业64个，与上年持平；资质建筑业企业44个，比上年净增5个；房地产开发经营企业15个，与上年持平；限额以上批零住餐企业46个，比上年净增13个；规模以上服务业企业24个，比上年净增5个。</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sz w:val="32"/>
          <w:szCs w:val="32"/>
          <w:highlight w:val="none"/>
        </w:rPr>
      </w:pPr>
      <w:r>
        <w:rPr>
          <w:color w:val="auto"/>
          <w:highlight w:val="none"/>
        </w:rPr>
        <w:drawing>
          <wp:anchor distT="0" distB="0" distL="114300" distR="114300" simplePos="0" relativeHeight="251660288" behindDoc="0" locked="0" layoutInCell="1" allowOverlap="1">
            <wp:simplePos x="0" y="0"/>
            <wp:positionH relativeFrom="column">
              <wp:posOffset>179070</wp:posOffset>
            </wp:positionH>
            <wp:positionV relativeFrom="paragraph">
              <wp:posOffset>137795</wp:posOffset>
            </wp:positionV>
            <wp:extent cx="4878070" cy="3044825"/>
            <wp:effectExtent l="4445" t="4445" r="13335" b="1778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二、农    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全年农林牧渔业总产值90.4</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亿元，比上年增长3.9%</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粮食播种面积136.31万亩，同比减少0.9%；粮食总产量47.06万吨，同比增长2.4%。其中，小春粮食产量13.21万吨，同比增长3.</w:t>
      </w:r>
      <w:r>
        <w:rPr>
          <w:rFonts w:hint="eastAsia" w:ascii="仿宋_GB2312" w:eastAsia="仿宋_GB2312"/>
          <w:color w:val="auto"/>
          <w:sz w:val="32"/>
          <w:szCs w:val="32"/>
          <w:highlight w:val="none"/>
          <w:lang w:eastAsia="zh-CN"/>
        </w:rPr>
        <w:t>8%</w:t>
      </w:r>
      <w:r>
        <w:rPr>
          <w:rFonts w:hint="eastAsia" w:ascii="仿宋_GB2312" w:eastAsia="仿宋_GB2312"/>
          <w:color w:val="auto"/>
          <w:sz w:val="32"/>
          <w:szCs w:val="32"/>
          <w:highlight w:val="none"/>
        </w:rPr>
        <w:t>；大春粮食产量33.86万吨，同比增长2.0%。经济作物中，油料产量11.95万吨，增长3%，其中，油菜籽产量9.11万吨，增长3.8%；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全年肉类总产量9.</w:t>
      </w:r>
      <w:r>
        <w:rPr>
          <w:rFonts w:hint="eastAsia" w:ascii="仿宋_GB2312" w:eastAsia="仿宋_GB2312"/>
          <w:color w:val="auto"/>
          <w:sz w:val="32"/>
          <w:szCs w:val="32"/>
          <w:highlight w:val="none"/>
          <w:lang w:val="en-US" w:eastAsia="zh-CN"/>
        </w:rPr>
        <w:t>76万</w:t>
      </w:r>
      <w:r>
        <w:rPr>
          <w:rFonts w:hint="eastAsia" w:ascii="仿宋_GB2312" w:eastAsia="仿宋_GB2312"/>
          <w:color w:val="auto"/>
          <w:sz w:val="32"/>
          <w:szCs w:val="32"/>
          <w:highlight w:val="none"/>
        </w:rPr>
        <w:t>吨，比上年增长1.0 %;其中猪肉产量 7.3</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万吨，比上年增长 1.4%。出栏生猪 101</w:t>
      </w:r>
      <w:r>
        <w:rPr>
          <w:rFonts w:hint="eastAsia" w:ascii="仿宋_GB2312" w:eastAsia="仿宋_GB2312"/>
          <w:color w:val="auto"/>
          <w:sz w:val="32"/>
          <w:szCs w:val="32"/>
          <w:highlight w:val="none"/>
          <w:lang w:val="en-US" w:eastAsia="zh-CN"/>
        </w:rPr>
        <w:t>.00</w:t>
      </w:r>
      <w:r>
        <w:rPr>
          <w:rFonts w:hint="eastAsia" w:ascii="仿宋_GB2312" w:eastAsia="仿宋_GB2312"/>
          <w:color w:val="auto"/>
          <w:sz w:val="32"/>
          <w:szCs w:val="32"/>
          <w:highlight w:val="none"/>
        </w:rPr>
        <w:t>万头，比上年增长 1.7%；出栏牛1.9</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万头，比上年增长 1.6%；出栏羊 19.</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万只，比上年增长0.</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 %；出栏家禽 1110.85万只，比上年增长 -1.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完成营造林面积4570公顷，年末森林面积16896公顷，森林覆盖率52.75%，活立木蓄积1293万立方米。自然保护区2个，保护面积5.06万公顷，习近平总书记亲临蜀道翠云廊视察，古树名木保护工作经验获国家林草局、省政府主要领导批示推广。种植中药材4.2万亩，发展油茶1600亩。剑阁县核桃现代林业园区被认定为省级现代林业园区，剑阁县白龙元宝枫现代林业园区被认定为市级现代林业园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全年淡水养殖面积5424公顷，水产品产量1.27万吨，</w:t>
      </w:r>
      <w:r>
        <w:rPr>
          <w:rFonts w:hint="eastAsia" w:ascii="仿宋_GB2312" w:eastAsia="仿宋_GB2312"/>
          <w:color w:val="auto"/>
          <w:sz w:val="32"/>
          <w:szCs w:val="32"/>
          <w:highlight w:val="none"/>
          <w:lang w:eastAsia="zh-CN"/>
        </w:rPr>
        <w:t>同比</w:t>
      </w:r>
      <w:r>
        <w:rPr>
          <w:rFonts w:hint="eastAsia" w:ascii="仿宋_GB2312" w:eastAsia="仿宋_GB2312"/>
          <w:color w:val="auto"/>
          <w:sz w:val="32"/>
          <w:szCs w:val="32"/>
          <w:highlight w:val="none"/>
        </w:rPr>
        <w:t>增长5.</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%。农用化肥施用量（折纯）2.7</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万吨，下降0.5%。</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三、工业与建筑业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全年全部工业实现增加值</w:t>
      </w:r>
      <w:r>
        <w:rPr>
          <w:rFonts w:hint="eastAsia" w:ascii="仿宋_GB2312" w:eastAsia="仿宋_GB2312"/>
          <w:color w:val="auto"/>
          <w:sz w:val="32"/>
          <w:szCs w:val="32"/>
          <w:highlight w:val="none"/>
          <w:lang w:val="en-US" w:eastAsia="zh-CN"/>
        </w:rPr>
        <w:t>27.57</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同比增长</w:t>
      </w:r>
      <w:r>
        <w:rPr>
          <w:rFonts w:hint="eastAsia" w:ascii="仿宋_GB2312" w:eastAsia="仿宋_GB2312"/>
          <w:color w:val="auto"/>
          <w:sz w:val="32"/>
          <w:szCs w:val="32"/>
          <w:highlight w:val="none"/>
          <w:lang w:val="en-US" w:eastAsia="zh-CN"/>
        </w:rPr>
        <w:t>7.2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拉动</w:t>
      </w:r>
      <w:r>
        <w:rPr>
          <w:rFonts w:hint="eastAsia" w:ascii="仿宋_GB2312" w:eastAsia="仿宋_GB2312"/>
          <w:color w:val="auto"/>
          <w:sz w:val="32"/>
          <w:szCs w:val="32"/>
          <w:highlight w:val="none"/>
        </w:rPr>
        <w:t>经济</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个百分点。分门类看，</w:t>
      </w:r>
      <w:r>
        <w:rPr>
          <w:rFonts w:hint="eastAsia" w:ascii="仿宋_GB2312" w:eastAsia="仿宋_GB2312"/>
          <w:color w:val="auto"/>
          <w:sz w:val="32"/>
          <w:szCs w:val="32"/>
          <w:highlight w:val="none"/>
          <w:lang w:eastAsia="zh-CN"/>
        </w:rPr>
        <w:t>采矿业增长</w:t>
      </w:r>
      <w:r>
        <w:rPr>
          <w:rFonts w:hint="eastAsia" w:ascii="仿宋_GB2312" w:eastAsia="仿宋_GB2312"/>
          <w:color w:val="auto"/>
          <w:sz w:val="32"/>
          <w:szCs w:val="32"/>
          <w:highlight w:val="none"/>
          <w:lang w:val="en-US" w:eastAsia="zh-CN"/>
        </w:rPr>
        <w:t>4.7%，</w:t>
      </w:r>
      <w:r>
        <w:rPr>
          <w:rFonts w:hint="eastAsia" w:ascii="仿宋_GB2312" w:eastAsia="仿宋_GB2312"/>
          <w:color w:val="auto"/>
          <w:sz w:val="32"/>
          <w:szCs w:val="32"/>
          <w:highlight w:val="none"/>
        </w:rPr>
        <w:t>制造业</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7.1</w:t>
      </w:r>
      <w:r>
        <w:rPr>
          <w:rFonts w:hint="eastAsia" w:ascii="仿宋_GB2312" w:eastAsia="仿宋_GB2312"/>
          <w:color w:val="auto"/>
          <w:sz w:val="32"/>
          <w:szCs w:val="32"/>
          <w:highlight w:val="none"/>
        </w:rPr>
        <w:t>%，电力、燃气及水的生产和供应业增长</w:t>
      </w:r>
      <w:r>
        <w:rPr>
          <w:rFonts w:hint="eastAsia" w:ascii="仿宋_GB2312" w:eastAsia="仿宋_GB2312"/>
          <w:color w:val="auto"/>
          <w:sz w:val="32"/>
          <w:szCs w:val="32"/>
          <w:highlight w:val="none"/>
          <w:lang w:val="en-US" w:eastAsia="zh-CN"/>
        </w:rPr>
        <w:t>9.2</w:t>
      </w:r>
      <w:r>
        <w:rPr>
          <w:rFonts w:hint="eastAsia" w:ascii="仿宋_GB2312" w:eastAsia="仿宋_GB2312"/>
          <w:color w:val="auto"/>
          <w:sz w:val="32"/>
          <w:szCs w:val="32"/>
          <w:highlight w:val="none"/>
        </w:rPr>
        <w:t>%。全部工业增加值占GDP的比重</w:t>
      </w:r>
      <w:r>
        <w:rPr>
          <w:rFonts w:hint="eastAsia" w:ascii="仿宋_GB2312" w:eastAsia="仿宋_GB2312"/>
          <w:color w:val="auto"/>
          <w:sz w:val="32"/>
          <w:szCs w:val="32"/>
          <w:highlight w:val="none"/>
          <w:lang w:eastAsia="zh-CN"/>
        </w:rPr>
        <w:t>为</w:t>
      </w:r>
      <w:r>
        <w:rPr>
          <w:rFonts w:hint="eastAsia" w:ascii="仿宋_GB2312" w:eastAsia="仿宋_GB2312"/>
          <w:color w:val="auto"/>
          <w:sz w:val="32"/>
          <w:szCs w:val="32"/>
          <w:highlight w:val="none"/>
          <w:lang w:val="en-US" w:eastAsia="zh-CN"/>
        </w:rPr>
        <w:t>16.3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比上年下降</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个百分点</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年末规模以上工业企业</w:t>
      </w:r>
      <w:r>
        <w:rPr>
          <w:rFonts w:hint="eastAsia" w:ascii="仿宋_GB2312" w:eastAsia="仿宋_GB2312"/>
          <w:color w:val="auto"/>
          <w:sz w:val="32"/>
          <w:szCs w:val="32"/>
          <w:highlight w:val="none"/>
          <w:lang w:val="en-US" w:eastAsia="zh-CN"/>
        </w:rPr>
        <w:t>64</w:t>
      </w:r>
      <w:r>
        <w:rPr>
          <w:rFonts w:hint="eastAsia" w:ascii="仿宋_GB2312" w:eastAsia="仿宋_GB2312"/>
          <w:color w:val="auto"/>
          <w:sz w:val="32"/>
          <w:szCs w:val="32"/>
          <w:highlight w:val="none"/>
        </w:rPr>
        <w:t>户，总产值</w:t>
      </w:r>
      <w:r>
        <w:rPr>
          <w:rFonts w:hint="eastAsia" w:ascii="仿宋_GB2312" w:eastAsia="仿宋_GB2312"/>
          <w:color w:val="auto"/>
          <w:sz w:val="32"/>
          <w:szCs w:val="32"/>
          <w:highlight w:val="none"/>
          <w:lang w:eastAsia="zh-CN"/>
        </w:rPr>
        <w:t>同比</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增长0.04%</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规模以上工业增加值</w:t>
      </w:r>
      <w:r>
        <w:rPr>
          <w:rFonts w:hint="eastAsia" w:ascii="仿宋_GB2312" w:eastAsia="仿宋_GB2312"/>
          <w:color w:val="auto"/>
          <w:sz w:val="32"/>
          <w:szCs w:val="32"/>
          <w:highlight w:val="none"/>
          <w:lang w:eastAsia="zh-CN"/>
        </w:rPr>
        <w:t>同比增长</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9.7%。分行业看，20个行业大类中，酒、饮料和精制茶制造业、电气机械和器材制造业、家具制造业等12个行业产值正增长，增长面为60%。六大优势产业中铝基材料、绿色家居、生物医药、清洁能源产值分别同比增长129.9%、53.5%、79.1%、30.3%。</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绿色低碳优势产业中清洁能源产业、清洁能源支撑产业、清洁能源应用产业产值分别</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同比</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增长30.3%、134.3%、111.4%。</w:t>
      </w:r>
      <w:r>
        <w:rPr>
          <w:rFonts w:hint="eastAsia" w:ascii="仿宋_GB2312" w:eastAsia="仿宋_GB2312"/>
          <w:color w:val="auto"/>
          <w:sz w:val="32"/>
          <w:szCs w:val="32"/>
          <w:highlight w:val="none"/>
        </w:rPr>
        <w:t>分产品看，统计监测的2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种工业产品中有</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个产品产量</w:t>
      </w:r>
      <w:r>
        <w:rPr>
          <w:rFonts w:hint="eastAsia" w:ascii="仿宋_GB2312" w:eastAsia="仿宋_GB2312"/>
          <w:color w:val="auto"/>
          <w:sz w:val="32"/>
          <w:szCs w:val="32"/>
          <w:highlight w:val="none"/>
          <w:lang w:eastAsia="zh-CN"/>
        </w:rPr>
        <w:t>正</w:t>
      </w:r>
      <w:r>
        <w:rPr>
          <w:rFonts w:hint="eastAsia" w:ascii="仿宋_GB2312" w:eastAsia="仿宋_GB2312"/>
          <w:color w:val="auto"/>
          <w:sz w:val="32"/>
          <w:szCs w:val="32"/>
          <w:highlight w:val="none"/>
        </w:rPr>
        <w:t>增长，增长面为</w:t>
      </w:r>
      <w:r>
        <w:rPr>
          <w:rFonts w:hint="eastAsia" w:ascii="仿宋_GB2312" w:eastAsia="仿宋_GB2312"/>
          <w:color w:val="auto"/>
          <w:sz w:val="32"/>
          <w:szCs w:val="32"/>
          <w:highlight w:val="none"/>
          <w:lang w:val="en-US" w:eastAsia="zh-CN"/>
        </w:rPr>
        <w:t>25.0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其中医用口罩产量增长54.7%，中型拖拉机增长43.3%，鲜、冷藏肉增长7.2%</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全年规模以上工业企业营业收入</w:t>
      </w:r>
      <w:r>
        <w:rPr>
          <w:rFonts w:hint="eastAsia" w:ascii="仿宋_GB2312" w:eastAsia="仿宋_GB2312"/>
          <w:color w:val="auto"/>
          <w:sz w:val="32"/>
          <w:szCs w:val="32"/>
          <w:highlight w:val="none"/>
          <w:lang w:eastAsia="zh-CN"/>
        </w:rPr>
        <w:t>同比下降</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累计</w:t>
      </w:r>
      <w:r>
        <w:rPr>
          <w:rFonts w:hint="eastAsia" w:ascii="仿宋_GB2312" w:eastAsia="仿宋_GB2312"/>
          <w:color w:val="auto"/>
          <w:sz w:val="32"/>
          <w:szCs w:val="32"/>
          <w:highlight w:val="none"/>
        </w:rPr>
        <w:t>产销率为</w:t>
      </w:r>
      <w:r>
        <w:rPr>
          <w:rFonts w:hint="eastAsia" w:ascii="仿宋_GB2312" w:eastAsia="仿宋_GB2312"/>
          <w:color w:val="auto"/>
          <w:sz w:val="32"/>
          <w:szCs w:val="32"/>
          <w:highlight w:val="none"/>
          <w:lang w:val="en-US" w:eastAsia="zh-CN"/>
        </w:rPr>
        <w:t>84.1</w:t>
      </w:r>
      <w:r>
        <w:rPr>
          <w:rFonts w:hint="eastAsia" w:ascii="仿宋_GB2312" w:eastAsia="仿宋_GB2312"/>
          <w:color w:val="auto"/>
          <w:sz w:val="32"/>
          <w:szCs w:val="32"/>
          <w:highlight w:val="none"/>
        </w:rPr>
        <w:t>%；实现利税总额</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1.74</w:t>
      </w:r>
      <w:r>
        <w:rPr>
          <w:rFonts w:hint="eastAsia" w:ascii="仿宋_GB2312" w:eastAsia="仿宋_GB2312"/>
          <w:color w:val="auto"/>
          <w:sz w:val="32"/>
          <w:szCs w:val="32"/>
          <w:highlight w:val="none"/>
        </w:rPr>
        <w:t>亿元，其中利润总额</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1.51</w:t>
      </w:r>
      <w:r>
        <w:rPr>
          <w:rFonts w:hint="eastAsia" w:ascii="仿宋_GB2312" w:eastAsia="仿宋_GB2312"/>
          <w:color w:val="auto"/>
          <w:sz w:val="32"/>
          <w:szCs w:val="32"/>
          <w:highlight w:val="none"/>
        </w:rPr>
        <w:t>亿元；资产利润率</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个百分点；资产负债率</w:t>
      </w:r>
      <w:r>
        <w:rPr>
          <w:rFonts w:hint="eastAsia" w:ascii="仿宋_GB2312" w:eastAsia="仿宋_GB2312"/>
          <w:color w:val="auto"/>
          <w:sz w:val="32"/>
          <w:szCs w:val="32"/>
          <w:highlight w:val="none"/>
          <w:lang w:val="en-US" w:eastAsia="zh-CN"/>
        </w:rPr>
        <w:t>63.3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提高</w:t>
      </w:r>
      <w:r>
        <w:rPr>
          <w:rFonts w:hint="eastAsia" w:ascii="仿宋_GB2312" w:eastAsia="仿宋_GB2312"/>
          <w:color w:val="auto"/>
          <w:sz w:val="32"/>
          <w:szCs w:val="32"/>
          <w:highlight w:val="none"/>
          <w:lang w:val="en-US" w:eastAsia="zh-CN"/>
        </w:rPr>
        <w:t>7.3</w:t>
      </w:r>
      <w:r>
        <w:rPr>
          <w:rFonts w:hint="eastAsia" w:ascii="仿宋_GB2312" w:eastAsia="仿宋_GB2312"/>
          <w:color w:val="auto"/>
          <w:sz w:val="32"/>
          <w:szCs w:val="32"/>
          <w:highlight w:val="none"/>
        </w:rPr>
        <w:t>个百分点。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全年全社会建筑业</w:t>
      </w:r>
      <w:r>
        <w:rPr>
          <w:rFonts w:hint="eastAsia" w:ascii="仿宋_GB2312" w:eastAsia="仿宋_GB2312"/>
          <w:color w:val="auto"/>
          <w:sz w:val="32"/>
          <w:szCs w:val="32"/>
          <w:highlight w:val="none"/>
          <w:lang w:eastAsia="zh-CN"/>
        </w:rPr>
        <w:t>实现</w:t>
      </w:r>
      <w:r>
        <w:rPr>
          <w:rFonts w:hint="eastAsia" w:ascii="仿宋_GB2312" w:eastAsia="仿宋_GB2312"/>
          <w:color w:val="auto"/>
          <w:sz w:val="32"/>
          <w:szCs w:val="32"/>
          <w:highlight w:val="none"/>
        </w:rPr>
        <w:t>增加值</w:t>
      </w:r>
      <w:r>
        <w:rPr>
          <w:rFonts w:hint="eastAsia" w:ascii="仿宋_GB2312" w:eastAsia="仿宋_GB2312"/>
          <w:color w:val="auto"/>
          <w:sz w:val="32"/>
          <w:szCs w:val="32"/>
          <w:highlight w:val="none"/>
          <w:lang w:val="en-US" w:eastAsia="zh-CN"/>
        </w:rPr>
        <w:t>17.20</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同比增长</w:t>
      </w:r>
      <w:r>
        <w:rPr>
          <w:rFonts w:hint="eastAsia" w:ascii="仿宋_GB2312" w:eastAsia="仿宋_GB2312"/>
          <w:color w:val="auto"/>
          <w:sz w:val="32"/>
          <w:szCs w:val="32"/>
          <w:highlight w:val="none"/>
          <w:lang w:val="en-US" w:eastAsia="zh-CN"/>
        </w:rPr>
        <w:t>5.2</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pacing w:val="0"/>
          <w:sz w:val="32"/>
          <w:szCs w:val="32"/>
          <w:highlight w:val="none"/>
        </w:rPr>
        <w:t>具有资质等级的施工总承包和专业承包建筑业企业利润总额</w:t>
      </w:r>
      <w:r>
        <w:rPr>
          <w:rFonts w:hint="eastAsia" w:ascii="仿宋_GB2312" w:eastAsia="仿宋_GB2312"/>
          <w:color w:val="auto"/>
          <w:sz w:val="32"/>
          <w:szCs w:val="32"/>
          <w:highlight w:val="none"/>
          <w:lang w:eastAsia="zh-CN"/>
        </w:rPr>
        <w:t>同比</w:t>
      </w:r>
      <w:r>
        <w:rPr>
          <w:rFonts w:hint="eastAsia" w:ascii="仿宋_GB2312" w:hAnsi="仿宋_GB2312" w:eastAsia="仿宋_GB2312" w:cs="仿宋_GB2312"/>
          <w:color w:val="auto"/>
          <w:spacing w:val="0"/>
          <w:sz w:val="32"/>
          <w:szCs w:val="32"/>
          <w:highlight w:val="none"/>
          <w:lang w:val="en-US" w:eastAsia="zh-CN"/>
        </w:rPr>
        <w:t>下降0.8%。</w:t>
      </w:r>
      <w:r>
        <w:rPr>
          <w:rFonts w:hint="eastAsia" w:ascii="仿宋_GB2312" w:hAnsi="仿宋_GB2312" w:eastAsia="仿宋_GB2312" w:cs="仿宋_GB2312"/>
          <w:color w:val="auto"/>
          <w:spacing w:val="0"/>
          <w:sz w:val="32"/>
          <w:szCs w:val="32"/>
          <w:highlight w:val="none"/>
        </w:rPr>
        <w:t>总专包建筑企业</w:t>
      </w:r>
      <w:r>
        <w:rPr>
          <w:rFonts w:hint="eastAsia" w:ascii="仿宋_GB2312" w:eastAsia="仿宋_GB2312"/>
          <w:color w:val="auto"/>
          <w:sz w:val="32"/>
          <w:szCs w:val="32"/>
          <w:highlight w:val="none"/>
          <w:lang w:eastAsia="zh-CN"/>
        </w:rPr>
        <w:t>完成</w:t>
      </w:r>
      <w:r>
        <w:rPr>
          <w:rFonts w:hint="eastAsia" w:ascii="仿宋_GB2312" w:eastAsia="仿宋_GB2312"/>
          <w:color w:val="auto"/>
          <w:sz w:val="32"/>
          <w:szCs w:val="32"/>
          <w:highlight w:val="none"/>
        </w:rPr>
        <w:t>房屋建筑施工面积</w:t>
      </w:r>
      <w:r>
        <w:rPr>
          <w:rFonts w:hint="eastAsia" w:ascii="仿宋_GB2312" w:eastAsia="仿宋_GB2312"/>
          <w:color w:val="auto"/>
          <w:sz w:val="32"/>
          <w:szCs w:val="32"/>
          <w:highlight w:val="none"/>
          <w:lang w:eastAsia="zh-CN"/>
        </w:rPr>
        <w:t>同比增长</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%，其中新开工面积</w:t>
      </w:r>
      <w:r>
        <w:rPr>
          <w:rFonts w:hint="eastAsia" w:ascii="仿宋_GB2312" w:eastAsia="仿宋_GB2312"/>
          <w:color w:val="auto"/>
          <w:sz w:val="32"/>
          <w:szCs w:val="32"/>
          <w:highlight w:val="none"/>
          <w:lang w:eastAsia="zh-CN"/>
        </w:rPr>
        <w:t>同比下降</w:t>
      </w:r>
      <w:r>
        <w:rPr>
          <w:rFonts w:hint="eastAsia" w:ascii="仿宋_GB2312" w:eastAsia="仿宋_GB2312"/>
          <w:color w:val="auto"/>
          <w:sz w:val="32"/>
          <w:szCs w:val="32"/>
          <w:highlight w:val="none"/>
          <w:lang w:val="en-US" w:eastAsia="zh-CN"/>
        </w:rPr>
        <w:t>35.7</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四、固定资产投资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全年固定资产投资完成额</w:t>
      </w:r>
      <w:r>
        <w:rPr>
          <w:rFonts w:hint="eastAsia" w:ascii="仿宋_GB2312" w:eastAsia="仿宋_GB2312"/>
          <w:color w:val="auto"/>
          <w:sz w:val="32"/>
          <w:szCs w:val="32"/>
          <w:highlight w:val="none"/>
          <w:lang w:eastAsia="zh-CN"/>
        </w:rPr>
        <w:t>同比</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w:t>
      </w:r>
      <w:r>
        <w:rPr>
          <w:rFonts w:hint="eastAsia" w:ascii="仿宋_GB2312" w:eastAsia="仿宋_GB2312"/>
          <w:color w:val="auto"/>
          <w:sz w:val="32"/>
          <w:szCs w:val="32"/>
          <w:highlight w:val="none"/>
          <w:lang w:eastAsia="zh-CN"/>
        </w:rPr>
        <w:t>基础设施投资</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19.9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工业投资</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105.3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，制造业投资增长</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民间投资</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lang w:val="en-US" w:eastAsia="zh-CN"/>
        </w:rPr>
        <w:t>50.9</w:t>
      </w:r>
      <w:r>
        <w:rPr>
          <w:rFonts w:hint="eastAsia" w:ascii="仿宋_GB2312" w:eastAsia="仿宋_GB2312"/>
          <w:color w:val="auto"/>
          <w:sz w:val="32"/>
          <w:szCs w:val="32"/>
          <w:highlight w:val="none"/>
        </w:rPr>
        <w:t>%。</w:t>
      </w:r>
    </w:p>
    <w:p>
      <w:pPr>
        <w:keepNext w:val="0"/>
        <w:keepLines w:val="0"/>
        <w:pageBreakBefore w:val="0"/>
        <w:widowControl w:val="0"/>
        <w:tabs>
          <w:tab w:val="left" w:pos="620"/>
        </w:tabs>
        <w:kinsoku/>
        <w:wordWrap/>
        <w:overflowPunct/>
        <w:topLinePunct w:val="0"/>
        <w:autoSpaceDE/>
        <w:autoSpaceDN/>
        <w:bidi w:val="0"/>
        <w:adjustRightInd/>
        <w:snapToGrid/>
        <w:spacing w:line="576" w:lineRule="exact"/>
        <w:ind w:firstLine="840" w:firstLineChars="400"/>
        <w:textAlignment w:val="auto"/>
        <w:rPr>
          <w:rFonts w:hint="eastAsia" w:ascii="仿宋_GB2312" w:eastAsia="仿宋_GB2312"/>
          <w:color w:val="auto"/>
          <w:sz w:val="32"/>
          <w:szCs w:val="32"/>
          <w:highlight w:val="none"/>
        </w:rPr>
      </w:pPr>
      <w:r>
        <w:rPr>
          <w:color w:val="auto"/>
          <w:highlight w:val="none"/>
        </w:rPr>
        <w:drawing>
          <wp:anchor distT="0" distB="0" distL="114300" distR="114300" simplePos="0" relativeHeight="251661312" behindDoc="0" locked="0" layoutInCell="1" allowOverlap="1">
            <wp:simplePos x="0" y="0"/>
            <wp:positionH relativeFrom="column">
              <wp:posOffset>237490</wp:posOffset>
            </wp:positionH>
            <wp:positionV relativeFrom="paragraph">
              <wp:posOffset>106680</wp:posOffset>
            </wp:positionV>
            <wp:extent cx="4915535" cy="2971165"/>
            <wp:effectExtent l="4445" t="4445" r="13970" b="1524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color w:val="auto"/>
          <w:sz w:val="32"/>
          <w:szCs w:val="32"/>
          <w:highlight w:val="none"/>
        </w:rPr>
        <w:t>全年房地产开发投资</w:t>
      </w:r>
      <w:r>
        <w:rPr>
          <w:rFonts w:hint="eastAsia" w:ascii="仿宋_GB2312" w:eastAsia="仿宋_GB2312"/>
          <w:color w:val="auto"/>
          <w:sz w:val="32"/>
          <w:szCs w:val="32"/>
          <w:highlight w:val="none"/>
          <w:lang w:eastAsia="zh-CN"/>
        </w:rPr>
        <w:t>同比下降</w:t>
      </w:r>
      <w:r>
        <w:rPr>
          <w:rFonts w:hint="eastAsia" w:ascii="仿宋_GB2312" w:eastAsia="仿宋_GB2312"/>
          <w:color w:val="auto"/>
          <w:sz w:val="32"/>
          <w:szCs w:val="32"/>
          <w:highlight w:val="none"/>
          <w:lang w:val="en-US" w:eastAsia="zh-CN"/>
        </w:rPr>
        <w:t>27.0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，其中商品住宅投资同比下降</w:t>
      </w:r>
      <w:r>
        <w:rPr>
          <w:rFonts w:hint="eastAsia" w:ascii="仿宋_GB2312" w:eastAsia="仿宋_GB2312"/>
          <w:color w:val="auto"/>
          <w:sz w:val="32"/>
          <w:szCs w:val="32"/>
          <w:highlight w:val="none"/>
          <w:lang w:val="en-US" w:eastAsia="zh-CN"/>
        </w:rPr>
        <w:t>34.0%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商品房施工面积</w:t>
      </w:r>
      <w:r>
        <w:rPr>
          <w:rFonts w:hint="eastAsia" w:ascii="仿宋_GB2312" w:eastAsia="仿宋_GB2312"/>
          <w:color w:val="auto"/>
          <w:sz w:val="32"/>
          <w:szCs w:val="32"/>
          <w:highlight w:val="none"/>
          <w:lang w:eastAsia="zh-CN"/>
        </w:rPr>
        <w:t>同比下降</w:t>
      </w:r>
      <w:r>
        <w:rPr>
          <w:rFonts w:hint="eastAsia" w:ascii="仿宋_GB2312" w:eastAsia="仿宋_GB2312"/>
          <w:color w:val="auto"/>
          <w:sz w:val="32"/>
          <w:szCs w:val="32"/>
          <w:highlight w:val="none"/>
          <w:lang w:val="en-US" w:eastAsia="zh-CN"/>
        </w:rPr>
        <w:t>9.5</w:t>
      </w:r>
      <w:r>
        <w:rPr>
          <w:rFonts w:hint="eastAsia" w:ascii="仿宋_GB2312" w:eastAsia="仿宋_GB2312"/>
          <w:color w:val="auto"/>
          <w:sz w:val="32"/>
          <w:szCs w:val="32"/>
          <w:highlight w:val="none"/>
        </w:rPr>
        <w:t>%，其中本年新开工面积</w:t>
      </w:r>
      <w:r>
        <w:rPr>
          <w:rFonts w:hint="eastAsia" w:ascii="仿宋_GB2312" w:eastAsia="仿宋_GB2312"/>
          <w:color w:val="auto"/>
          <w:sz w:val="32"/>
          <w:szCs w:val="32"/>
          <w:highlight w:val="none"/>
          <w:lang w:eastAsia="zh-CN"/>
        </w:rPr>
        <w:t>同比增长</w:t>
      </w:r>
      <w:r>
        <w:rPr>
          <w:rFonts w:hint="eastAsia" w:ascii="仿宋_GB2312" w:eastAsia="仿宋_GB2312"/>
          <w:color w:val="auto"/>
          <w:sz w:val="32"/>
          <w:szCs w:val="32"/>
          <w:highlight w:val="none"/>
          <w:lang w:val="en-US" w:eastAsia="zh-CN"/>
        </w:rPr>
        <w:t>25.0</w:t>
      </w:r>
      <w:r>
        <w:rPr>
          <w:rFonts w:hint="eastAsia" w:ascii="仿宋_GB2312" w:eastAsia="仿宋_GB2312"/>
          <w:color w:val="auto"/>
          <w:sz w:val="32"/>
          <w:szCs w:val="32"/>
          <w:highlight w:val="none"/>
        </w:rPr>
        <w:t>%。商品房销售面积</w:t>
      </w:r>
      <w:r>
        <w:rPr>
          <w:rFonts w:hint="eastAsia" w:ascii="仿宋_GB2312" w:eastAsia="仿宋_GB2312"/>
          <w:color w:val="auto"/>
          <w:sz w:val="32"/>
          <w:szCs w:val="32"/>
          <w:highlight w:val="none"/>
          <w:lang w:eastAsia="zh-CN"/>
        </w:rPr>
        <w:t>同比下降</w:t>
      </w:r>
      <w:r>
        <w:rPr>
          <w:rFonts w:hint="eastAsia" w:ascii="仿宋_GB2312" w:eastAsia="仿宋_GB2312"/>
          <w:color w:val="auto"/>
          <w:sz w:val="32"/>
          <w:szCs w:val="32"/>
          <w:highlight w:val="none"/>
          <w:lang w:val="en-US" w:eastAsia="zh-CN"/>
        </w:rPr>
        <w:t>11.8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，其中</w:t>
      </w:r>
      <w:r>
        <w:rPr>
          <w:rFonts w:hint="eastAsia" w:ascii="仿宋_GB2312" w:eastAsia="仿宋_GB2312"/>
          <w:color w:val="auto"/>
          <w:sz w:val="32"/>
          <w:szCs w:val="32"/>
          <w:highlight w:val="none"/>
        </w:rPr>
        <w:t>商品</w:t>
      </w:r>
      <w:r>
        <w:rPr>
          <w:rFonts w:hint="eastAsia" w:ascii="仿宋_GB2312" w:eastAsia="仿宋_GB2312"/>
          <w:color w:val="auto"/>
          <w:sz w:val="32"/>
          <w:szCs w:val="32"/>
          <w:highlight w:val="none"/>
          <w:lang w:eastAsia="zh-CN"/>
        </w:rPr>
        <w:t>住宅销售面积同比</w:t>
      </w:r>
      <w:r>
        <w:rPr>
          <w:rFonts w:hint="eastAsia" w:ascii="仿宋_GB2312" w:eastAsia="仿宋_GB2312"/>
          <w:color w:val="auto"/>
          <w:sz w:val="32"/>
          <w:szCs w:val="32"/>
          <w:highlight w:val="none"/>
          <w:lang w:val="en-US" w:eastAsia="zh-CN"/>
        </w:rPr>
        <w:t>下降23.2%</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五、交通运输与邮电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全年公路运输总周转量36571万吨公里，同比增长7.7%，其中：货运周转量35352万吨公里，增长5.7%；客运周转量12192万人公里，增长140.5%。</w:t>
      </w:r>
      <w:r>
        <w:rPr>
          <w:rFonts w:hint="eastAsia" w:ascii="仿宋_GB2312" w:eastAsia="仿宋_GB2312"/>
          <w:color w:val="auto"/>
          <w:sz w:val="32"/>
          <w:szCs w:val="32"/>
          <w:highlight w:val="none"/>
        </w:rPr>
        <w:t>年末全县境内公路总里程</w:t>
      </w:r>
      <w:r>
        <w:rPr>
          <w:rFonts w:hint="eastAsia" w:ascii="仿宋_GB2312" w:eastAsia="仿宋_GB2312"/>
          <w:color w:val="auto"/>
          <w:sz w:val="32"/>
          <w:szCs w:val="32"/>
          <w:highlight w:val="none"/>
          <w:lang w:val="en-US" w:eastAsia="zh-CN"/>
        </w:rPr>
        <w:t>4634</w:t>
      </w:r>
      <w:r>
        <w:rPr>
          <w:rFonts w:hint="eastAsia" w:ascii="仿宋_GB2312" w:eastAsia="仿宋_GB2312"/>
          <w:color w:val="auto"/>
          <w:sz w:val="32"/>
          <w:szCs w:val="32"/>
          <w:highlight w:val="none"/>
        </w:rPr>
        <w:t>公里，</w:t>
      </w:r>
      <w:r>
        <w:rPr>
          <w:rFonts w:hint="eastAsia" w:ascii="仿宋_GB2312" w:eastAsia="仿宋_GB2312"/>
          <w:color w:val="auto"/>
          <w:sz w:val="32"/>
          <w:szCs w:val="32"/>
          <w:highlight w:val="none"/>
          <w:lang w:eastAsia="zh-CN"/>
        </w:rPr>
        <w:t>其中</w:t>
      </w:r>
      <w:r>
        <w:rPr>
          <w:rFonts w:hint="eastAsia" w:ascii="仿宋_GB2312" w:eastAsia="仿宋_GB2312"/>
          <w:color w:val="auto"/>
          <w:sz w:val="32"/>
          <w:szCs w:val="32"/>
          <w:highlight w:val="none"/>
        </w:rPr>
        <w:t>国</w:t>
      </w:r>
      <w:r>
        <w:rPr>
          <w:rFonts w:hint="eastAsia" w:ascii="仿宋_GB2312" w:eastAsia="仿宋_GB2312"/>
          <w:color w:val="auto"/>
          <w:sz w:val="32"/>
          <w:szCs w:val="32"/>
          <w:highlight w:val="none"/>
          <w:lang w:eastAsia="zh-CN"/>
        </w:rPr>
        <w:t>省</w:t>
      </w:r>
      <w:r>
        <w:rPr>
          <w:rFonts w:hint="eastAsia" w:ascii="仿宋_GB2312" w:eastAsia="仿宋_GB2312"/>
          <w:color w:val="auto"/>
          <w:sz w:val="32"/>
          <w:szCs w:val="32"/>
          <w:highlight w:val="none"/>
        </w:rPr>
        <w:t>道公路</w:t>
      </w:r>
      <w:r>
        <w:rPr>
          <w:rFonts w:hint="eastAsia" w:ascii="仿宋_GB2312" w:eastAsia="仿宋_GB2312"/>
          <w:color w:val="auto"/>
          <w:sz w:val="32"/>
          <w:szCs w:val="32"/>
          <w:highlight w:val="none"/>
          <w:lang w:val="en-US" w:eastAsia="zh-CN"/>
        </w:rPr>
        <w:t>392.16</w:t>
      </w:r>
      <w:r>
        <w:rPr>
          <w:rFonts w:hint="eastAsia" w:ascii="仿宋_GB2312" w:eastAsia="仿宋_GB2312"/>
          <w:color w:val="auto"/>
          <w:sz w:val="32"/>
          <w:szCs w:val="32"/>
          <w:highlight w:val="none"/>
        </w:rPr>
        <w:t>公里，</w:t>
      </w:r>
      <w:r>
        <w:rPr>
          <w:rFonts w:hint="eastAsia" w:ascii="仿宋_GB2312" w:eastAsia="仿宋_GB2312"/>
          <w:color w:val="auto"/>
          <w:sz w:val="32"/>
          <w:szCs w:val="32"/>
          <w:highlight w:val="none"/>
          <w:lang w:eastAsia="zh-CN"/>
        </w:rPr>
        <w:t>县乡村道路</w:t>
      </w:r>
      <w:r>
        <w:rPr>
          <w:rFonts w:hint="eastAsia" w:ascii="仿宋_GB2312" w:eastAsia="仿宋_GB2312"/>
          <w:color w:val="auto"/>
          <w:sz w:val="32"/>
          <w:szCs w:val="32"/>
          <w:highlight w:val="none"/>
          <w:lang w:val="en-US" w:eastAsia="zh-CN"/>
        </w:rPr>
        <w:t>4241.85公里。</w:t>
      </w:r>
      <w:r>
        <w:rPr>
          <w:rFonts w:hint="eastAsia" w:ascii="仿宋_GB2312" w:eastAsia="仿宋_GB2312"/>
          <w:color w:val="auto"/>
          <w:sz w:val="32"/>
          <w:szCs w:val="32"/>
          <w:highlight w:val="none"/>
        </w:rPr>
        <w:t>等级公路</w:t>
      </w:r>
      <w:r>
        <w:rPr>
          <w:rFonts w:hint="eastAsia" w:ascii="仿宋_GB2312" w:eastAsia="仿宋_GB2312"/>
          <w:color w:val="auto"/>
          <w:sz w:val="32"/>
          <w:szCs w:val="32"/>
          <w:highlight w:val="none"/>
          <w:lang w:val="en-US" w:eastAsia="zh-CN"/>
        </w:rPr>
        <w:t>4332.88</w:t>
      </w:r>
      <w:r>
        <w:rPr>
          <w:rFonts w:hint="eastAsia" w:ascii="仿宋_GB2312" w:eastAsia="仿宋_GB2312"/>
          <w:color w:val="auto"/>
          <w:sz w:val="32"/>
          <w:szCs w:val="32"/>
          <w:highlight w:val="none"/>
        </w:rPr>
        <w:t>公里</w:t>
      </w:r>
      <w:r>
        <w:rPr>
          <w:rFonts w:hint="eastAsia" w:ascii="仿宋_GB2312" w:eastAsia="仿宋_GB2312"/>
          <w:color w:val="auto"/>
          <w:sz w:val="32"/>
          <w:szCs w:val="32"/>
          <w:highlight w:val="none"/>
          <w:lang w:eastAsia="zh-CN"/>
        </w:rPr>
        <w:t>、等外公路</w:t>
      </w:r>
      <w:r>
        <w:rPr>
          <w:rFonts w:hint="eastAsia" w:ascii="仿宋_GB2312" w:eastAsia="仿宋_GB2312"/>
          <w:color w:val="auto"/>
          <w:sz w:val="32"/>
          <w:szCs w:val="32"/>
          <w:highlight w:val="none"/>
          <w:lang w:val="en-US" w:eastAsia="zh-CN"/>
        </w:rPr>
        <w:t>301.13公里；国省干线管养里程272公里。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全年全县邮政业务总量实现1.01亿元，同比增长18.6%。通信信号覆盖率100%，宽带互联网覆盖率100%，逐步推进千兆光纤网络向农村延伸。5G基站已开通428个。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六、贸易与旅游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全年社会消费品零售总额</w:t>
      </w:r>
      <w:r>
        <w:rPr>
          <w:rFonts w:hint="eastAsia" w:ascii="仿宋_GB2312" w:eastAsia="仿宋_GB2312"/>
          <w:color w:val="auto"/>
          <w:sz w:val="32"/>
          <w:szCs w:val="32"/>
          <w:highlight w:val="none"/>
          <w:lang w:val="en-US" w:eastAsia="zh-CN"/>
        </w:rPr>
        <w:t>72.16</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同比增长</w:t>
      </w:r>
      <w:r>
        <w:rPr>
          <w:rFonts w:hint="eastAsia" w:ascii="仿宋_GB2312" w:eastAsia="仿宋_GB2312"/>
          <w:color w:val="auto"/>
          <w:sz w:val="32"/>
          <w:szCs w:val="32"/>
          <w:highlight w:val="none"/>
          <w:lang w:val="en-US" w:eastAsia="zh-CN"/>
        </w:rPr>
        <w:t>10.6</w:t>
      </w:r>
      <w:r>
        <w:rPr>
          <w:rFonts w:hint="eastAsia" w:ascii="仿宋_GB2312" w:eastAsia="仿宋_GB2312"/>
          <w:color w:val="auto"/>
          <w:sz w:val="32"/>
          <w:szCs w:val="32"/>
          <w:highlight w:val="none"/>
        </w:rPr>
        <w:t>%。其中，限额以上单位零售额</w:t>
      </w:r>
      <w:r>
        <w:rPr>
          <w:rFonts w:hint="eastAsia" w:ascii="仿宋_GB2312" w:eastAsia="仿宋_GB2312"/>
          <w:color w:val="auto"/>
          <w:sz w:val="32"/>
          <w:szCs w:val="32"/>
          <w:highlight w:val="none"/>
          <w:lang w:val="en-US" w:eastAsia="zh-CN"/>
        </w:rPr>
        <w:t>6.69</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%，占社会消费品零售总额的</w:t>
      </w:r>
      <w:r>
        <w:rPr>
          <w:rFonts w:hint="eastAsia" w:ascii="仿宋_GB2312" w:eastAsia="仿宋_GB2312"/>
          <w:color w:val="auto"/>
          <w:sz w:val="32"/>
          <w:szCs w:val="32"/>
          <w:highlight w:val="none"/>
          <w:lang w:val="en-US" w:eastAsia="zh-CN"/>
        </w:rPr>
        <w:t>9.3</w:t>
      </w:r>
      <w:r>
        <w:rPr>
          <w:rFonts w:hint="eastAsia" w:ascii="仿宋_GB2312" w:eastAsia="仿宋_GB2312"/>
          <w:color w:val="auto"/>
          <w:sz w:val="32"/>
          <w:szCs w:val="32"/>
          <w:highlight w:val="none"/>
        </w:rPr>
        <w:t>%。分经营地看，城镇市场消费品零售额</w:t>
      </w:r>
      <w:r>
        <w:rPr>
          <w:rFonts w:hint="eastAsia" w:ascii="仿宋_GB2312" w:eastAsia="仿宋_GB2312"/>
          <w:color w:val="auto"/>
          <w:sz w:val="32"/>
          <w:szCs w:val="32"/>
          <w:highlight w:val="none"/>
          <w:lang w:val="en-US" w:eastAsia="zh-CN"/>
        </w:rPr>
        <w:t>56.71</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8.8</w:t>
      </w:r>
      <w:r>
        <w:rPr>
          <w:rFonts w:hint="eastAsia" w:ascii="仿宋_GB2312" w:eastAsia="仿宋_GB2312"/>
          <w:color w:val="auto"/>
          <w:sz w:val="32"/>
          <w:szCs w:val="32"/>
          <w:highlight w:val="none"/>
        </w:rPr>
        <w:t>%；乡村市场消费品零售额</w:t>
      </w:r>
      <w:r>
        <w:rPr>
          <w:rFonts w:hint="eastAsia" w:ascii="仿宋_GB2312" w:eastAsia="仿宋_GB2312"/>
          <w:color w:val="auto"/>
          <w:sz w:val="32"/>
          <w:szCs w:val="32"/>
          <w:highlight w:val="none"/>
          <w:lang w:val="en-US" w:eastAsia="zh-CN"/>
        </w:rPr>
        <w:t>15.45</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18.0</w:t>
      </w:r>
      <w:r>
        <w:rPr>
          <w:rFonts w:hint="eastAsia" w:ascii="仿宋_GB2312" w:eastAsia="仿宋_GB2312"/>
          <w:color w:val="auto"/>
          <w:sz w:val="32"/>
          <w:szCs w:val="32"/>
          <w:highlight w:val="none"/>
        </w:rPr>
        <w:t>%。分行业看，批发业</w:t>
      </w:r>
      <w:r>
        <w:rPr>
          <w:rFonts w:hint="eastAsia" w:ascii="仿宋_GB2312" w:eastAsia="仿宋_GB2312"/>
          <w:color w:val="auto"/>
          <w:sz w:val="32"/>
          <w:szCs w:val="32"/>
          <w:highlight w:val="none"/>
          <w:lang w:val="en-US" w:eastAsia="zh-CN"/>
        </w:rPr>
        <w:t>6.86</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11.7</w:t>
      </w:r>
      <w:r>
        <w:rPr>
          <w:rFonts w:hint="eastAsia" w:ascii="仿宋_GB2312" w:eastAsia="仿宋_GB2312"/>
          <w:color w:val="auto"/>
          <w:sz w:val="32"/>
          <w:szCs w:val="32"/>
          <w:highlight w:val="none"/>
        </w:rPr>
        <w:t>%；零售业</w:t>
      </w:r>
      <w:r>
        <w:rPr>
          <w:rFonts w:hint="eastAsia" w:ascii="仿宋_GB2312" w:eastAsia="仿宋_GB2312"/>
          <w:color w:val="auto"/>
          <w:sz w:val="32"/>
          <w:szCs w:val="32"/>
          <w:highlight w:val="none"/>
          <w:lang w:val="en-US" w:eastAsia="zh-CN"/>
        </w:rPr>
        <w:t>46.05</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6.2</w:t>
      </w:r>
      <w:r>
        <w:rPr>
          <w:rFonts w:hint="eastAsia" w:ascii="仿宋_GB2312" w:eastAsia="仿宋_GB2312"/>
          <w:color w:val="auto"/>
          <w:sz w:val="32"/>
          <w:szCs w:val="32"/>
          <w:highlight w:val="none"/>
        </w:rPr>
        <w:t>%；住宿业</w:t>
      </w:r>
      <w:r>
        <w:rPr>
          <w:rFonts w:hint="eastAsia" w:ascii="仿宋_GB2312" w:eastAsia="仿宋_GB2312"/>
          <w:color w:val="auto"/>
          <w:sz w:val="32"/>
          <w:szCs w:val="32"/>
          <w:highlight w:val="none"/>
          <w:lang w:val="en-US" w:eastAsia="zh-CN"/>
        </w:rPr>
        <w:t>2.29</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52.5</w:t>
      </w:r>
      <w:r>
        <w:rPr>
          <w:rFonts w:hint="eastAsia" w:ascii="仿宋_GB2312" w:eastAsia="仿宋_GB2312"/>
          <w:color w:val="auto"/>
          <w:sz w:val="32"/>
          <w:szCs w:val="32"/>
          <w:highlight w:val="none"/>
        </w:rPr>
        <w:t>%；餐饮业</w:t>
      </w:r>
      <w:r>
        <w:rPr>
          <w:rFonts w:hint="eastAsia" w:ascii="仿宋_GB2312" w:eastAsia="仿宋_GB2312"/>
          <w:color w:val="auto"/>
          <w:sz w:val="32"/>
          <w:szCs w:val="32"/>
          <w:highlight w:val="none"/>
          <w:lang w:val="en-US" w:eastAsia="zh-CN"/>
        </w:rPr>
        <w:t>16.96</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19.1</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从限额以上企业（单位）主要商品零售额看，</w:t>
      </w:r>
      <w:r>
        <w:rPr>
          <w:rFonts w:hint="eastAsia" w:ascii="仿宋_GB2312" w:eastAsia="仿宋_GB2312"/>
          <w:color w:val="auto"/>
          <w:sz w:val="32"/>
          <w:szCs w:val="32"/>
          <w:highlight w:val="none"/>
          <w:lang w:eastAsia="zh-CN"/>
        </w:rPr>
        <w:t>汽车类</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16.7</w:t>
      </w:r>
      <w:r>
        <w:rPr>
          <w:rFonts w:hint="eastAsia" w:ascii="仿宋_GB2312" w:eastAsia="仿宋_GB2312"/>
          <w:color w:val="auto"/>
          <w:sz w:val="32"/>
          <w:szCs w:val="32"/>
          <w:highlight w:val="none"/>
        </w:rPr>
        <w:t>%，中西药品类</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13.4%，</w:t>
      </w:r>
      <w:r>
        <w:rPr>
          <w:rFonts w:hint="eastAsia" w:ascii="仿宋_GB2312" w:eastAsia="仿宋_GB2312"/>
          <w:color w:val="auto"/>
          <w:sz w:val="32"/>
          <w:szCs w:val="32"/>
          <w:highlight w:val="none"/>
        </w:rPr>
        <w:t>通讯器材类</w:t>
      </w:r>
      <w:r>
        <w:rPr>
          <w:rFonts w:hint="eastAsia" w:ascii="仿宋_GB2312" w:eastAsia="仿宋_GB2312"/>
          <w:color w:val="auto"/>
          <w:sz w:val="32"/>
          <w:szCs w:val="32"/>
          <w:highlight w:val="none"/>
          <w:lang w:eastAsia="zh-CN"/>
        </w:rPr>
        <w:t>同比</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11.1</w:t>
      </w:r>
      <w:r>
        <w:rPr>
          <w:rFonts w:hint="eastAsia" w:ascii="仿宋_GB2312" w:eastAsia="仿宋_GB2312"/>
          <w:color w:val="auto"/>
          <w:sz w:val="32"/>
          <w:szCs w:val="32"/>
          <w:highlight w:val="none"/>
        </w:rPr>
        <w:t>%，粮油、食品、饮料、烟酒类增长</w:t>
      </w:r>
      <w:r>
        <w:rPr>
          <w:rFonts w:hint="eastAsia" w:ascii="仿宋_GB2312" w:eastAsia="仿宋_GB2312"/>
          <w:color w:val="auto"/>
          <w:sz w:val="32"/>
          <w:szCs w:val="32"/>
          <w:highlight w:val="none"/>
          <w:lang w:val="en-US" w:eastAsia="zh-CN"/>
        </w:rPr>
        <w:t>10.4</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剑门关景区入选全国</w:t>
      </w:r>
      <w:r>
        <w:rPr>
          <w:rFonts w:hint="eastAsia" w:ascii="仿宋_GB2312" w:eastAsia="仿宋_GB2312"/>
          <w:color w:val="auto"/>
          <w:sz w:val="32"/>
          <w:szCs w:val="32"/>
          <w:highlight w:val="none"/>
          <w:lang w:val="en-US" w:eastAsia="zh-CN"/>
        </w:rPr>
        <w:t>5A级景区品牌传播力百强榜，位列全省第三位，获评第二批省级文明旅游示范单位。翠云廊获评2023年四川十大避暑胜地。高质量承办“2023年国际媒体人广元大蜀道采风行”“古蜀道徒步游”等活动。</w:t>
      </w:r>
      <w:r>
        <w:rPr>
          <w:rFonts w:hint="eastAsia" w:ascii="仿宋_GB2312" w:eastAsia="仿宋_GB2312"/>
          <w:color w:val="auto"/>
          <w:sz w:val="32"/>
          <w:szCs w:val="32"/>
          <w:highlight w:val="none"/>
        </w:rPr>
        <w:t>全年</w:t>
      </w:r>
      <w:r>
        <w:rPr>
          <w:rFonts w:hint="eastAsia" w:ascii="仿宋_GB2312" w:eastAsia="仿宋_GB2312"/>
          <w:color w:val="auto"/>
          <w:sz w:val="32"/>
          <w:szCs w:val="32"/>
          <w:highlight w:val="none"/>
          <w:lang w:eastAsia="zh-CN"/>
        </w:rPr>
        <w:t>剑门关</w:t>
      </w:r>
      <w:r>
        <w:rPr>
          <w:rFonts w:hint="eastAsia" w:ascii="仿宋_GB2312" w:eastAsia="仿宋_GB2312"/>
          <w:color w:val="auto"/>
          <w:sz w:val="32"/>
          <w:szCs w:val="32"/>
          <w:highlight w:val="none"/>
        </w:rPr>
        <w:t>景区接待游客</w:t>
      </w:r>
      <w:r>
        <w:rPr>
          <w:rFonts w:hint="eastAsia" w:ascii="仿宋_GB2312" w:eastAsia="仿宋_GB2312"/>
          <w:color w:val="auto"/>
          <w:sz w:val="32"/>
          <w:szCs w:val="32"/>
          <w:highlight w:val="none"/>
          <w:lang w:val="en-US" w:eastAsia="zh-CN"/>
        </w:rPr>
        <w:t>276.41</w:t>
      </w:r>
      <w:r>
        <w:rPr>
          <w:rFonts w:hint="eastAsia" w:ascii="仿宋_GB2312" w:eastAsia="仿宋_GB2312"/>
          <w:color w:val="auto"/>
          <w:sz w:val="32"/>
          <w:szCs w:val="32"/>
          <w:highlight w:val="none"/>
        </w:rPr>
        <w:t>万人次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实现</w:t>
      </w:r>
      <w:r>
        <w:rPr>
          <w:rFonts w:hint="eastAsia" w:ascii="仿宋_GB2312" w:eastAsia="仿宋_GB2312"/>
          <w:color w:val="auto"/>
          <w:sz w:val="32"/>
          <w:szCs w:val="32"/>
          <w:highlight w:val="none"/>
          <w:lang w:eastAsia="zh-CN"/>
        </w:rPr>
        <w:t>旅游门票</w:t>
      </w:r>
      <w:r>
        <w:rPr>
          <w:rFonts w:hint="eastAsia" w:ascii="仿宋_GB2312" w:eastAsia="仿宋_GB2312"/>
          <w:color w:val="auto"/>
          <w:sz w:val="32"/>
          <w:szCs w:val="32"/>
          <w:highlight w:val="none"/>
        </w:rPr>
        <w:t>收入</w:t>
      </w:r>
      <w:r>
        <w:rPr>
          <w:rFonts w:hint="eastAsia" w:ascii="仿宋_GB2312" w:eastAsia="仿宋_GB2312"/>
          <w:color w:val="auto"/>
          <w:sz w:val="32"/>
          <w:szCs w:val="32"/>
          <w:highlight w:val="none"/>
          <w:lang w:val="en-US" w:eastAsia="zh-CN"/>
        </w:rPr>
        <w:t>1.02</w:t>
      </w:r>
      <w:r>
        <w:rPr>
          <w:rFonts w:hint="eastAsia" w:ascii="仿宋_GB2312" w:eastAsia="仿宋_GB2312"/>
          <w:color w:val="auto"/>
          <w:sz w:val="32"/>
          <w:szCs w:val="32"/>
          <w:highlight w:val="none"/>
        </w:rPr>
        <w:t>亿元。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七、财政、金融与保险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全年地方一般公共预算收入完成</w:t>
      </w:r>
      <w:r>
        <w:rPr>
          <w:rFonts w:hint="eastAsia" w:ascii="仿宋_GB2312" w:eastAsia="仿宋_GB2312"/>
          <w:color w:val="auto"/>
          <w:sz w:val="32"/>
          <w:szCs w:val="32"/>
          <w:highlight w:val="none"/>
          <w:lang w:val="en-US" w:eastAsia="zh-CN"/>
        </w:rPr>
        <w:t>6.06</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同比增长</w:t>
      </w:r>
      <w:r>
        <w:rPr>
          <w:rFonts w:hint="eastAsia" w:ascii="仿宋_GB2312" w:eastAsia="仿宋_GB2312"/>
          <w:color w:val="auto"/>
          <w:sz w:val="32"/>
          <w:szCs w:val="32"/>
          <w:highlight w:val="none"/>
          <w:lang w:val="en-US" w:eastAsia="zh-CN"/>
        </w:rPr>
        <w:t>14.4</w:t>
      </w:r>
      <w:r>
        <w:rPr>
          <w:rFonts w:hint="eastAsia" w:ascii="仿宋_GB2312" w:eastAsia="仿宋_GB2312"/>
          <w:color w:val="auto"/>
          <w:sz w:val="32"/>
          <w:szCs w:val="32"/>
          <w:highlight w:val="none"/>
        </w:rPr>
        <w:t>%。其中，税收收入</w:t>
      </w:r>
      <w:r>
        <w:rPr>
          <w:rFonts w:hint="eastAsia" w:ascii="仿宋_GB2312" w:eastAsia="仿宋_GB2312"/>
          <w:color w:val="auto"/>
          <w:sz w:val="32"/>
          <w:szCs w:val="32"/>
          <w:highlight w:val="none"/>
          <w:lang w:val="en-US" w:eastAsia="zh-CN"/>
        </w:rPr>
        <w:t>2.68</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11.8</w:t>
      </w:r>
      <w:r>
        <w:rPr>
          <w:rFonts w:hint="eastAsia" w:ascii="仿宋_GB2312" w:eastAsia="仿宋_GB2312"/>
          <w:color w:val="auto"/>
          <w:sz w:val="32"/>
          <w:szCs w:val="32"/>
          <w:highlight w:val="none"/>
        </w:rPr>
        <w:t>%；非税收入</w:t>
      </w:r>
      <w:r>
        <w:rPr>
          <w:rFonts w:hint="eastAsia" w:ascii="仿宋_GB2312" w:eastAsia="仿宋_GB2312"/>
          <w:color w:val="auto"/>
          <w:sz w:val="32"/>
          <w:szCs w:val="32"/>
          <w:highlight w:val="none"/>
          <w:lang w:val="en-US" w:eastAsia="zh-CN"/>
        </w:rPr>
        <w:t>3.38</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16.5</w:t>
      </w:r>
      <w:r>
        <w:rPr>
          <w:rFonts w:hint="eastAsia" w:ascii="仿宋_GB2312" w:eastAsia="仿宋_GB2312"/>
          <w:color w:val="auto"/>
          <w:sz w:val="32"/>
          <w:szCs w:val="32"/>
          <w:highlight w:val="none"/>
        </w:rPr>
        <w:t>%。地方一般公共预算支出</w:t>
      </w:r>
      <w:r>
        <w:rPr>
          <w:rFonts w:hint="eastAsia" w:ascii="仿宋_GB2312" w:eastAsia="仿宋_GB2312"/>
          <w:color w:val="auto"/>
          <w:sz w:val="32"/>
          <w:szCs w:val="32"/>
          <w:highlight w:val="none"/>
          <w:lang w:val="en-US" w:eastAsia="zh-CN"/>
        </w:rPr>
        <w:t>45.93</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13.5</w:t>
      </w:r>
      <w:r>
        <w:rPr>
          <w:rFonts w:hint="eastAsia" w:ascii="仿宋_GB2312" w:eastAsia="仿宋_GB2312"/>
          <w:color w:val="auto"/>
          <w:sz w:val="32"/>
          <w:szCs w:val="32"/>
          <w:highlight w:val="none"/>
        </w:rPr>
        <w:t>%。</w:t>
      </w:r>
    </w:p>
    <w:p>
      <w:pPr>
        <w:pStyle w:val="11"/>
        <w:rPr>
          <w:rFonts w:hint="eastAsia"/>
          <w:color w:val="auto"/>
          <w:highlight w:val="none"/>
        </w:rPr>
      </w:pPr>
      <w:r>
        <w:rPr>
          <w:color w:val="auto"/>
          <w:highlight w:val="none"/>
        </w:rPr>
        <w:drawing>
          <wp:anchor distT="0" distB="0" distL="114300" distR="114300" simplePos="0" relativeHeight="251662336" behindDoc="0" locked="0" layoutInCell="1" allowOverlap="1">
            <wp:simplePos x="0" y="0"/>
            <wp:positionH relativeFrom="column">
              <wp:posOffset>305435</wp:posOffset>
            </wp:positionH>
            <wp:positionV relativeFrom="paragraph">
              <wp:posOffset>118745</wp:posOffset>
            </wp:positionV>
            <wp:extent cx="5013960" cy="2661920"/>
            <wp:effectExtent l="4445" t="4445" r="10795" b="1968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年末金融机构各项存款余额</w:t>
      </w:r>
      <w:r>
        <w:rPr>
          <w:rFonts w:hint="eastAsia" w:ascii="仿宋_GB2312" w:eastAsia="仿宋_GB2312"/>
          <w:color w:val="auto"/>
          <w:sz w:val="32"/>
          <w:szCs w:val="32"/>
          <w:highlight w:val="none"/>
          <w:lang w:val="en-US" w:eastAsia="zh-CN"/>
        </w:rPr>
        <w:t>300.88</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同比</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7.7</w:t>
      </w:r>
      <w:r>
        <w:rPr>
          <w:rFonts w:hint="eastAsia" w:ascii="仿宋_GB2312" w:eastAsia="仿宋_GB2312"/>
          <w:color w:val="auto"/>
          <w:sz w:val="32"/>
          <w:szCs w:val="32"/>
          <w:highlight w:val="none"/>
        </w:rPr>
        <w:t>%。其中，住户存款余额</w:t>
      </w:r>
      <w:r>
        <w:rPr>
          <w:rFonts w:hint="eastAsia" w:ascii="仿宋_GB2312" w:eastAsia="仿宋_GB2312"/>
          <w:color w:val="auto"/>
          <w:sz w:val="32"/>
          <w:szCs w:val="32"/>
          <w:highlight w:val="none"/>
          <w:lang w:val="en-US" w:eastAsia="zh-CN"/>
        </w:rPr>
        <w:t>267.33</w:t>
      </w:r>
      <w:r>
        <w:rPr>
          <w:rFonts w:hint="eastAsia" w:ascii="仿宋_GB2312" w:eastAsia="仿宋_GB2312"/>
          <w:color w:val="auto"/>
          <w:sz w:val="32"/>
          <w:szCs w:val="32"/>
          <w:highlight w:val="none"/>
        </w:rPr>
        <w:t>亿元，增长</w:t>
      </w:r>
      <w:r>
        <w:rPr>
          <w:rFonts w:hint="eastAsia" w:ascii="仿宋_GB2312" w:eastAsia="仿宋_GB2312"/>
          <w:color w:val="auto"/>
          <w:sz w:val="32"/>
          <w:szCs w:val="32"/>
          <w:highlight w:val="none"/>
          <w:lang w:val="en-US" w:eastAsia="zh-CN"/>
        </w:rPr>
        <w:t>10.9</w:t>
      </w:r>
      <w:r>
        <w:rPr>
          <w:rFonts w:hint="eastAsia" w:ascii="仿宋_GB2312" w:eastAsia="仿宋_GB2312"/>
          <w:color w:val="auto"/>
          <w:sz w:val="32"/>
          <w:szCs w:val="32"/>
          <w:highlight w:val="none"/>
        </w:rPr>
        <w:t>%。金融机构各项贷款余额</w:t>
      </w:r>
      <w:r>
        <w:rPr>
          <w:rFonts w:hint="eastAsia" w:ascii="仿宋_GB2312" w:eastAsia="仿宋_GB2312"/>
          <w:color w:val="auto"/>
          <w:sz w:val="32"/>
          <w:szCs w:val="32"/>
          <w:highlight w:val="none"/>
          <w:lang w:val="en-US" w:eastAsia="zh-CN"/>
        </w:rPr>
        <w:t>182.27</w:t>
      </w:r>
      <w:r>
        <w:rPr>
          <w:rFonts w:hint="eastAsia" w:ascii="仿宋_GB2312" w:eastAsia="仿宋_GB2312"/>
          <w:color w:val="auto"/>
          <w:sz w:val="32"/>
          <w:szCs w:val="32"/>
          <w:highlight w:val="none"/>
        </w:rPr>
        <w:t>亿元，增长</w:t>
      </w:r>
      <w:r>
        <w:rPr>
          <w:rFonts w:hint="eastAsia" w:ascii="仿宋_GB2312" w:eastAsia="仿宋_GB2312"/>
          <w:color w:val="auto"/>
          <w:sz w:val="32"/>
          <w:szCs w:val="32"/>
          <w:highlight w:val="none"/>
          <w:lang w:val="en-US" w:eastAsia="zh-CN"/>
        </w:rPr>
        <w:t>18.1</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全年保费收入6.83亿元，同比增长0.2%。其中，财险保费收入2.36亿元，增长8.5%；寿险保费收入4.46亿元，下降3.7%。</w:t>
      </w: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八、教育与科学技术</w:t>
      </w: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全县共有各级各类学校110所，在校学生数5.86万人，专任教师4813人。其中，普通高中4所，在校生0.85万人，专任教师1083人；普通初中16所，在校生1.5万人，专任教师1040人；中等职业教育学校1所，在校生0.43万人，专任教师252人；小学58所，在校学生2.44万人，专任教师2355人；幼儿园29所，在园幼儿1.05万人，专任教师309人；特殊教育学校1所，在校生115人，专任教师26人；成教中心1所。普通高考本科上线1149人，其中：一本上线322人，上线率连续八年实现正增长。巩固全国义务教育发展基本均衡县成果，义务教育入学率、巩固率均达100%</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新入库</w:t>
      </w:r>
      <w:r>
        <w:rPr>
          <w:rFonts w:hint="eastAsia" w:ascii="仿宋_GB2312" w:eastAsia="仿宋_GB2312"/>
          <w:color w:val="auto"/>
          <w:sz w:val="32"/>
          <w:szCs w:val="32"/>
          <w:highlight w:val="none"/>
          <w:lang w:eastAsia="zh-CN"/>
        </w:rPr>
        <w:t>国家</w:t>
      </w:r>
      <w:r>
        <w:rPr>
          <w:rFonts w:hint="eastAsia" w:ascii="仿宋_GB2312" w:eastAsia="仿宋_GB2312"/>
          <w:color w:val="auto"/>
          <w:sz w:val="32"/>
          <w:szCs w:val="32"/>
          <w:highlight w:val="none"/>
        </w:rPr>
        <w:t>科技型企业</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个</w:t>
      </w:r>
      <w:r>
        <w:rPr>
          <w:rFonts w:hint="eastAsia" w:ascii="仿宋_GB2312" w:eastAsia="仿宋_GB2312"/>
          <w:color w:val="auto"/>
          <w:sz w:val="32"/>
          <w:szCs w:val="32"/>
          <w:highlight w:val="none"/>
          <w:lang w:eastAsia="zh-CN"/>
        </w:rPr>
        <w:t>，规模以上工业</w:t>
      </w:r>
      <w:r>
        <w:rPr>
          <w:rFonts w:hint="eastAsia" w:ascii="仿宋_GB2312" w:eastAsia="仿宋_GB2312"/>
          <w:color w:val="auto"/>
          <w:sz w:val="32"/>
          <w:szCs w:val="32"/>
          <w:highlight w:val="none"/>
        </w:rPr>
        <w:t>高新技术主营业务收入</w:t>
      </w:r>
      <w:r>
        <w:rPr>
          <w:rFonts w:hint="eastAsia" w:ascii="仿宋_GB2312" w:eastAsia="仿宋_GB2312"/>
          <w:color w:val="auto"/>
          <w:sz w:val="32"/>
          <w:szCs w:val="32"/>
          <w:highlight w:val="none"/>
          <w:lang w:val="en-US" w:eastAsia="zh-CN"/>
        </w:rPr>
        <w:t>1.66</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促进企业与高校、科研院所签订产学研合作协议</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九、文化、卫生与体育</w:t>
      </w: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eastAsia="zh-CN"/>
        </w:rPr>
        <w:t>开展“我们的中国梦·文化进万家”“三下乡”、书画名家进剑阁、中国美术摄影书法名家邀请展、“徒步古蜀道，对话翠云廊”“非遗”文化进校园等文化活动300余场次。川剧小戏《春夏秋冬又一春》、歌曲《蜀道长歌》《月儿落西斜》《我的情郎我的爱》、杂技《弹碗》、书法《快雨堂题跋（苏东坡种橘帖真迹）》、摄影《古蜀道》《剑阁县翠云长蜀图》等文艺作品斩获省市各类奖项20余个。申报五指山草编、剑阁金银错等4个市级“非遗”代表性项目，杨村傩戏、锯山垭大肉会、剑门手杖等3个省级“非遗”代表性项目。剑阁县雄关杂技艺术团团长入选文旅部2023年度乡村文化和旅游带头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实施364个村（社区）无线公共wifi及29个乡镇广播电视公共服务网点维护，全面系统维护5885只大喇叭，广播覆盖率99.1%；有线电视用户5.6万户，直播卫星用户3.5万户，地面数字电视用户1.6万户，电视覆盖率99%。广播电视综合覆盖率99%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全县共有医疗卫生机构449个，其中：医院8个、基层医疗卫生机构438个，专业公共卫生机构3个，实有病床2832张，卫生人员3542人。医院、卫生院39个，实有病床2832张；村卫生室348个，乡村医生530人。医疗卫生体制改革进一步深化，分级诊疗制度稳步推行，县域内就诊率达到82.09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高质量承办四川省第二届智力运动会、“全域天府”2023大蜀道定向越野赛（剑阁站）和“中国体育彩票杯”2023大蜀道山地越野赛，四川省第二届智力运动会被授予“最佳赛区”。举行“百城千乡万村.社区”篮球赛，走进3个片区、11个乡镇、14个社区，完成204场次比赛。体育场馆免费对外开放22.3万人次，开展公益培训12次、惠及群众1600人次，开展公益赛事活动53次，室内室外免费体质监测3187人。</w:t>
      </w:r>
    </w:p>
    <w:p>
      <w:pPr>
        <w:pStyle w:val="11"/>
        <w:rPr>
          <w:color w:val="auto"/>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十、人口、就业与保障、居民生活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全县常住人口</w:t>
      </w:r>
      <w:r>
        <w:rPr>
          <w:rFonts w:hint="eastAsia" w:ascii="仿宋_GB2312" w:eastAsia="仿宋_GB2312"/>
          <w:color w:val="auto"/>
          <w:sz w:val="32"/>
          <w:szCs w:val="32"/>
          <w:highlight w:val="none"/>
          <w:lang w:val="en-US" w:eastAsia="zh-CN"/>
        </w:rPr>
        <w:t>39.55万人，城镇化率39.70%</w:t>
      </w:r>
      <w:r>
        <w:rPr>
          <w:rFonts w:hint="eastAsia" w:ascii="仿宋_GB2312" w:eastAsia="仿宋_GB2312"/>
          <w:color w:val="auto"/>
          <w:sz w:val="32"/>
          <w:szCs w:val="32"/>
          <w:highlight w:val="none"/>
        </w:rPr>
        <w:t>；全县年末户籍总人口</w:t>
      </w:r>
      <w:r>
        <w:rPr>
          <w:rFonts w:hint="eastAsia" w:ascii="仿宋_GB2312" w:eastAsia="仿宋_GB2312"/>
          <w:color w:val="auto"/>
          <w:sz w:val="32"/>
          <w:szCs w:val="32"/>
          <w:highlight w:val="none"/>
          <w:lang w:val="en-US" w:eastAsia="zh-CN"/>
        </w:rPr>
        <w:t>62.63</w:t>
      </w:r>
      <w:r>
        <w:rPr>
          <w:rFonts w:hint="eastAsia" w:ascii="仿宋_GB2312" w:eastAsia="仿宋_GB2312"/>
          <w:color w:val="auto"/>
          <w:sz w:val="32"/>
          <w:szCs w:val="32"/>
          <w:highlight w:val="none"/>
        </w:rPr>
        <w:t>万人。其中乡村人口</w:t>
      </w:r>
      <w:r>
        <w:rPr>
          <w:rFonts w:hint="eastAsia" w:ascii="仿宋_GB2312" w:eastAsia="仿宋_GB2312"/>
          <w:color w:val="auto"/>
          <w:sz w:val="32"/>
          <w:szCs w:val="32"/>
          <w:highlight w:val="none"/>
          <w:lang w:val="en-US" w:eastAsia="zh-CN"/>
        </w:rPr>
        <w:t>54.67</w:t>
      </w:r>
      <w:r>
        <w:rPr>
          <w:rFonts w:hint="eastAsia" w:ascii="仿宋_GB2312" w:eastAsia="仿宋_GB2312"/>
          <w:color w:val="auto"/>
          <w:sz w:val="32"/>
          <w:szCs w:val="32"/>
          <w:highlight w:val="none"/>
        </w:rPr>
        <w:t>万人，城镇人口</w:t>
      </w:r>
      <w:r>
        <w:rPr>
          <w:rFonts w:hint="eastAsia" w:ascii="仿宋_GB2312" w:eastAsia="仿宋_GB2312"/>
          <w:color w:val="auto"/>
          <w:sz w:val="32"/>
          <w:szCs w:val="32"/>
          <w:highlight w:val="none"/>
          <w:lang w:val="en-US" w:eastAsia="zh-CN"/>
        </w:rPr>
        <w:t>7.97</w:t>
      </w:r>
      <w:r>
        <w:rPr>
          <w:rFonts w:hint="eastAsia" w:ascii="仿宋_GB2312" w:eastAsia="仿宋_GB2312"/>
          <w:color w:val="auto"/>
          <w:sz w:val="32"/>
          <w:szCs w:val="32"/>
          <w:highlight w:val="none"/>
        </w:rPr>
        <w:t>万人；男性人口</w:t>
      </w:r>
      <w:r>
        <w:rPr>
          <w:rFonts w:hint="eastAsia" w:ascii="仿宋_GB2312" w:eastAsia="仿宋_GB2312"/>
          <w:color w:val="auto"/>
          <w:sz w:val="32"/>
          <w:szCs w:val="32"/>
          <w:highlight w:val="none"/>
          <w:lang w:val="en-US" w:eastAsia="zh-CN"/>
        </w:rPr>
        <w:t>32.81</w:t>
      </w:r>
      <w:r>
        <w:rPr>
          <w:rFonts w:hint="eastAsia" w:ascii="仿宋_GB2312" w:eastAsia="仿宋_GB2312"/>
          <w:color w:val="auto"/>
          <w:sz w:val="32"/>
          <w:szCs w:val="32"/>
          <w:highlight w:val="none"/>
        </w:rPr>
        <w:t>万人，女性人口</w:t>
      </w:r>
      <w:r>
        <w:rPr>
          <w:rFonts w:hint="eastAsia" w:ascii="仿宋_GB2312" w:eastAsia="仿宋_GB2312"/>
          <w:color w:val="auto"/>
          <w:sz w:val="32"/>
          <w:szCs w:val="32"/>
          <w:highlight w:val="none"/>
          <w:lang w:val="en-US" w:eastAsia="zh-CN"/>
        </w:rPr>
        <w:t>29.82</w:t>
      </w:r>
      <w:r>
        <w:rPr>
          <w:rFonts w:hint="eastAsia" w:ascii="仿宋_GB2312" w:eastAsia="仿宋_GB2312"/>
          <w:color w:val="auto"/>
          <w:sz w:val="32"/>
          <w:szCs w:val="32"/>
          <w:highlight w:val="none"/>
        </w:rPr>
        <w:t>万人，男女性别比为</w:t>
      </w:r>
      <w:r>
        <w:rPr>
          <w:rFonts w:hint="eastAsia" w:ascii="仿宋_GB2312" w:eastAsia="仿宋_GB2312"/>
          <w:color w:val="auto"/>
          <w:sz w:val="32"/>
          <w:szCs w:val="32"/>
          <w:highlight w:val="none"/>
          <w:lang w:val="en-US" w:eastAsia="zh-CN"/>
        </w:rPr>
        <w:t>110.0</w:t>
      </w:r>
      <w:r>
        <w:rPr>
          <w:rFonts w:hint="eastAsia" w:ascii="仿宋_GB2312" w:eastAsia="仿宋_GB2312"/>
          <w:color w:val="auto"/>
          <w:sz w:val="32"/>
          <w:szCs w:val="32"/>
          <w:highlight w:val="none"/>
        </w:rPr>
        <w:t>（以女性人口为100）。全县符合政策生育率</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％，人口出生率</w:t>
      </w:r>
      <w:r>
        <w:rPr>
          <w:rFonts w:hint="eastAsia" w:ascii="仿宋_GB2312" w:eastAsia="仿宋_GB2312"/>
          <w:color w:val="auto"/>
          <w:sz w:val="32"/>
          <w:szCs w:val="32"/>
          <w:highlight w:val="none"/>
          <w:lang w:val="en-US" w:eastAsia="zh-CN"/>
        </w:rPr>
        <w:t>5.22</w:t>
      </w:r>
      <w:r>
        <w:rPr>
          <w:rFonts w:hint="eastAsia" w:ascii="仿宋_GB2312" w:eastAsia="仿宋_GB2312"/>
          <w:color w:val="auto"/>
          <w:sz w:val="32"/>
          <w:szCs w:val="32"/>
          <w:highlight w:val="none"/>
        </w:rPr>
        <w:t>‰，人口死亡率</w:t>
      </w:r>
      <w:r>
        <w:rPr>
          <w:rFonts w:hint="eastAsia" w:ascii="仿宋_GB2312" w:eastAsia="仿宋_GB2312"/>
          <w:color w:val="auto"/>
          <w:sz w:val="32"/>
          <w:szCs w:val="32"/>
          <w:highlight w:val="none"/>
          <w:lang w:val="en-US" w:eastAsia="zh-CN"/>
        </w:rPr>
        <w:t>10.24</w:t>
      </w:r>
      <w:r>
        <w:rPr>
          <w:rFonts w:hint="eastAsia" w:ascii="仿宋_GB2312" w:eastAsia="仿宋_GB2312"/>
          <w:color w:val="auto"/>
          <w:sz w:val="32"/>
          <w:szCs w:val="32"/>
          <w:highlight w:val="none"/>
        </w:rPr>
        <w:t>‰，人口自然增长率-</w:t>
      </w:r>
      <w:r>
        <w:rPr>
          <w:rFonts w:hint="eastAsia" w:ascii="仿宋_GB2312" w:eastAsia="仿宋_GB2312"/>
          <w:color w:val="auto"/>
          <w:sz w:val="32"/>
          <w:szCs w:val="32"/>
          <w:highlight w:val="none"/>
          <w:lang w:val="en-US" w:eastAsia="zh-CN"/>
        </w:rPr>
        <w:t>5.01</w:t>
      </w:r>
      <w:r>
        <w:rPr>
          <w:rFonts w:hint="eastAsia" w:ascii="仿宋_GB2312" w:eastAsia="仿宋_GB2312"/>
          <w:color w:val="auto"/>
          <w:sz w:val="32"/>
          <w:szCs w:val="32"/>
          <w:highlight w:val="none"/>
        </w:rPr>
        <w:t>‰。出生婴儿性别比10</w:t>
      </w:r>
      <w:r>
        <w:rPr>
          <w:rFonts w:hint="eastAsia" w:ascii="仿宋_GB2312" w:eastAsia="仿宋_GB2312"/>
          <w:color w:val="auto"/>
          <w:sz w:val="32"/>
          <w:szCs w:val="32"/>
          <w:highlight w:val="none"/>
          <w:lang w:val="en-US" w:eastAsia="zh-CN"/>
        </w:rPr>
        <w:t>5.12</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城镇新增就业6307人，城镇失业人员再就业1788人，就业困难人员再就业289人，城镇登记失业率控制在3.31%。举办技能培训班90期，培训3429人，其中培训脱贫人口1546人，就业创业培训150人。全年参加见习111人，发放见习补贴110.58万元，扶持大学生创业4人，发放创业补贴4万元，全年共发放小额担保贷款9112万元。全年登记入库农村劳动力31.15万人，组织召开招聘会23场。拓展输出渠道，转移输出劳动力总数27万人，创劳务收入103亿元左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rPr>
        <w:t>末城镇职工养老保险参保人数在职3.47万人，退休2.59万人；城乡居民养老保险覆盖人数31.88万人；城镇职工医疗保险参保</w:t>
      </w:r>
      <w:r>
        <w:rPr>
          <w:rFonts w:hint="eastAsia" w:ascii="仿宋_GB2312" w:eastAsia="仿宋_GB2312"/>
          <w:color w:val="auto"/>
          <w:sz w:val="32"/>
          <w:szCs w:val="32"/>
          <w:highlight w:val="none"/>
          <w:lang w:val="en-US" w:eastAsia="zh-CN"/>
        </w:rPr>
        <w:t>3.3</w:t>
      </w:r>
      <w:r>
        <w:rPr>
          <w:rFonts w:hint="eastAsia" w:ascii="仿宋_GB2312" w:eastAsia="仿宋_GB2312"/>
          <w:color w:val="auto"/>
          <w:sz w:val="32"/>
          <w:szCs w:val="32"/>
          <w:highlight w:val="none"/>
        </w:rPr>
        <w:t>万人；生育</w:t>
      </w:r>
      <w:r>
        <w:rPr>
          <w:rFonts w:hint="eastAsia" w:ascii="仿宋_GB2312" w:eastAsia="仿宋_GB2312"/>
          <w:color w:val="auto"/>
          <w:sz w:val="32"/>
          <w:szCs w:val="32"/>
          <w:highlight w:val="none"/>
          <w:lang w:eastAsia="zh-CN"/>
        </w:rPr>
        <w:t>保险</w:t>
      </w:r>
      <w:r>
        <w:rPr>
          <w:rFonts w:hint="eastAsia" w:ascii="仿宋_GB2312" w:eastAsia="仿宋_GB2312"/>
          <w:color w:val="auto"/>
          <w:sz w:val="32"/>
          <w:szCs w:val="32"/>
          <w:highlight w:val="none"/>
        </w:rPr>
        <w:t>参保</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万人；失业</w:t>
      </w:r>
      <w:r>
        <w:rPr>
          <w:rFonts w:hint="eastAsia" w:ascii="仿宋_GB2312" w:eastAsia="仿宋_GB2312"/>
          <w:color w:val="auto"/>
          <w:sz w:val="32"/>
          <w:szCs w:val="32"/>
          <w:highlight w:val="none"/>
          <w:lang w:eastAsia="zh-CN"/>
        </w:rPr>
        <w:t>保险</w:t>
      </w:r>
      <w:r>
        <w:rPr>
          <w:rFonts w:hint="eastAsia" w:ascii="仿宋_GB2312" w:eastAsia="仿宋_GB2312"/>
          <w:color w:val="auto"/>
          <w:sz w:val="32"/>
          <w:szCs w:val="32"/>
          <w:highlight w:val="none"/>
        </w:rPr>
        <w:t>参保</w:t>
      </w:r>
      <w:r>
        <w:rPr>
          <w:rFonts w:hint="eastAsia" w:ascii="仿宋_GB2312" w:eastAsia="仿宋_GB2312"/>
          <w:color w:val="auto"/>
          <w:sz w:val="32"/>
          <w:szCs w:val="32"/>
          <w:highlight w:val="none"/>
          <w:lang w:val="en-US" w:eastAsia="zh-CN"/>
        </w:rPr>
        <w:t>1.68</w:t>
      </w:r>
      <w:r>
        <w:rPr>
          <w:rFonts w:hint="eastAsia" w:ascii="仿宋_GB2312" w:eastAsia="仿宋_GB2312"/>
          <w:color w:val="auto"/>
          <w:sz w:val="32"/>
          <w:szCs w:val="32"/>
          <w:highlight w:val="none"/>
        </w:rPr>
        <w:t>万人；农村基本医疗保障制度进一步健全，城乡居民基本医疗保险实际参保</w:t>
      </w:r>
      <w:r>
        <w:rPr>
          <w:rFonts w:hint="eastAsia" w:ascii="仿宋_GB2312" w:eastAsia="仿宋_GB2312"/>
          <w:color w:val="auto"/>
          <w:sz w:val="32"/>
          <w:szCs w:val="32"/>
          <w:highlight w:val="none"/>
          <w:lang w:val="en-US" w:eastAsia="zh-CN"/>
        </w:rPr>
        <w:t>46.4</w:t>
      </w:r>
      <w:r>
        <w:rPr>
          <w:rFonts w:hint="eastAsia" w:ascii="仿宋_GB2312" w:eastAsia="仿宋_GB2312"/>
          <w:color w:val="auto"/>
          <w:sz w:val="32"/>
          <w:szCs w:val="32"/>
          <w:highlight w:val="none"/>
        </w:rPr>
        <w:t>万人。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全年享受城镇最低生活保障</w:t>
      </w:r>
      <w:r>
        <w:rPr>
          <w:rFonts w:hint="eastAsia" w:ascii="仿宋_GB2312" w:eastAsia="仿宋_GB2312"/>
          <w:color w:val="auto"/>
          <w:sz w:val="32"/>
          <w:szCs w:val="32"/>
          <w:highlight w:val="none"/>
          <w:lang w:val="en-US" w:eastAsia="zh-CN"/>
        </w:rPr>
        <w:t>4.6</w:t>
      </w:r>
      <w:r>
        <w:rPr>
          <w:rFonts w:hint="eastAsia" w:ascii="仿宋_GB2312" w:eastAsia="仿宋_GB2312"/>
          <w:color w:val="auto"/>
          <w:sz w:val="32"/>
          <w:szCs w:val="32"/>
          <w:highlight w:val="none"/>
        </w:rPr>
        <w:t>万人次，发放保障金2</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万元；享受农村最低生活保障50.</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万人次，发放保障金12532.5万元。养老服务事业取得新进展，新建日间照料中心1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发放城乡特困人员供养金1799.2万元。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全年全体居民人均可支配收入同比增长6.3%。按常住地分，城镇居民人均可支配收入增长4.4%，人均消费性支出增长3.8%；农村居民人均可支配收入增长7.3%，人均生活消费支出增长6.6%。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十一、环境保护与安全生产</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全县</w:t>
      </w:r>
      <w:r>
        <w:rPr>
          <w:rFonts w:hint="eastAsia" w:ascii="仿宋_GB2312" w:eastAsia="仿宋_GB2312"/>
          <w:color w:val="auto"/>
          <w:sz w:val="32"/>
          <w:szCs w:val="32"/>
          <w:highlight w:val="none"/>
        </w:rPr>
        <w:t>全年空气优良天数</w:t>
      </w:r>
      <w:r>
        <w:rPr>
          <w:rFonts w:hint="eastAsia" w:ascii="仿宋_GB2312" w:eastAsia="仿宋_GB2312"/>
          <w:color w:val="auto"/>
          <w:sz w:val="32"/>
          <w:szCs w:val="32"/>
          <w:highlight w:val="none"/>
          <w:lang w:val="en-US" w:eastAsia="zh-CN"/>
        </w:rPr>
        <w:t>343</w:t>
      </w:r>
      <w:r>
        <w:rPr>
          <w:rFonts w:hint="eastAsia" w:ascii="仿宋_GB2312" w:eastAsia="仿宋_GB2312"/>
          <w:color w:val="auto"/>
          <w:sz w:val="32"/>
          <w:szCs w:val="32"/>
          <w:highlight w:val="none"/>
        </w:rPr>
        <w:t>天，优良率</w:t>
      </w:r>
      <w:r>
        <w:rPr>
          <w:rFonts w:hint="eastAsia" w:ascii="仿宋_GB2312" w:eastAsia="仿宋_GB2312"/>
          <w:color w:val="auto"/>
          <w:sz w:val="32"/>
          <w:szCs w:val="32"/>
          <w:highlight w:val="none"/>
          <w:lang w:val="en-US" w:eastAsia="zh-CN"/>
        </w:rPr>
        <w:t>94.0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，细颗粒物（PM2.5）平均浓度</w:t>
      </w:r>
      <w:r>
        <w:rPr>
          <w:rFonts w:hint="eastAsia" w:ascii="仿宋_GB2312" w:eastAsia="仿宋_GB2312"/>
          <w:color w:val="auto"/>
          <w:sz w:val="32"/>
          <w:szCs w:val="32"/>
          <w:highlight w:val="none"/>
          <w:lang w:val="en-US" w:eastAsia="zh-CN"/>
        </w:rPr>
        <w:t>27.1</w:t>
      </w:r>
      <w:r>
        <w:rPr>
          <w:rFonts w:hint="eastAsia" w:ascii="仿宋_GB2312" w:eastAsia="仿宋_GB2312"/>
          <w:color w:val="auto"/>
          <w:sz w:val="32"/>
          <w:szCs w:val="32"/>
          <w:highlight w:val="none"/>
          <w:lang w:eastAsia="zh-CN"/>
        </w:rPr>
        <w:t>微克/立方米</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重要河流水环境质量总体较好，辖区1个国控断面平均水质达地表水Ⅱ类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3个纳入考核的省控断面均达Ⅲ类及以上水质标准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污水处理厂集中处理率达90.</w:t>
      </w:r>
      <w:r>
        <w:rPr>
          <w:rFonts w:hint="eastAsia" w:ascii="仿宋_GB2312" w:eastAsia="仿宋_GB2312"/>
          <w:color w:val="auto"/>
          <w:sz w:val="32"/>
          <w:szCs w:val="32"/>
          <w:highlight w:val="none"/>
          <w:lang w:val="en-US" w:eastAsia="zh-CN"/>
        </w:rPr>
        <w:t>72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县城区集中式饮用水源水质达标率100%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县城区生活垃圾无害化处理率达到</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建成区绿地率达到</w:t>
      </w:r>
      <w:r>
        <w:rPr>
          <w:rFonts w:hint="eastAsia" w:ascii="仿宋_GB2312" w:eastAsia="仿宋_GB2312"/>
          <w:color w:val="auto"/>
          <w:sz w:val="32"/>
          <w:szCs w:val="32"/>
          <w:highlight w:val="none"/>
          <w:lang w:val="en-US" w:eastAsia="zh-CN"/>
        </w:rPr>
        <w:t>37.5</w:t>
      </w:r>
      <w:r>
        <w:rPr>
          <w:rFonts w:hint="eastAsia" w:ascii="仿宋_GB2312" w:eastAsia="仿宋_GB2312"/>
          <w:color w:val="auto"/>
          <w:sz w:val="32"/>
          <w:szCs w:val="32"/>
          <w:highlight w:val="none"/>
        </w:rPr>
        <w:t>%，绿化覆盖率达38.</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全年发生各类安全生产事故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起，死亡</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人。全年未发生较大及以上安全生产事故。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bCs/>
          <w:color w:val="auto"/>
          <w:sz w:val="32"/>
          <w:szCs w:val="32"/>
          <w:highlight w:val="none"/>
        </w:rPr>
      </w:pPr>
    </w:p>
    <w:p>
      <w:pPr>
        <w:widowControl/>
        <w:snapToGrid w:val="0"/>
        <w:spacing w:line="360" w:lineRule="exact"/>
        <w:ind w:firstLine="480" w:firstLineChars="200"/>
        <w:jc w:val="left"/>
        <w:rPr>
          <w:rFonts w:hint="eastAsia" w:ascii="楷体" w:hAnsi="楷体" w:eastAsia="楷体" w:cs="楷体"/>
          <w:color w:val="auto"/>
          <w:spacing w:val="0"/>
          <w:sz w:val="24"/>
          <w:szCs w:val="24"/>
          <w:highlight w:val="none"/>
        </w:rPr>
      </w:pPr>
      <w:r>
        <w:rPr>
          <w:rFonts w:hint="eastAsia" w:ascii="楷体" w:hAnsi="楷体" w:eastAsia="楷体" w:cs="楷体"/>
          <w:color w:val="auto"/>
          <w:spacing w:val="0"/>
          <w:sz w:val="24"/>
          <w:szCs w:val="24"/>
          <w:highlight w:val="none"/>
        </w:rPr>
        <w:t>注：1、公报中</w:t>
      </w:r>
      <w:r>
        <w:rPr>
          <w:rFonts w:hint="eastAsia" w:ascii="楷体" w:hAnsi="楷体" w:eastAsia="楷体" w:cs="楷体"/>
          <w:color w:val="auto"/>
          <w:spacing w:val="0"/>
          <w:sz w:val="24"/>
          <w:szCs w:val="24"/>
          <w:highlight w:val="none"/>
          <w:lang w:val="en-US" w:eastAsia="zh-CN"/>
        </w:rPr>
        <w:t>2023年</w:t>
      </w:r>
      <w:r>
        <w:rPr>
          <w:rFonts w:hint="eastAsia" w:ascii="楷体" w:hAnsi="楷体" w:eastAsia="楷体" w:cs="楷体"/>
          <w:color w:val="auto"/>
          <w:spacing w:val="0"/>
          <w:sz w:val="24"/>
          <w:szCs w:val="24"/>
          <w:highlight w:val="none"/>
        </w:rPr>
        <w:t>各项数据为初步统计数。</w:t>
      </w:r>
    </w:p>
    <w:p>
      <w:pPr>
        <w:widowControl/>
        <w:snapToGrid w:val="0"/>
        <w:spacing w:line="360" w:lineRule="exact"/>
        <w:ind w:firstLine="960" w:firstLineChars="400"/>
        <w:jc w:val="left"/>
        <w:rPr>
          <w:rFonts w:hint="eastAsia" w:ascii="楷体" w:hAnsi="楷体" w:eastAsia="楷体" w:cs="楷体"/>
          <w:color w:val="auto"/>
          <w:spacing w:val="0"/>
          <w:sz w:val="24"/>
          <w:szCs w:val="24"/>
          <w:highlight w:val="none"/>
        </w:rPr>
      </w:pPr>
      <w:r>
        <w:rPr>
          <w:rFonts w:hint="eastAsia" w:ascii="楷体" w:hAnsi="楷体" w:eastAsia="楷体" w:cs="楷体"/>
          <w:color w:val="auto"/>
          <w:spacing w:val="0"/>
          <w:sz w:val="24"/>
          <w:szCs w:val="24"/>
          <w:highlight w:val="none"/>
        </w:rPr>
        <w:t>2、公报中地区生产总值、各产业增加值和农业总产值绝对数按当年价格计算，增长速度按可比价格计算。</w:t>
      </w:r>
    </w:p>
    <w:p>
      <w:pPr>
        <w:widowControl/>
        <w:snapToGrid w:val="0"/>
        <w:spacing w:line="360" w:lineRule="exact"/>
        <w:ind w:firstLine="960" w:firstLineChars="400"/>
        <w:jc w:val="left"/>
        <w:rPr>
          <w:rFonts w:hint="eastAsia" w:ascii="楷体" w:hAnsi="楷体" w:eastAsia="楷体" w:cs="楷体"/>
          <w:color w:val="auto"/>
          <w:spacing w:val="0"/>
          <w:sz w:val="24"/>
          <w:szCs w:val="24"/>
          <w:highlight w:val="none"/>
        </w:rPr>
      </w:pPr>
      <w:r>
        <w:rPr>
          <w:rFonts w:hint="eastAsia" w:ascii="楷体" w:hAnsi="楷体" w:eastAsia="楷体" w:cs="楷体"/>
          <w:color w:val="auto"/>
          <w:spacing w:val="0"/>
          <w:sz w:val="24"/>
          <w:szCs w:val="24"/>
          <w:highlight w:val="none"/>
        </w:rPr>
        <w:t>3、公报中林业、渔业、农业机械化、交通运输、邮政、电信、旅游、对外贸易、财政、金融、保险、教育、科技、文化、广电、卫生、体育、人口、计生、社会保障、环境保护、安全生产等数据来源于相关部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82CFD2-CCD0-49A5-A0A9-B6262612DE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FA4FDA-66E0-42A9-8A08-8A3C7B5E9EF9}"/>
  </w:font>
  <w:font w:name="方正小标宋简体">
    <w:panose1 w:val="02000000000000000000"/>
    <w:charset w:val="86"/>
    <w:family w:val="auto"/>
    <w:pitch w:val="default"/>
    <w:sig w:usb0="00000001" w:usb1="08000000" w:usb2="00000000" w:usb3="00000000" w:csb0="00040000" w:csb1="00000000"/>
    <w:embedRegular r:id="rId3" w:fontKey="{2EBA015C-E774-47C6-8177-391B6D672A6E}"/>
  </w:font>
  <w:font w:name="仿宋_GB2312">
    <w:altName w:val="仿宋"/>
    <w:panose1 w:val="02010609030101010101"/>
    <w:charset w:val="86"/>
    <w:family w:val="modern"/>
    <w:pitch w:val="default"/>
    <w:sig w:usb0="00000000" w:usb1="00000000" w:usb2="00000000" w:usb3="00000000" w:csb0="00040000" w:csb1="00000000"/>
    <w:embedRegular r:id="rId4" w:fontKey="{F825D4C3-2DC0-44FE-AD11-7C396C5DBC15}"/>
  </w:font>
  <w:font w:name="华文中宋">
    <w:panose1 w:val="02010600040101010101"/>
    <w:charset w:val="86"/>
    <w:family w:val="auto"/>
    <w:pitch w:val="default"/>
    <w:sig w:usb0="00000287" w:usb1="080F0000" w:usb2="00000000" w:usb3="00000000" w:csb0="0004009F" w:csb1="DFD70000"/>
    <w:embedRegular r:id="rId5" w:fontKey="{E1C419C5-FB42-41AC-8255-86B6D0ED6D40}"/>
  </w:font>
  <w:font w:name="仿宋">
    <w:panose1 w:val="02010609060101010101"/>
    <w:charset w:val="86"/>
    <w:family w:val="modern"/>
    <w:pitch w:val="default"/>
    <w:sig w:usb0="800002BF" w:usb1="38CF7CFA" w:usb2="00000016" w:usb3="00000000" w:csb0="00040001" w:csb1="00000000"/>
    <w:embedRegular r:id="rId6" w:fontKey="{E50B4D86-7990-457B-A289-72E6EF12110E}"/>
  </w:font>
  <w:font w:name="楷体">
    <w:panose1 w:val="02010609060101010101"/>
    <w:charset w:val="86"/>
    <w:family w:val="modern"/>
    <w:pitch w:val="default"/>
    <w:sig w:usb0="800002BF" w:usb1="38CF7CFA" w:usb2="00000016" w:usb3="00000000" w:csb0="00040001" w:csb1="00000000"/>
    <w:embedRegular r:id="rId7" w:fontKey="{BE363E40-B797-4A1B-B8EF-874E2FA918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mM0N2U1ZGUxYWI1YTE2YTc2OGYxNzI4NTZjNzIifQ=="/>
  </w:docVars>
  <w:rsids>
    <w:rsidRoot w:val="00211F21"/>
    <w:rsid w:val="00120504"/>
    <w:rsid w:val="0015138F"/>
    <w:rsid w:val="001768A6"/>
    <w:rsid w:val="001A751F"/>
    <w:rsid w:val="00211F21"/>
    <w:rsid w:val="002D073A"/>
    <w:rsid w:val="004A404A"/>
    <w:rsid w:val="004C03F5"/>
    <w:rsid w:val="005A1315"/>
    <w:rsid w:val="005C5EEA"/>
    <w:rsid w:val="006C631B"/>
    <w:rsid w:val="007D6B02"/>
    <w:rsid w:val="0080337A"/>
    <w:rsid w:val="00831B73"/>
    <w:rsid w:val="00906E28"/>
    <w:rsid w:val="00962926"/>
    <w:rsid w:val="0098388D"/>
    <w:rsid w:val="009E6DC9"/>
    <w:rsid w:val="00A51747"/>
    <w:rsid w:val="00AE12E6"/>
    <w:rsid w:val="00B7101D"/>
    <w:rsid w:val="00D338AE"/>
    <w:rsid w:val="00DC1985"/>
    <w:rsid w:val="00E24A7E"/>
    <w:rsid w:val="00EA59B2"/>
    <w:rsid w:val="00EA6F7D"/>
    <w:rsid w:val="00F23CFC"/>
    <w:rsid w:val="00FA35C5"/>
    <w:rsid w:val="00FA5445"/>
    <w:rsid w:val="0111696B"/>
    <w:rsid w:val="011F0012"/>
    <w:rsid w:val="01565C22"/>
    <w:rsid w:val="015C320C"/>
    <w:rsid w:val="019B1B97"/>
    <w:rsid w:val="01C547D4"/>
    <w:rsid w:val="02034012"/>
    <w:rsid w:val="020E6F83"/>
    <w:rsid w:val="02245AC8"/>
    <w:rsid w:val="026B36A0"/>
    <w:rsid w:val="026C4672"/>
    <w:rsid w:val="0270061D"/>
    <w:rsid w:val="028D2914"/>
    <w:rsid w:val="028D5C69"/>
    <w:rsid w:val="02FB4130"/>
    <w:rsid w:val="035E2CD6"/>
    <w:rsid w:val="03AD74A7"/>
    <w:rsid w:val="03AE0F06"/>
    <w:rsid w:val="03B37200"/>
    <w:rsid w:val="03BA6784"/>
    <w:rsid w:val="04353A72"/>
    <w:rsid w:val="043B2665"/>
    <w:rsid w:val="045940F2"/>
    <w:rsid w:val="046511F2"/>
    <w:rsid w:val="04777C93"/>
    <w:rsid w:val="04A04B68"/>
    <w:rsid w:val="04F6335D"/>
    <w:rsid w:val="04FD284E"/>
    <w:rsid w:val="05296F63"/>
    <w:rsid w:val="0583679F"/>
    <w:rsid w:val="05B42EAF"/>
    <w:rsid w:val="05E46477"/>
    <w:rsid w:val="05FB1829"/>
    <w:rsid w:val="061E57C0"/>
    <w:rsid w:val="064A65E2"/>
    <w:rsid w:val="0683534B"/>
    <w:rsid w:val="06874187"/>
    <w:rsid w:val="06AB748C"/>
    <w:rsid w:val="06BA63AA"/>
    <w:rsid w:val="06ED6FF9"/>
    <w:rsid w:val="072E3303"/>
    <w:rsid w:val="077A0BC2"/>
    <w:rsid w:val="07BF5A1C"/>
    <w:rsid w:val="07D018AA"/>
    <w:rsid w:val="07DD6287"/>
    <w:rsid w:val="07F571E1"/>
    <w:rsid w:val="083C7A6A"/>
    <w:rsid w:val="088D53C4"/>
    <w:rsid w:val="08FF449E"/>
    <w:rsid w:val="091655FB"/>
    <w:rsid w:val="09591599"/>
    <w:rsid w:val="09F9254F"/>
    <w:rsid w:val="0A003494"/>
    <w:rsid w:val="0A566942"/>
    <w:rsid w:val="0A66456B"/>
    <w:rsid w:val="0A9358DF"/>
    <w:rsid w:val="0A9F5A70"/>
    <w:rsid w:val="0B104692"/>
    <w:rsid w:val="0B240292"/>
    <w:rsid w:val="0B4A3670"/>
    <w:rsid w:val="0B6907F9"/>
    <w:rsid w:val="0BB63AD6"/>
    <w:rsid w:val="0BB7550F"/>
    <w:rsid w:val="0BD10F1F"/>
    <w:rsid w:val="0BFD7BF8"/>
    <w:rsid w:val="0C2C7CAB"/>
    <w:rsid w:val="0C4F10C8"/>
    <w:rsid w:val="0CDD345F"/>
    <w:rsid w:val="0CEF304B"/>
    <w:rsid w:val="0CF04DBA"/>
    <w:rsid w:val="0D086ED6"/>
    <w:rsid w:val="0D183342"/>
    <w:rsid w:val="0D295053"/>
    <w:rsid w:val="0D366B39"/>
    <w:rsid w:val="0D4B1F45"/>
    <w:rsid w:val="0D65044B"/>
    <w:rsid w:val="0D841461"/>
    <w:rsid w:val="0DCF3A10"/>
    <w:rsid w:val="0DDA1C87"/>
    <w:rsid w:val="0DE14725"/>
    <w:rsid w:val="0E160C02"/>
    <w:rsid w:val="0E18188C"/>
    <w:rsid w:val="0E1954E1"/>
    <w:rsid w:val="0E5B4827"/>
    <w:rsid w:val="0E733299"/>
    <w:rsid w:val="0EA25CD4"/>
    <w:rsid w:val="0EB11571"/>
    <w:rsid w:val="0EDC0742"/>
    <w:rsid w:val="0EE02917"/>
    <w:rsid w:val="0F0349E5"/>
    <w:rsid w:val="0F163FE4"/>
    <w:rsid w:val="0F3B747F"/>
    <w:rsid w:val="0F557133"/>
    <w:rsid w:val="0F583E76"/>
    <w:rsid w:val="0F6F157D"/>
    <w:rsid w:val="0F7C4F7B"/>
    <w:rsid w:val="0F824E24"/>
    <w:rsid w:val="0FA26A53"/>
    <w:rsid w:val="0FE303DA"/>
    <w:rsid w:val="0FE7268B"/>
    <w:rsid w:val="100704FE"/>
    <w:rsid w:val="100B5582"/>
    <w:rsid w:val="106526E6"/>
    <w:rsid w:val="10BE6FB6"/>
    <w:rsid w:val="10CA5F04"/>
    <w:rsid w:val="10F51F51"/>
    <w:rsid w:val="113A48C4"/>
    <w:rsid w:val="11470803"/>
    <w:rsid w:val="11921825"/>
    <w:rsid w:val="11A427B1"/>
    <w:rsid w:val="11C22A06"/>
    <w:rsid w:val="11D67B53"/>
    <w:rsid w:val="11E74A4B"/>
    <w:rsid w:val="12267A1D"/>
    <w:rsid w:val="124863B2"/>
    <w:rsid w:val="128671C3"/>
    <w:rsid w:val="13180A59"/>
    <w:rsid w:val="13257168"/>
    <w:rsid w:val="132D7EAA"/>
    <w:rsid w:val="132F3832"/>
    <w:rsid w:val="134D7392"/>
    <w:rsid w:val="136808F4"/>
    <w:rsid w:val="136C68FC"/>
    <w:rsid w:val="137354F7"/>
    <w:rsid w:val="1386075E"/>
    <w:rsid w:val="138C6A9B"/>
    <w:rsid w:val="139B44DF"/>
    <w:rsid w:val="13E234EF"/>
    <w:rsid w:val="1469614F"/>
    <w:rsid w:val="14813966"/>
    <w:rsid w:val="14D95FBE"/>
    <w:rsid w:val="14DE409D"/>
    <w:rsid w:val="14FB0840"/>
    <w:rsid w:val="153A01D3"/>
    <w:rsid w:val="15441C32"/>
    <w:rsid w:val="156F5A02"/>
    <w:rsid w:val="15715DF1"/>
    <w:rsid w:val="15A507C7"/>
    <w:rsid w:val="15A62BD9"/>
    <w:rsid w:val="15A667C0"/>
    <w:rsid w:val="15F4103D"/>
    <w:rsid w:val="165E138E"/>
    <w:rsid w:val="166E7112"/>
    <w:rsid w:val="1684225B"/>
    <w:rsid w:val="168B6569"/>
    <w:rsid w:val="169D3608"/>
    <w:rsid w:val="16DC5321"/>
    <w:rsid w:val="16F941B3"/>
    <w:rsid w:val="17BA75E5"/>
    <w:rsid w:val="17D023BA"/>
    <w:rsid w:val="17D0699D"/>
    <w:rsid w:val="189D51CE"/>
    <w:rsid w:val="18C0428D"/>
    <w:rsid w:val="19210BD3"/>
    <w:rsid w:val="19953D1B"/>
    <w:rsid w:val="199B021E"/>
    <w:rsid w:val="19B841F8"/>
    <w:rsid w:val="19BE48C2"/>
    <w:rsid w:val="1A0B749C"/>
    <w:rsid w:val="1A271FF8"/>
    <w:rsid w:val="1A527FB4"/>
    <w:rsid w:val="1A8807F9"/>
    <w:rsid w:val="1AD47E79"/>
    <w:rsid w:val="1AF95978"/>
    <w:rsid w:val="1B045599"/>
    <w:rsid w:val="1B663936"/>
    <w:rsid w:val="1B914637"/>
    <w:rsid w:val="1BE612BD"/>
    <w:rsid w:val="1BEC792B"/>
    <w:rsid w:val="1C0E785C"/>
    <w:rsid w:val="1C4C612A"/>
    <w:rsid w:val="1C4D3917"/>
    <w:rsid w:val="1C645000"/>
    <w:rsid w:val="1CAF3882"/>
    <w:rsid w:val="1CD001DE"/>
    <w:rsid w:val="1CD80ADD"/>
    <w:rsid w:val="1CE1683B"/>
    <w:rsid w:val="1CF827F7"/>
    <w:rsid w:val="1D2508F5"/>
    <w:rsid w:val="1D534759"/>
    <w:rsid w:val="1D6D3618"/>
    <w:rsid w:val="1DFE766B"/>
    <w:rsid w:val="1E7E683D"/>
    <w:rsid w:val="1EE63DF1"/>
    <w:rsid w:val="1F1D1053"/>
    <w:rsid w:val="1F3209B5"/>
    <w:rsid w:val="1F7A3B70"/>
    <w:rsid w:val="1F7D7753"/>
    <w:rsid w:val="1F844211"/>
    <w:rsid w:val="1F8F353C"/>
    <w:rsid w:val="1F97084F"/>
    <w:rsid w:val="1FC03FC6"/>
    <w:rsid w:val="2010340F"/>
    <w:rsid w:val="20583ED5"/>
    <w:rsid w:val="208A59D9"/>
    <w:rsid w:val="20D76AC5"/>
    <w:rsid w:val="20DA6D23"/>
    <w:rsid w:val="211D71DF"/>
    <w:rsid w:val="2170621F"/>
    <w:rsid w:val="2235163A"/>
    <w:rsid w:val="223D45C0"/>
    <w:rsid w:val="22645F28"/>
    <w:rsid w:val="226B4C47"/>
    <w:rsid w:val="227806A0"/>
    <w:rsid w:val="228259A8"/>
    <w:rsid w:val="22C7356B"/>
    <w:rsid w:val="22CC2726"/>
    <w:rsid w:val="23196172"/>
    <w:rsid w:val="233757E9"/>
    <w:rsid w:val="238111AF"/>
    <w:rsid w:val="23826D5D"/>
    <w:rsid w:val="239C0AC9"/>
    <w:rsid w:val="23B54DBA"/>
    <w:rsid w:val="23C65375"/>
    <w:rsid w:val="23D960C5"/>
    <w:rsid w:val="23E404A6"/>
    <w:rsid w:val="23F80CD7"/>
    <w:rsid w:val="24034DE3"/>
    <w:rsid w:val="241B04D3"/>
    <w:rsid w:val="24517E5B"/>
    <w:rsid w:val="24537ECE"/>
    <w:rsid w:val="24691263"/>
    <w:rsid w:val="247423AE"/>
    <w:rsid w:val="2509793B"/>
    <w:rsid w:val="2517096D"/>
    <w:rsid w:val="251F603B"/>
    <w:rsid w:val="254A1CA1"/>
    <w:rsid w:val="254C6E34"/>
    <w:rsid w:val="25713235"/>
    <w:rsid w:val="258D6BA8"/>
    <w:rsid w:val="25E95D55"/>
    <w:rsid w:val="262C5798"/>
    <w:rsid w:val="26404A8B"/>
    <w:rsid w:val="267D3EE8"/>
    <w:rsid w:val="268214B4"/>
    <w:rsid w:val="26BB5F5C"/>
    <w:rsid w:val="26C9522F"/>
    <w:rsid w:val="26E0494B"/>
    <w:rsid w:val="26E61874"/>
    <w:rsid w:val="271D6F22"/>
    <w:rsid w:val="277976C4"/>
    <w:rsid w:val="278B62C9"/>
    <w:rsid w:val="27B040F1"/>
    <w:rsid w:val="27C61800"/>
    <w:rsid w:val="27D03598"/>
    <w:rsid w:val="27F465BB"/>
    <w:rsid w:val="280729AB"/>
    <w:rsid w:val="2833354C"/>
    <w:rsid w:val="285048C9"/>
    <w:rsid w:val="286B4162"/>
    <w:rsid w:val="28B17ED0"/>
    <w:rsid w:val="28BB5EB7"/>
    <w:rsid w:val="28FE4325"/>
    <w:rsid w:val="292E12AF"/>
    <w:rsid w:val="296348B1"/>
    <w:rsid w:val="29646028"/>
    <w:rsid w:val="29657BE2"/>
    <w:rsid w:val="2AA146C4"/>
    <w:rsid w:val="2AA72E33"/>
    <w:rsid w:val="2AB8067D"/>
    <w:rsid w:val="2AC97E08"/>
    <w:rsid w:val="2ACC6765"/>
    <w:rsid w:val="2ACE79ED"/>
    <w:rsid w:val="2AE06692"/>
    <w:rsid w:val="2B5B585D"/>
    <w:rsid w:val="2B850B35"/>
    <w:rsid w:val="2B961660"/>
    <w:rsid w:val="2BA76C01"/>
    <w:rsid w:val="2BAE2DFD"/>
    <w:rsid w:val="2BB51037"/>
    <w:rsid w:val="2BE450E0"/>
    <w:rsid w:val="2BF41F1B"/>
    <w:rsid w:val="2C47286A"/>
    <w:rsid w:val="2C575B9F"/>
    <w:rsid w:val="2C65461C"/>
    <w:rsid w:val="2CE21871"/>
    <w:rsid w:val="2D2E5B28"/>
    <w:rsid w:val="2D446725"/>
    <w:rsid w:val="2D662E6A"/>
    <w:rsid w:val="2D694E5F"/>
    <w:rsid w:val="2D720E3E"/>
    <w:rsid w:val="2D926C5A"/>
    <w:rsid w:val="2D9F6190"/>
    <w:rsid w:val="2E375522"/>
    <w:rsid w:val="2E51768B"/>
    <w:rsid w:val="2E895945"/>
    <w:rsid w:val="2E9A2C50"/>
    <w:rsid w:val="2EC86C3E"/>
    <w:rsid w:val="2EDA3BA7"/>
    <w:rsid w:val="2F5A4C59"/>
    <w:rsid w:val="2F5E280F"/>
    <w:rsid w:val="2F85526C"/>
    <w:rsid w:val="2F8A153A"/>
    <w:rsid w:val="2FB954A2"/>
    <w:rsid w:val="2FC36211"/>
    <w:rsid w:val="302068AC"/>
    <w:rsid w:val="302502A4"/>
    <w:rsid w:val="3029125F"/>
    <w:rsid w:val="303531C7"/>
    <w:rsid w:val="30822902"/>
    <w:rsid w:val="30D50C0B"/>
    <w:rsid w:val="312D18CA"/>
    <w:rsid w:val="314036DC"/>
    <w:rsid w:val="3160576B"/>
    <w:rsid w:val="318C4FB9"/>
    <w:rsid w:val="32A12EE4"/>
    <w:rsid w:val="33430C14"/>
    <w:rsid w:val="33690CCC"/>
    <w:rsid w:val="336C7241"/>
    <w:rsid w:val="33A4500D"/>
    <w:rsid w:val="33D52696"/>
    <w:rsid w:val="33E24C83"/>
    <w:rsid w:val="33EA0E5D"/>
    <w:rsid w:val="340C1F79"/>
    <w:rsid w:val="344E57D4"/>
    <w:rsid w:val="346D355C"/>
    <w:rsid w:val="34725C4F"/>
    <w:rsid w:val="34964C8F"/>
    <w:rsid w:val="34AC2E87"/>
    <w:rsid w:val="34B8678E"/>
    <w:rsid w:val="34BE0A2C"/>
    <w:rsid w:val="35175F41"/>
    <w:rsid w:val="358A443D"/>
    <w:rsid w:val="35E45138"/>
    <w:rsid w:val="35E74CC3"/>
    <w:rsid w:val="360C3E19"/>
    <w:rsid w:val="360F0EBB"/>
    <w:rsid w:val="36462986"/>
    <w:rsid w:val="369C700C"/>
    <w:rsid w:val="36C956E9"/>
    <w:rsid w:val="36FE6BA9"/>
    <w:rsid w:val="3762572F"/>
    <w:rsid w:val="3767100D"/>
    <w:rsid w:val="37DB15A8"/>
    <w:rsid w:val="380B4C4C"/>
    <w:rsid w:val="382F0C8B"/>
    <w:rsid w:val="3851483A"/>
    <w:rsid w:val="387F4AD3"/>
    <w:rsid w:val="38B5188D"/>
    <w:rsid w:val="39595684"/>
    <w:rsid w:val="39914878"/>
    <w:rsid w:val="39950C85"/>
    <w:rsid w:val="39976F35"/>
    <w:rsid w:val="399A3D50"/>
    <w:rsid w:val="39B776DA"/>
    <w:rsid w:val="3A39785E"/>
    <w:rsid w:val="3A4B6162"/>
    <w:rsid w:val="3ABE1223"/>
    <w:rsid w:val="3AE7618E"/>
    <w:rsid w:val="3B721C43"/>
    <w:rsid w:val="3C5019E9"/>
    <w:rsid w:val="3C5C3EBB"/>
    <w:rsid w:val="3CA566AF"/>
    <w:rsid w:val="3CD72BE8"/>
    <w:rsid w:val="3CED113A"/>
    <w:rsid w:val="3CFA2DC2"/>
    <w:rsid w:val="3D3001CC"/>
    <w:rsid w:val="3D4414C8"/>
    <w:rsid w:val="3D81434F"/>
    <w:rsid w:val="3DF00289"/>
    <w:rsid w:val="3E042BE7"/>
    <w:rsid w:val="3E0C734F"/>
    <w:rsid w:val="3E2D35FE"/>
    <w:rsid w:val="3E803C87"/>
    <w:rsid w:val="3EA02431"/>
    <w:rsid w:val="3ECE1FB2"/>
    <w:rsid w:val="3F1534AF"/>
    <w:rsid w:val="3FC75019"/>
    <w:rsid w:val="3FDB37E6"/>
    <w:rsid w:val="414B3AB3"/>
    <w:rsid w:val="416B3035"/>
    <w:rsid w:val="41CA1598"/>
    <w:rsid w:val="41CD647E"/>
    <w:rsid w:val="41E2438C"/>
    <w:rsid w:val="428F0C73"/>
    <w:rsid w:val="42953641"/>
    <w:rsid w:val="43064C80"/>
    <w:rsid w:val="433364A6"/>
    <w:rsid w:val="4336093A"/>
    <w:rsid w:val="43600CC0"/>
    <w:rsid w:val="43722D6F"/>
    <w:rsid w:val="43B465E2"/>
    <w:rsid w:val="441605ED"/>
    <w:rsid w:val="444753E3"/>
    <w:rsid w:val="44531F1C"/>
    <w:rsid w:val="445B2E57"/>
    <w:rsid w:val="44B458D4"/>
    <w:rsid w:val="44FF666D"/>
    <w:rsid w:val="45547942"/>
    <w:rsid w:val="45AD7784"/>
    <w:rsid w:val="45FA3BE3"/>
    <w:rsid w:val="45FC4115"/>
    <w:rsid w:val="462369A1"/>
    <w:rsid w:val="464543E6"/>
    <w:rsid w:val="464E7713"/>
    <w:rsid w:val="46550BD6"/>
    <w:rsid w:val="4688540D"/>
    <w:rsid w:val="46A47BF4"/>
    <w:rsid w:val="46AA2F6D"/>
    <w:rsid w:val="46C61C44"/>
    <w:rsid w:val="46C81058"/>
    <w:rsid w:val="46F72FE5"/>
    <w:rsid w:val="472E1A4F"/>
    <w:rsid w:val="47586E82"/>
    <w:rsid w:val="477563F5"/>
    <w:rsid w:val="47C620C5"/>
    <w:rsid w:val="47D5782F"/>
    <w:rsid w:val="47FA48E9"/>
    <w:rsid w:val="482E4C08"/>
    <w:rsid w:val="486B0F5E"/>
    <w:rsid w:val="4884092C"/>
    <w:rsid w:val="489E592C"/>
    <w:rsid w:val="48C52F11"/>
    <w:rsid w:val="48E85F91"/>
    <w:rsid w:val="49350B32"/>
    <w:rsid w:val="4935561F"/>
    <w:rsid w:val="49812301"/>
    <w:rsid w:val="49F31649"/>
    <w:rsid w:val="49F94852"/>
    <w:rsid w:val="4A501B1B"/>
    <w:rsid w:val="4A730277"/>
    <w:rsid w:val="4A9E64F2"/>
    <w:rsid w:val="4ABA7703"/>
    <w:rsid w:val="4ABE2BB6"/>
    <w:rsid w:val="4AC44BB7"/>
    <w:rsid w:val="4AF10E0B"/>
    <w:rsid w:val="4B1700C9"/>
    <w:rsid w:val="4B797AB3"/>
    <w:rsid w:val="4BC04DBB"/>
    <w:rsid w:val="4BD40658"/>
    <w:rsid w:val="4BD47982"/>
    <w:rsid w:val="4C172508"/>
    <w:rsid w:val="4CFB23C2"/>
    <w:rsid w:val="4DB85AA2"/>
    <w:rsid w:val="4DC74C85"/>
    <w:rsid w:val="4E366B6B"/>
    <w:rsid w:val="4E4F73F4"/>
    <w:rsid w:val="4E7A678E"/>
    <w:rsid w:val="4EA67A33"/>
    <w:rsid w:val="4EB55C5D"/>
    <w:rsid w:val="4EC63D8E"/>
    <w:rsid w:val="4ED44A66"/>
    <w:rsid w:val="4EDF1B53"/>
    <w:rsid w:val="4F1262F2"/>
    <w:rsid w:val="4F22175D"/>
    <w:rsid w:val="4F53644D"/>
    <w:rsid w:val="4F8856D7"/>
    <w:rsid w:val="4FF96D69"/>
    <w:rsid w:val="4FFF643C"/>
    <w:rsid w:val="50014E73"/>
    <w:rsid w:val="503471FC"/>
    <w:rsid w:val="507C27D5"/>
    <w:rsid w:val="509960A5"/>
    <w:rsid w:val="50AF0EF6"/>
    <w:rsid w:val="51314996"/>
    <w:rsid w:val="518F2ACE"/>
    <w:rsid w:val="51CC3C67"/>
    <w:rsid w:val="521E1268"/>
    <w:rsid w:val="52691F60"/>
    <w:rsid w:val="527950C3"/>
    <w:rsid w:val="529B514E"/>
    <w:rsid w:val="529D493B"/>
    <w:rsid w:val="53B03638"/>
    <w:rsid w:val="53E4099F"/>
    <w:rsid w:val="54653DED"/>
    <w:rsid w:val="549140D5"/>
    <w:rsid w:val="54C45B04"/>
    <w:rsid w:val="55A40A3B"/>
    <w:rsid w:val="55C55044"/>
    <w:rsid w:val="55E02539"/>
    <w:rsid w:val="560B6D9C"/>
    <w:rsid w:val="56313793"/>
    <w:rsid w:val="56BF242A"/>
    <w:rsid w:val="56DD2530"/>
    <w:rsid w:val="56E85B49"/>
    <w:rsid w:val="572D51DB"/>
    <w:rsid w:val="57833033"/>
    <w:rsid w:val="57DA2DAC"/>
    <w:rsid w:val="57E563A6"/>
    <w:rsid w:val="58355273"/>
    <w:rsid w:val="58445001"/>
    <w:rsid w:val="58635F09"/>
    <w:rsid w:val="58943F5F"/>
    <w:rsid w:val="58A61712"/>
    <w:rsid w:val="58AD7CA8"/>
    <w:rsid w:val="58D27466"/>
    <w:rsid w:val="594A36E9"/>
    <w:rsid w:val="59577B4C"/>
    <w:rsid w:val="595D5456"/>
    <w:rsid w:val="59673170"/>
    <w:rsid w:val="59EA4F52"/>
    <w:rsid w:val="5A2441DE"/>
    <w:rsid w:val="5A317AB8"/>
    <w:rsid w:val="5A371152"/>
    <w:rsid w:val="5A6B78A5"/>
    <w:rsid w:val="5A8127AB"/>
    <w:rsid w:val="5AB07EDD"/>
    <w:rsid w:val="5ADD391C"/>
    <w:rsid w:val="5AF44967"/>
    <w:rsid w:val="5B87157B"/>
    <w:rsid w:val="5C411CEE"/>
    <w:rsid w:val="5C7817CE"/>
    <w:rsid w:val="5C9545FD"/>
    <w:rsid w:val="5C991CA8"/>
    <w:rsid w:val="5CA07FCB"/>
    <w:rsid w:val="5CB42D1D"/>
    <w:rsid w:val="5CE01919"/>
    <w:rsid w:val="5CEE280A"/>
    <w:rsid w:val="5CFF599B"/>
    <w:rsid w:val="5D0237A1"/>
    <w:rsid w:val="5D3C5EDD"/>
    <w:rsid w:val="5D5B7FE9"/>
    <w:rsid w:val="5DA327CA"/>
    <w:rsid w:val="5E184F3C"/>
    <w:rsid w:val="5E2F2915"/>
    <w:rsid w:val="5E465398"/>
    <w:rsid w:val="5E8E2DFC"/>
    <w:rsid w:val="5E9833DA"/>
    <w:rsid w:val="5E9B2185"/>
    <w:rsid w:val="5EAB125F"/>
    <w:rsid w:val="5F1C6CD8"/>
    <w:rsid w:val="5F365052"/>
    <w:rsid w:val="5F596BA2"/>
    <w:rsid w:val="5F84783E"/>
    <w:rsid w:val="5F8542E8"/>
    <w:rsid w:val="5FA13511"/>
    <w:rsid w:val="5FCA5915"/>
    <w:rsid w:val="5FF46D36"/>
    <w:rsid w:val="60074CE8"/>
    <w:rsid w:val="601045EE"/>
    <w:rsid w:val="6078143F"/>
    <w:rsid w:val="60BE7EBA"/>
    <w:rsid w:val="60C61EAF"/>
    <w:rsid w:val="60D47D42"/>
    <w:rsid w:val="612C6BE3"/>
    <w:rsid w:val="612E57D8"/>
    <w:rsid w:val="613D5083"/>
    <w:rsid w:val="61A1127E"/>
    <w:rsid w:val="61B37CD2"/>
    <w:rsid w:val="61E60EFF"/>
    <w:rsid w:val="62B579BA"/>
    <w:rsid w:val="62BE0ADC"/>
    <w:rsid w:val="63643677"/>
    <w:rsid w:val="63B45380"/>
    <w:rsid w:val="63C2173C"/>
    <w:rsid w:val="63DB2FB0"/>
    <w:rsid w:val="64162008"/>
    <w:rsid w:val="64501B87"/>
    <w:rsid w:val="64B966F8"/>
    <w:rsid w:val="64B96BF8"/>
    <w:rsid w:val="64C33752"/>
    <w:rsid w:val="64E442C2"/>
    <w:rsid w:val="652B03F6"/>
    <w:rsid w:val="652C7668"/>
    <w:rsid w:val="652D09DC"/>
    <w:rsid w:val="6531612E"/>
    <w:rsid w:val="655C4610"/>
    <w:rsid w:val="656761B4"/>
    <w:rsid w:val="65993529"/>
    <w:rsid w:val="65A30A5A"/>
    <w:rsid w:val="65A47F99"/>
    <w:rsid w:val="664D0C39"/>
    <w:rsid w:val="6676361E"/>
    <w:rsid w:val="66A070CD"/>
    <w:rsid w:val="66AA4510"/>
    <w:rsid w:val="66B30923"/>
    <w:rsid w:val="66D17BAB"/>
    <w:rsid w:val="66E74D21"/>
    <w:rsid w:val="6721622E"/>
    <w:rsid w:val="674C52E7"/>
    <w:rsid w:val="677B103A"/>
    <w:rsid w:val="67824A95"/>
    <w:rsid w:val="67900427"/>
    <w:rsid w:val="684F07A7"/>
    <w:rsid w:val="685B4774"/>
    <w:rsid w:val="68753BBD"/>
    <w:rsid w:val="68B42A33"/>
    <w:rsid w:val="68F511AF"/>
    <w:rsid w:val="694444BE"/>
    <w:rsid w:val="695B6754"/>
    <w:rsid w:val="69856DC9"/>
    <w:rsid w:val="699B1BA9"/>
    <w:rsid w:val="69B92FC0"/>
    <w:rsid w:val="69D543CF"/>
    <w:rsid w:val="6A655DAC"/>
    <w:rsid w:val="6A9C2B59"/>
    <w:rsid w:val="6AC27C96"/>
    <w:rsid w:val="6B2959F0"/>
    <w:rsid w:val="6B4429AD"/>
    <w:rsid w:val="6B6775EA"/>
    <w:rsid w:val="6B7F5969"/>
    <w:rsid w:val="6B8C093C"/>
    <w:rsid w:val="6BA67F9A"/>
    <w:rsid w:val="6BB12AA0"/>
    <w:rsid w:val="6C0A057A"/>
    <w:rsid w:val="6C175990"/>
    <w:rsid w:val="6C2133B1"/>
    <w:rsid w:val="6C5A1281"/>
    <w:rsid w:val="6CBF3044"/>
    <w:rsid w:val="6CCA19BB"/>
    <w:rsid w:val="6CE5090C"/>
    <w:rsid w:val="6D02123D"/>
    <w:rsid w:val="6D0E27E2"/>
    <w:rsid w:val="6D493F24"/>
    <w:rsid w:val="6D8E2791"/>
    <w:rsid w:val="6E38432B"/>
    <w:rsid w:val="6E8D2FF2"/>
    <w:rsid w:val="6EC04A56"/>
    <w:rsid w:val="6EC4114E"/>
    <w:rsid w:val="6ECD033B"/>
    <w:rsid w:val="6F0D4F3C"/>
    <w:rsid w:val="6F8E3C84"/>
    <w:rsid w:val="6FC708AE"/>
    <w:rsid w:val="6FCD4AF3"/>
    <w:rsid w:val="70433B9A"/>
    <w:rsid w:val="70604FA0"/>
    <w:rsid w:val="708E621B"/>
    <w:rsid w:val="70C40FF5"/>
    <w:rsid w:val="70F84E2C"/>
    <w:rsid w:val="71022CA8"/>
    <w:rsid w:val="71145A61"/>
    <w:rsid w:val="711A0BB9"/>
    <w:rsid w:val="7133370F"/>
    <w:rsid w:val="71484823"/>
    <w:rsid w:val="71556772"/>
    <w:rsid w:val="7249798C"/>
    <w:rsid w:val="72732C79"/>
    <w:rsid w:val="72E55BBF"/>
    <w:rsid w:val="72F638D5"/>
    <w:rsid w:val="72FF44E0"/>
    <w:rsid w:val="73101BF9"/>
    <w:rsid w:val="73227709"/>
    <w:rsid w:val="73534AB6"/>
    <w:rsid w:val="73656B23"/>
    <w:rsid w:val="7366612C"/>
    <w:rsid w:val="736970F0"/>
    <w:rsid w:val="73BF7934"/>
    <w:rsid w:val="73E44F0F"/>
    <w:rsid w:val="747D351D"/>
    <w:rsid w:val="7486253E"/>
    <w:rsid w:val="74893F0B"/>
    <w:rsid w:val="750E57E9"/>
    <w:rsid w:val="7516011C"/>
    <w:rsid w:val="75476B2C"/>
    <w:rsid w:val="754E5F44"/>
    <w:rsid w:val="75685C7E"/>
    <w:rsid w:val="75834F63"/>
    <w:rsid w:val="75947C6D"/>
    <w:rsid w:val="75A76697"/>
    <w:rsid w:val="75BB297E"/>
    <w:rsid w:val="75D46373"/>
    <w:rsid w:val="75E46E15"/>
    <w:rsid w:val="75F14A03"/>
    <w:rsid w:val="76283902"/>
    <w:rsid w:val="764A197F"/>
    <w:rsid w:val="765A5467"/>
    <w:rsid w:val="766A6CB9"/>
    <w:rsid w:val="76913CCC"/>
    <w:rsid w:val="769711A1"/>
    <w:rsid w:val="76A25791"/>
    <w:rsid w:val="76AC031D"/>
    <w:rsid w:val="76E57E00"/>
    <w:rsid w:val="773B3283"/>
    <w:rsid w:val="77592E44"/>
    <w:rsid w:val="7778605C"/>
    <w:rsid w:val="77E3104E"/>
    <w:rsid w:val="77FD3280"/>
    <w:rsid w:val="781A039A"/>
    <w:rsid w:val="78516ACA"/>
    <w:rsid w:val="78630ED0"/>
    <w:rsid w:val="78721E4A"/>
    <w:rsid w:val="787A20A3"/>
    <w:rsid w:val="787B0FB5"/>
    <w:rsid w:val="78AB4CE9"/>
    <w:rsid w:val="78B25EF0"/>
    <w:rsid w:val="78CB0956"/>
    <w:rsid w:val="78CF1BE4"/>
    <w:rsid w:val="78D05738"/>
    <w:rsid w:val="78D147F4"/>
    <w:rsid w:val="78DF1F3E"/>
    <w:rsid w:val="7926654A"/>
    <w:rsid w:val="792C7C96"/>
    <w:rsid w:val="7938364E"/>
    <w:rsid w:val="794278C9"/>
    <w:rsid w:val="794C613E"/>
    <w:rsid w:val="79522E53"/>
    <w:rsid w:val="79566E88"/>
    <w:rsid w:val="79CF35CB"/>
    <w:rsid w:val="79D25098"/>
    <w:rsid w:val="79ED069C"/>
    <w:rsid w:val="7A081E7C"/>
    <w:rsid w:val="7A1B4012"/>
    <w:rsid w:val="7A5451A9"/>
    <w:rsid w:val="7A7C4366"/>
    <w:rsid w:val="7A8B5B94"/>
    <w:rsid w:val="7AB56543"/>
    <w:rsid w:val="7ACF6FDE"/>
    <w:rsid w:val="7AD95405"/>
    <w:rsid w:val="7AFB0BC6"/>
    <w:rsid w:val="7B326B44"/>
    <w:rsid w:val="7B3D18DA"/>
    <w:rsid w:val="7B58449F"/>
    <w:rsid w:val="7B8F0A6D"/>
    <w:rsid w:val="7BB81899"/>
    <w:rsid w:val="7C1B6CDF"/>
    <w:rsid w:val="7C221D5C"/>
    <w:rsid w:val="7C6675E0"/>
    <w:rsid w:val="7C755F1C"/>
    <w:rsid w:val="7CBA3C37"/>
    <w:rsid w:val="7CD84D3F"/>
    <w:rsid w:val="7CDD4A5A"/>
    <w:rsid w:val="7CE30FDE"/>
    <w:rsid w:val="7CF566BB"/>
    <w:rsid w:val="7CF642C6"/>
    <w:rsid w:val="7D0D0371"/>
    <w:rsid w:val="7D525671"/>
    <w:rsid w:val="7D552082"/>
    <w:rsid w:val="7D9C078E"/>
    <w:rsid w:val="7DA641E7"/>
    <w:rsid w:val="7E130550"/>
    <w:rsid w:val="7E1A1E2A"/>
    <w:rsid w:val="7E62201A"/>
    <w:rsid w:val="7E7514E3"/>
    <w:rsid w:val="7E8C4B42"/>
    <w:rsid w:val="7F225B74"/>
    <w:rsid w:val="7F2E14BB"/>
    <w:rsid w:val="7F746CC5"/>
    <w:rsid w:val="7FCD33AC"/>
    <w:rsid w:val="7FE1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Indent"/>
    <w:basedOn w:val="1"/>
    <w:autoRedefine/>
    <w:qFormat/>
    <w:uiPriority w:val="0"/>
    <w:pPr>
      <w:spacing w:after="120"/>
      <w:ind w:left="420" w:leftChars="200"/>
    </w:pPr>
    <w:rPr>
      <w:rFonts w:ascii="Times New Roman" w:hAnsi="Times New Roman" w:eastAsia="宋体" w:cs="Times New Roman"/>
    </w:rPr>
  </w:style>
  <w:style w:type="paragraph" w:styleId="4">
    <w:name w:val="Plain Text"/>
    <w:basedOn w:val="1"/>
    <w:autoRedefine/>
    <w:unhideWhenUsed/>
    <w:qFormat/>
    <w:uiPriority w:val="99"/>
    <w:pPr>
      <w:spacing w:line="620" w:lineRule="exact"/>
    </w:pPr>
    <w:rPr>
      <w:rFonts w:ascii="宋体" w:hAnsi="Courier New" w:cs="Courier New"/>
      <w:szCs w:val="21"/>
    </w:rPr>
  </w:style>
  <w:style w:type="paragraph" w:styleId="5">
    <w:name w:val="Date"/>
    <w:basedOn w:val="1"/>
    <w:next w:val="1"/>
    <w:autoRedefine/>
    <w:qFormat/>
    <w:uiPriority w:val="0"/>
    <w:pPr>
      <w:ind w:left="2500" w:leftChars="2500"/>
      <w:jc w:val="both"/>
      <w:textAlignment w:val="baseline"/>
    </w:p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autoRedefine/>
    <w:qFormat/>
    <w:uiPriority w:val="99"/>
    <w:pPr>
      <w:ind w:left="200" w:leftChars="200" w:hanging="200" w:hangingChars="200"/>
    </w:p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3"/>
    <w:next w:val="1"/>
    <w:autoRedefine/>
    <w:qFormat/>
    <w:uiPriority w:val="0"/>
    <w:pPr>
      <w:ind w:firstLine="420" w:firstLineChars="200"/>
    </w:pPr>
    <w:rPr>
      <w:rFonts w:cs="Calibri"/>
      <w:szCs w:val="21"/>
    </w:rPr>
  </w:style>
  <w:style w:type="character" w:styleId="14">
    <w:name w:val="FollowedHyperlink"/>
    <w:basedOn w:val="13"/>
    <w:autoRedefine/>
    <w:semiHidden/>
    <w:unhideWhenUsed/>
    <w:qFormat/>
    <w:uiPriority w:val="99"/>
    <w:rPr>
      <w:color w:val="000000"/>
      <w:u w:val="none"/>
    </w:rPr>
  </w:style>
  <w:style w:type="character" w:styleId="15">
    <w:name w:val="Hyperlink"/>
    <w:basedOn w:val="13"/>
    <w:autoRedefine/>
    <w:semiHidden/>
    <w:unhideWhenUsed/>
    <w:qFormat/>
    <w:uiPriority w:val="99"/>
    <w:rPr>
      <w:color w:val="000000"/>
      <w:u w:val="none"/>
    </w:rPr>
  </w:style>
  <w:style w:type="paragraph" w:customStyle="1" w:styleId="16">
    <w:name w:val="BodyText1I2"/>
    <w:basedOn w:val="17"/>
    <w:next w:val="1"/>
    <w:autoRedefine/>
    <w:qFormat/>
    <w:uiPriority w:val="0"/>
    <w:pPr>
      <w:spacing w:after="120"/>
      <w:ind w:left="420" w:leftChars="200" w:firstLine="420" w:firstLineChars="200"/>
      <w:jc w:val="both"/>
      <w:textAlignment w:val="baseline"/>
    </w:pPr>
    <w:rPr>
      <w:rFonts w:ascii="Times New Roman" w:hAnsi="Times New Roman" w:eastAsia="宋体"/>
      <w:kern w:val="2"/>
      <w:sz w:val="21"/>
      <w:szCs w:val="21"/>
      <w:lang w:val="en-US" w:eastAsia="zh-CN" w:bidi="ar-SA"/>
    </w:rPr>
  </w:style>
  <w:style w:type="paragraph" w:customStyle="1" w:styleId="17">
    <w:name w:val="BodyTextIndent"/>
    <w:basedOn w:val="1"/>
    <w:next w:val="5"/>
    <w:autoRedefine/>
    <w:qFormat/>
    <w:uiPriority w:val="0"/>
    <w:pPr>
      <w:spacing w:after="120"/>
      <w:ind w:left="420" w:leftChars="200"/>
      <w:jc w:val="both"/>
      <w:textAlignment w:val="baseline"/>
    </w:pPr>
    <w:rPr>
      <w:rFonts w:ascii="Times New Roman" w:hAnsi="Times New Roman" w:eastAsia="宋体"/>
      <w:kern w:val="2"/>
      <w:sz w:val="21"/>
      <w:szCs w:val="24"/>
      <w:lang w:val="en-US" w:eastAsia="zh-CN" w:bidi="ar-SA"/>
    </w:rPr>
  </w:style>
  <w:style w:type="character" w:customStyle="1" w:styleId="18">
    <w:name w:val="页眉 Char"/>
    <w:basedOn w:val="13"/>
    <w:link w:val="8"/>
    <w:autoRedefine/>
    <w:qFormat/>
    <w:uiPriority w:val="99"/>
    <w:rPr>
      <w:sz w:val="18"/>
      <w:szCs w:val="18"/>
    </w:rPr>
  </w:style>
  <w:style w:type="character" w:customStyle="1" w:styleId="19">
    <w:name w:val="页脚 Char"/>
    <w:basedOn w:val="13"/>
    <w:link w:val="7"/>
    <w:autoRedefine/>
    <w:qFormat/>
    <w:uiPriority w:val="99"/>
    <w:rPr>
      <w:sz w:val="18"/>
      <w:szCs w:val="18"/>
    </w:rPr>
  </w:style>
  <w:style w:type="character" w:customStyle="1" w:styleId="20">
    <w:name w:val="批注框文本 Char"/>
    <w:basedOn w:val="13"/>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3&#20844;&#25253;&#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3&#20844;&#25253;&#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3&#20844;&#25253;&#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3&#20844;&#25253;&#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0">
                <a:latin typeface="黑体" panose="02010609060101010101" charset="-122"/>
                <a:ea typeface="黑体" panose="02010609060101010101" charset="-122"/>
                <a:cs typeface="黑体" panose="02010609060101010101" charset="-122"/>
              </a:rPr>
              <a:t>201</a:t>
            </a:r>
            <a:r>
              <a:rPr lang="en-US" altLang="zh-CN" b="0">
                <a:latin typeface="黑体" panose="02010609060101010101" charset="-122"/>
                <a:ea typeface="黑体" panose="02010609060101010101" charset="-122"/>
                <a:cs typeface="黑体" panose="02010609060101010101" charset="-122"/>
              </a:rPr>
              <a:t>9</a:t>
            </a:r>
            <a:r>
              <a:rPr b="0">
                <a:latin typeface="黑体" panose="02010609060101010101" charset="-122"/>
                <a:ea typeface="黑体" panose="02010609060101010101" charset="-122"/>
                <a:cs typeface="黑体" panose="02010609060101010101" charset="-122"/>
              </a:rPr>
              <a:t>年—202</a:t>
            </a:r>
            <a:r>
              <a:rPr lang="en-US" altLang="zh-CN" b="0">
                <a:latin typeface="黑体" panose="02010609060101010101" charset="-122"/>
                <a:ea typeface="黑体" panose="02010609060101010101" charset="-122"/>
                <a:cs typeface="黑体" panose="02010609060101010101" charset="-122"/>
              </a:rPr>
              <a:t>3</a:t>
            </a:r>
            <a:r>
              <a:rPr b="0">
                <a:latin typeface="黑体" panose="02010609060101010101" charset="-122"/>
                <a:ea typeface="黑体" panose="02010609060101010101" charset="-122"/>
                <a:cs typeface="黑体" panose="02010609060101010101" charset="-122"/>
              </a:rPr>
              <a:t>年三次产业增加值占</a:t>
            </a:r>
            <a:r>
              <a:rPr lang="en-US" altLang="zh-CN" b="0">
                <a:latin typeface="黑体" panose="02010609060101010101" charset="-122"/>
                <a:ea typeface="黑体" panose="02010609060101010101" charset="-122"/>
                <a:cs typeface="黑体" panose="02010609060101010101" charset="-122"/>
              </a:rPr>
              <a:t>GDP</a:t>
            </a:r>
            <a:r>
              <a:rPr altLang="en-US" b="0">
                <a:latin typeface="黑体" panose="02010609060101010101" charset="-122"/>
                <a:ea typeface="黑体" panose="02010609060101010101" charset="-122"/>
                <a:cs typeface="黑体" panose="02010609060101010101" charset="-122"/>
              </a:rPr>
              <a:t>的比重</a:t>
            </a:r>
            <a:endParaRPr altLang="en-US" b="0">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barChart>
        <c:barDir val="col"/>
        <c:grouping val="stacked"/>
        <c:varyColors val="0"/>
        <c:ser>
          <c:idx val="3"/>
          <c:order val="0"/>
          <c:tx>
            <c:strRef>
              <c:f>[23公报图表.xlsx]Sheet1!$L$8</c:f>
              <c:strCache>
                <c:ptCount val="1"/>
                <c:pt idx="0">
                  <c:v>第一产业</c:v>
                </c:pt>
              </c:strCache>
            </c:strRef>
          </c:tx>
          <c:spPr>
            <a:solidFill>
              <a:schemeClr val="tx2">
                <a:lumMod val="60000"/>
                <a:lumOff val="40000"/>
              </a:schemeClr>
            </a:solidFill>
            <a:ln>
              <a:noFill/>
            </a:ln>
            <a:effectLst/>
          </c:spPr>
          <c:invertIfNegative val="0"/>
          <c:dPt>
            <c:idx val="4"/>
            <c:invertIfNegative val="0"/>
            <c:bubble3D val="0"/>
          </c:dPt>
          <c:dLbls>
            <c:dLbl>
              <c:idx val="0"/>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[23公报图表.xlsx]Sheet1!$K$9:$K$13</c:f>
              <c:strCache>
                <c:ptCount val="5"/>
                <c:pt idx="0">
                  <c:v>2019年</c:v>
                </c:pt>
                <c:pt idx="1">
                  <c:v>2020年</c:v>
                </c:pt>
                <c:pt idx="2">
                  <c:v>2021年</c:v>
                </c:pt>
                <c:pt idx="3">
                  <c:v>2022年</c:v>
                </c:pt>
                <c:pt idx="4">
                  <c:v>2023年</c:v>
                </c:pt>
              </c:strCache>
            </c:strRef>
          </c:cat>
          <c:val>
            <c:numRef>
              <c:f>[23公报图表.xlsx]Sheet1!$L$9:$L$13</c:f>
              <c:numCache>
                <c:formatCode>0.0_ </c:formatCode>
                <c:ptCount val="5"/>
                <c:pt idx="0">
                  <c:v>25.3370220424096</c:v>
                </c:pt>
                <c:pt idx="1">
                  <c:v>28.728249107396</c:v>
                </c:pt>
                <c:pt idx="2">
                  <c:v>28.2667337671011</c:v>
                </c:pt>
                <c:pt idx="3">
                  <c:v>31.7190868955132</c:v>
                </c:pt>
                <c:pt idx="4">
                  <c:v>30.364082816196</c:v>
                </c:pt>
              </c:numCache>
            </c:numRef>
          </c:val>
          <c:extLst>
            <c:ext xmlns:c15="http://schemas.microsoft.com/office/drawing/2012/chart" uri="{02D57815-91ED-43cb-92C2-25804820EDAC}">
              <c15:datalabelsRange>
                <c15:f>Sheet1!$L$9:$L$13</c15:f>
                <c15:dlblRangeCache>
                  <c:ptCount val="5"/>
                  <c:pt idx="0">
                    <c:v>25.3</c:v>
                  </c:pt>
                  <c:pt idx="1">
                    <c:v>28.7</c:v>
                  </c:pt>
                  <c:pt idx="2">
                    <c:v>28.3</c:v>
                  </c:pt>
                  <c:pt idx="3">
                    <c:v>31.7</c:v>
                  </c:pt>
                  <c:pt idx="4">
                    <c:v>30.4</c:v>
                  </c:pt>
                </c15:dlblRangeCache>
              </c15:datalabelsRange>
            </c:ext>
          </c:extLst>
        </c:ser>
        <c:ser>
          <c:idx val="4"/>
          <c:order val="1"/>
          <c:tx>
            <c:strRef>
              <c:f>[23公报图表.xlsx]Sheet1!$M$8</c:f>
              <c:strCache>
                <c:ptCount val="1"/>
                <c:pt idx="0">
                  <c:v>第二产业</c:v>
                </c:pt>
              </c:strCache>
            </c:strRef>
          </c:tx>
          <c:spPr>
            <a:solidFill>
              <a:schemeClr val="accent1">
                <a:lumMod val="40000"/>
                <a:lumOff val="60000"/>
              </a:schemeClr>
            </a:solidFill>
            <a:ln>
              <a:noFill/>
            </a:ln>
            <a:effectLst/>
          </c:spPr>
          <c:invertIfNegative val="0"/>
          <c:dLbls>
            <c:dLbl>
              <c:idx val="0"/>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[23公报图表.xlsx]Sheet1!$K$9:$K$13</c:f>
              <c:strCache>
                <c:ptCount val="5"/>
                <c:pt idx="0">
                  <c:v>2019年</c:v>
                </c:pt>
                <c:pt idx="1">
                  <c:v>2020年</c:v>
                </c:pt>
                <c:pt idx="2">
                  <c:v>2021年</c:v>
                </c:pt>
                <c:pt idx="3">
                  <c:v>2022年</c:v>
                </c:pt>
                <c:pt idx="4">
                  <c:v>2023年</c:v>
                </c:pt>
              </c:strCache>
            </c:strRef>
          </c:cat>
          <c:val>
            <c:numRef>
              <c:f>[23公报图表.xlsx]Sheet1!$M$9:$M$13</c:f>
              <c:numCache>
                <c:formatCode>0.0_ </c:formatCode>
                <c:ptCount val="5"/>
                <c:pt idx="0">
                  <c:v>35.4</c:v>
                </c:pt>
                <c:pt idx="1">
                  <c:v>34.1276592461427</c:v>
                </c:pt>
                <c:pt idx="2">
                  <c:v>33.9405564883894</c:v>
                </c:pt>
                <c:pt idx="3">
                  <c:v>30.4386622652135</c:v>
                </c:pt>
                <c:pt idx="4">
                  <c:v>26.5201704272883</c:v>
                </c:pt>
              </c:numCache>
            </c:numRef>
          </c:val>
          <c:extLst>
            <c:ext xmlns:c15="http://schemas.microsoft.com/office/drawing/2012/chart" uri="{02D57815-91ED-43cb-92C2-25804820EDAC}">
              <c15:datalabelsRange>
                <c15:f>Sheet1!$M$9:$M$13</c15:f>
                <c15:dlblRangeCache>
                  <c:ptCount val="5"/>
                  <c:pt idx="0">
                    <c:v>35.4</c:v>
                  </c:pt>
                  <c:pt idx="1">
                    <c:v>34.1</c:v>
                  </c:pt>
                  <c:pt idx="2">
                    <c:v>33.9</c:v>
                  </c:pt>
                  <c:pt idx="3">
                    <c:v>30.4</c:v>
                  </c:pt>
                  <c:pt idx="4">
                    <c:v>26.5</c:v>
                  </c:pt>
                </c15:dlblRangeCache>
              </c15:datalabelsRange>
            </c:ext>
          </c:extLst>
        </c:ser>
        <c:ser>
          <c:idx val="5"/>
          <c:order val="2"/>
          <c:tx>
            <c:strRef>
              <c:f>[23公报图表.xlsx]Sheet1!$N$8</c:f>
              <c:strCache>
                <c:ptCount val="1"/>
                <c:pt idx="0">
                  <c:v>第三产业</c:v>
                </c:pt>
              </c:strCache>
            </c:strRef>
          </c:tx>
          <c:spPr>
            <a:solidFill>
              <a:schemeClr val="accent1">
                <a:lumMod val="20000"/>
                <a:lumOff val="80000"/>
              </a:schemeClr>
            </a:solidFill>
            <a:ln>
              <a:noFill/>
            </a:ln>
            <a:effectLst/>
          </c:spPr>
          <c:invertIfNegative val="0"/>
          <c:dLbls>
            <c:dLbl>
              <c:idx val="0"/>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[23公报图表.xlsx]Sheet1!$K$9:$K$13</c:f>
              <c:strCache>
                <c:ptCount val="5"/>
                <c:pt idx="0">
                  <c:v>2019年</c:v>
                </c:pt>
                <c:pt idx="1">
                  <c:v>2020年</c:v>
                </c:pt>
                <c:pt idx="2">
                  <c:v>2021年</c:v>
                </c:pt>
                <c:pt idx="3">
                  <c:v>2022年</c:v>
                </c:pt>
                <c:pt idx="4">
                  <c:v>2023年</c:v>
                </c:pt>
              </c:strCache>
            </c:strRef>
          </c:cat>
          <c:val>
            <c:numRef>
              <c:f>[23公报图表.xlsx]Sheet1!$N$9:$N$13</c:f>
              <c:numCache>
                <c:formatCode>0.0_ </c:formatCode>
                <c:ptCount val="5"/>
                <c:pt idx="0">
                  <c:v>39.3165429341133</c:v>
                </c:pt>
                <c:pt idx="1">
                  <c:v>37.2</c:v>
                </c:pt>
                <c:pt idx="2">
                  <c:v>37.7927097445095</c:v>
                </c:pt>
                <c:pt idx="3">
                  <c:v>41.3534779673251</c:v>
                </c:pt>
                <c:pt idx="4">
                  <c:v>43.1157467565157</c:v>
                </c:pt>
              </c:numCache>
            </c:numRef>
          </c:val>
          <c:extLst>
            <c:ext xmlns:c15="http://schemas.microsoft.com/office/drawing/2012/chart" uri="{02D57815-91ED-43cb-92C2-25804820EDAC}">
              <c15:datalabelsRange>
                <c15:f>Sheet1!$N$9:$N$13</c15:f>
                <c15:dlblRangeCache>
                  <c:ptCount val="5"/>
                  <c:pt idx="0">
                    <c:v>39.3</c:v>
                  </c:pt>
                  <c:pt idx="1">
                    <c:v>37.2</c:v>
                  </c:pt>
                  <c:pt idx="2">
                    <c:v>37.8</c:v>
                  </c:pt>
                  <c:pt idx="3">
                    <c:v>41.4</c:v>
                  </c:pt>
                  <c:pt idx="4">
                    <c:v>43.1</c:v>
                  </c:pt>
                </c15:dlblRangeCache>
              </c15:datalabelsRange>
            </c:ext>
          </c:extLst>
        </c:ser>
        <c:dLbls>
          <c:showLegendKey val="0"/>
          <c:showVal val="1"/>
          <c:showCatName val="0"/>
          <c:showSerName val="0"/>
          <c:showPercent val="0"/>
          <c:showBubbleSize val="0"/>
        </c:dLbls>
        <c:gapWidth val="150"/>
        <c:overlap val="100"/>
        <c:axId val="879482306"/>
        <c:axId val="169746772"/>
      </c:barChart>
      <c:catAx>
        <c:axId val="879482306"/>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69746772"/>
        <c:crosses val="autoZero"/>
        <c:auto val="1"/>
        <c:lblAlgn val="ctr"/>
        <c:lblOffset val="100"/>
        <c:noMultiLvlLbl val="0"/>
      </c:catAx>
      <c:valAx>
        <c:axId val="1697467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79482306"/>
        <c:crosses val="autoZero"/>
        <c:crossBetween val="between"/>
        <c:majorUnit val="20"/>
        <c:dispUnits>
          <c:builtInUnit val="hundreds"/>
        </c:dispUnits>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b="0">
                <a:latin typeface="黑体" panose="02010609060101010101" charset="-122"/>
                <a:ea typeface="黑体" panose="02010609060101010101" charset="-122"/>
                <a:cs typeface="黑体" panose="02010609060101010101" charset="-122"/>
              </a:rPr>
              <a:t>2019</a:t>
            </a:r>
            <a:r>
              <a:rPr altLang="en-US" b="0">
                <a:latin typeface="黑体" panose="02010609060101010101" charset="-122"/>
                <a:ea typeface="黑体" panose="02010609060101010101" charset="-122"/>
                <a:cs typeface="黑体" panose="02010609060101010101" charset="-122"/>
              </a:rPr>
              <a:t>年</a:t>
            </a:r>
            <a:r>
              <a:rPr lang="en-US" altLang="zh-CN" b="0">
                <a:latin typeface="黑体" panose="02010609060101010101" charset="-122"/>
                <a:ea typeface="黑体" panose="02010609060101010101" charset="-122"/>
                <a:cs typeface="黑体" panose="02010609060101010101" charset="-122"/>
              </a:rPr>
              <a:t>-2023</a:t>
            </a:r>
            <a:r>
              <a:rPr altLang="en-US" b="0">
                <a:latin typeface="黑体" panose="02010609060101010101" charset="-122"/>
                <a:ea typeface="黑体" panose="02010609060101010101" charset="-122"/>
                <a:cs typeface="黑体" panose="02010609060101010101" charset="-122"/>
              </a:rPr>
              <a:t>年</a:t>
            </a:r>
            <a:r>
              <a:rPr lang="en-US" altLang="zh-CN" b="0">
                <a:latin typeface="黑体" panose="02010609060101010101" charset="-122"/>
                <a:ea typeface="黑体" panose="02010609060101010101" charset="-122"/>
                <a:cs typeface="黑体" panose="02010609060101010101" charset="-122"/>
              </a:rPr>
              <a:t>“</a:t>
            </a:r>
            <a:r>
              <a:rPr altLang="en-US" b="0">
                <a:latin typeface="黑体" panose="02010609060101010101" charset="-122"/>
                <a:ea typeface="黑体" panose="02010609060101010101" charset="-122"/>
                <a:cs typeface="黑体" panose="02010609060101010101" charset="-122"/>
              </a:rPr>
              <a:t>四上</a:t>
            </a:r>
            <a:r>
              <a:rPr lang="en-US" altLang="zh-CN" b="0">
                <a:latin typeface="黑体" panose="02010609060101010101" charset="-122"/>
                <a:ea typeface="黑体" panose="02010609060101010101" charset="-122"/>
                <a:cs typeface="黑体" panose="02010609060101010101" charset="-122"/>
              </a:rPr>
              <a:t>”</a:t>
            </a:r>
            <a:r>
              <a:rPr altLang="en-US" b="0">
                <a:latin typeface="黑体" panose="02010609060101010101" charset="-122"/>
                <a:ea typeface="黑体" panose="02010609060101010101" charset="-122"/>
                <a:cs typeface="黑体" panose="02010609060101010101" charset="-122"/>
              </a:rPr>
              <a:t>企业个数</a:t>
            </a:r>
            <a:endParaRPr b="0">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10047619047619"/>
          <c:y val="0.18735632183908"/>
          <c:w val="0.839338624338624"/>
          <c:h val="0.597333333333333"/>
        </c:manualLayout>
      </c:layout>
      <c:barChart>
        <c:barDir val="col"/>
        <c:grouping val="clustered"/>
        <c:varyColors val="0"/>
        <c:ser>
          <c:idx val="0"/>
          <c:order val="0"/>
          <c:tx>
            <c:strRef>
              <c:f>[23公报图表.xlsx]Sheet2!$B$1</c:f>
              <c:strCache>
                <c:ptCount val="1"/>
                <c:pt idx="0">
                  <c:v>“四上”企业个数</c:v>
                </c:pt>
              </c:strCache>
            </c:strRef>
          </c:tx>
          <c:spPr>
            <a:solidFill>
              <a:schemeClr val="accent1">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[23公报图表.xlsx]Sheet2!$A$2:$A$6</c:f>
              <c:strCache>
                <c:ptCount val="5"/>
                <c:pt idx="0">
                  <c:v>2019年</c:v>
                </c:pt>
                <c:pt idx="1">
                  <c:v>2020年</c:v>
                </c:pt>
                <c:pt idx="2">
                  <c:v>2021年</c:v>
                </c:pt>
                <c:pt idx="3">
                  <c:v>2022年</c:v>
                </c:pt>
                <c:pt idx="4">
                  <c:v>2023年</c:v>
                </c:pt>
              </c:strCache>
            </c:strRef>
          </c:cat>
          <c:val>
            <c:numRef>
              <c:f>[23公报图表.xlsx]Sheet2!$B$2:$B$6</c:f>
              <c:numCache>
                <c:formatCode>General</c:formatCode>
                <c:ptCount val="5"/>
                <c:pt idx="0">
                  <c:v>118</c:v>
                </c:pt>
                <c:pt idx="1">
                  <c:v>133</c:v>
                </c:pt>
                <c:pt idx="2">
                  <c:v>159</c:v>
                </c:pt>
                <c:pt idx="3">
                  <c:v>170</c:v>
                </c:pt>
                <c:pt idx="4">
                  <c:v>193</c:v>
                </c:pt>
              </c:numCache>
            </c:numRef>
          </c:val>
        </c:ser>
        <c:dLbls>
          <c:showLegendKey val="0"/>
          <c:showVal val="1"/>
          <c:showCatName val="0"/>
          <c:showSerName val="0"/>
          <c:showPercent val="0"/>
          <c:showBubbleSize val="0"/>
        </c:dLbls>
        <c:gapWidth val="219"/>
        <c:overlap val="-27"/>
        <c:axId val="592928218"/>
        <c:axId val="829502609"/>
      </c:barChart>
      <c:catAx>
        <c:axId val="592928218"/>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29502609"/>
        <c:crosses val="autoZero"/>
        <c:auto val="1"/>
        <c:lblAlgn val="ctr"/>
        <c:lblOffset val="100"/>
        <c:noMultiLvlLbl val="0"/>
      </c:catAx>
      <c:valAx>
        <c:axId val="829502609"/>
        <c:scaling>
          <c:orientation val="minMax"/>
          <c:max val="200"/>
          <c:min val="0"/>
        </c:scaling>
        <c:delete val="0"/>
        <c:axPos val="l"/>
        <c:majorGridlines>
          <c:spPr>
            <a:ln w="9525" cap="flat" cmpd="sng" algn="ctr">
              <a:solidFill>
                <a:schemeClr val="tx1">
                  <a:lumMod val="15000"/>
                  <a:lumOff val="85000"/>
                </a:schemeClr>
              </a:solidFill>
              <a:round/>
            </a:ln>
            <a:effectLst/>
          </c:spPr>
        </c:majorGridlines>
        <c:numFmt formatCode="0&quot;个&quot;"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59292821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b="0">
                <a:latin typeface="黑体" panose="02010609060101010101" charset="-122"/>
                <a:ea typeface="黑体" panose="02010609060101010101" charset="-122"/>
                <a:cs typeface="黑体" panose="02010609060101010101" charset="-122"/>
              </a:rPr>
              <a:t>2019</a:t>
            </a:r>
            <a:r>
              <a:rPr altLang="en-US" b="0">
                <a:latin typeface="黑体" panose="02010609060101010101" charset="-122"/>
                <a:ea typeface="黑体" panose="02010609060101010101" charset="-122"/>
                <a:cs typeface="黑体" panose="02010609060101010101" charset="-122"/>
              </a:rPr>
              <a:t>年</a:t>
            </a:r>
            <a:r>
              <a:rPr lang="en-US" altLang="zh-CN" b="0">
                <a:latin typeface="黑体" panose="02010609060101010101" charset="-122"/>
                <a:ea typeface="黑体" panose="02010609060101010101" charset="-122"/>
                <a:cs typeface="黑体" panose="02010609060101010101" charset="-122"/>
              </a:rPr>
              <a:t>-2023</a:t>
            </a:r>
            <a:r>
              <a:rPr altLang="en-US" b="0">
                <a:latin typeface="黑体" panose="02010609060101010101" charset="-122"/>
                <a:ea typeface="黑体" panose="02010609060101010101" charset="-122"/>
                <a:cs typeface="黑体" panose="02010609060101010101" charset="-122"/>
              </a:rPr>
              <a:t>年全社会固定资产投资增速</a:t>
            </a:r>
            <a:endParaRPr b="0">
              <a:latin typeface="黑体" panose="02010609060101010101" charset="-122"/>
              <a:ea typeface="黑体" panose="02010609060101010101" charset="-122"/>
              <a:cs typeface="黑体" panose="02010609060101010101" charset="-122"/>
            </a:endParaRPr>
          </a:p>
        </c:rich>
      </c:tx>
      <c:layout>
        <c:manualLayout>
          <c:xMode val="edge"/>
          <c:yMode val="edge"/>
          <c:x val="0.212806901128069"/>
          <c:y val="0.00704225352112676"/>
        </c:manualLayout>
      </c:layout>
      <c:overlay val="0"/>
      <c:spPr>
        <a:noFill/>
        <a:ln>
          <a:noFill/>
        </a:ln>
        <a:effectLst/>
      </c:spPr>
    </c:title>
    <c:autoTitleDeleted val="0"/>
    <c:plotArea>
      <c:layout>
        <c:manualLayout>
          <c:layoutTarget val="inner"/>
          <c:xMode val="edge"/>
          <c:yMode val="edge"/>
          <c:x val="0.10047619047619"/>
          <c:y val="0.18735632183908"/>
          <c:w val="0.839338624338624"/>
          <c:h val="0.597333333333333"/>
        </c:manualLayout>
      </c:layout>
      <c:lineChart>
        <c:grouping val="standard"/>
        <c:varyColors val="0"/>
        <c:ser>
          <c:idx val="0"/>
          <c:order val="0"/>
          <c:tx>
            <c:strRef>
              <c:f>[23公报图表.xlsx]Sheet1!$P$16</c:f>
              <c:strCache>
                <c:ptCount val="1"/>
                <c:pt idx="0">
                  <c:v>全社会固定资产投资增速</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0"/>
              <c:layout>
                <c:manualLayout>
                  <c:x val="-0.0633045786330458"/>
                  <c:y val="0.0494724501758499"/>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t>12.5</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68480424684804"/>
                  <c:y val="-0.0497069167643611"/>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t>15.0</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8480424684804"/>
                  <c:y val="0.0454865181711606"/>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t>8.0</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14930325149303"/>
                  <c:y val="-0.0494724501758499"/>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t>15.7</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9688122096881"/>
                  <c:y val="-0.0328253223915592"/>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t>1.7</a:t>
                    </a:r>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[23公报图表.xlsx]Sheet1!$P$17:$P$21</c:f>
              <c:strCache>
                <c:ptCount val="5"/>
                <c:pt idx="0">
                  <c:v>2019年</c:v>
                </c:pt>
                <c:pt idx="1">
                  <c:v>2020年</c:v>
                </c:pt>
                <c:pt idx="2">
                  <c:v>2021年</c:v>
                </c:pt>
                <c:pt idx="3">
                  <c:v>2022年</c:v>
                </c:pt>
                <c:pt idx="4">
                  <c:v>2023年</c:v>
                </c:pt>
              </c:strCache>
            </c:strRef>
          </c:cat>
          <c:val>
            <c:numRef>
              <c:f>[23公报图表.xlsx]Sheet1!$Q$17:$Q$21</c:f>
              <c:numCache>
                <c:formatCode>0.0%</c:formatCode>
                <c:ptCount val="5"/>
                <c:pt idx="0">
                  <c:v>0.125</c:v>
                </c:pt>
                <c:pt idx="1">
                  <c:v>0.15</c:v>
                </c:pt>
                <c:pt idx="2">
                  <c:v>0.08</c:v>
                </c:pt>
                <c:pt idx="3">
                  <c:v>0.157</c:v>
                </c:pt>
                <c:pt idx="4">
                  <c:v>0.017</c:v>
                </c:pt>
              </c:numCache>
            </c:numRef>
          </c:val>
          <c:smooth val="0"/>
        </c:ser>
        <c:dLbls>
          <c:showLegendKey val="0"/>
          <c:showVal val="0"/>
          <c:showCatName val="0"/>
          <c:showSerName val="0"/>
          <c:showPercent val="0"/>
          <c:showBubbleSize val="0"/>
        </c:dLbls>
        <c:marker val="1"/>
        <c:smooth val="0"/>
        <c:axId val="592928218"/>
        <c:axId val="829502609"/>
      </c:lineChart>
      <c:catAx>
        <c:axId val="592928218"/>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29502609"/>
        <c:crosses val="autoZero"/>
        <c:auto val="1"/>
        <c:lblAlgn val="ctr"/>
        <c:lblOffset val="100"/>
        <c:noMultiLvlLbl val="0"/>
      </c:catAx>
      <c:valAx>
        <c:axId val="829502609"/>
        <c:scaling>
          <c:orientation val="minMax"/>
          <c:max val="0.2"/>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59292821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b="0">
                <a:latin typeface="黑体" panose="02010609060101010101" charset="-122"/>
                <a:ea typeface="黑体" panose="02010609060101010101" charset="-122"/>
                <a:cs typeface="黑体" panose="02010609060101010101" charset="-122"/>
              </a:rPr>
              <a:t>2019</a:t>
            </a:r>
            <a:r>
              <a:rPr altLang="en-US" b="0">
                <a:latin typeface="黑体" panose="02010609060101010101" charset="-122"/>
                <a:ea typeface="黑体" panose="02010609060101010101" charset="-122"/>
                <a:cs typeface="黑体" panose="02010609060101010101" charset="-122"/>
              </a:rPr>
              <a:t>年</a:t>
            </a:r>
            <a:r>
              <a:rPr lang="en-US" altLang="zh-CN" b="0">
                <a:latin typeface="黑体" panose="02010609060101010101" charset="-122"/>
                <a:ea typeface="黑体" panose="02010609060101010101" charset="-122"/>
                <a:cs typeface="黑体" panose="02010609060101010101" charset="-122"/>
              </a:rPr>
              <a:t>-2023</a:t>
            </a:r>
            <a:r>
              <a:rPr altLang="en-US" b="0">
                <a:latin typeface="黑体" panose="02010609060101010101" charset="-122"/>
                <a:ea typeface="黑体" panose="02010609060101010101" charset="-122"/>
                <a:cs typeface="黑体" panose="02010609060101010101" charset="-122"/>
              </a:rPr>
              <a:t>年</a:t>
            </a:r>
            <a:r>
              <a:rPr b="0">
                <a:latin typeface="黑体" panose="02010609060101010101" charset="-122"/>
                <a:ea typeface="黑体" panose="02010609060101010101" charset="-122"/>
                <a:cs typeface="黑体" panose="02010609060101010101" charset="-122"/>
              </a:rPr>
              <a:t>地方一般公共预算收入</a:t>
            </a:r>
            <a:endParaRPr b="0">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10047619047619"/>
          <c:y val="0.18735632183908"/>
          <c:w val="0.839338624338624"/>
          <c:h val="0.597333333333333"/>
        </c:manualLayout>
      </c:layout>
      <c:barChart>
        <c:barDir val="col"/>
        <c:grouping val="clustered"/>
        <c:varyColors val="0"/>
        <c:ser>
          <c:idx val="0"/>
          <c:order val="0"/>
          <c:tx>
            <c:strRef>
              <c:f>[23公报图表.xlsx]Sheet1!$M$16</c:f>
              <c:strCache>
                <c:ptCount val="1"/>
                <c:pt idx="0">
                  <c:v>地方一般公共预算收入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[23公报图表.xlsx]Sheet1!$L$17:$L$21</c:f>
              <c:strCache>
                <c:ptCount val="5"/>
                <c:pt idx="0">
                  <c:v>2019年</c:v>
                </c:pt>
                <c:pt idx="1">
                  <c:v>2020年</c:v>
                </c:pt>
                <c:pt idx="2">
                  <c:v>2021年</c:v>
                </c:pt>
                <c:pt idx="3">
                  <c:v>2022年</c:v>
                </c:pt>
                <c:pt idx="4">
                  <c:v>2023年</c:v>
                </c:pt>
              </c:strCache>
            </c:strRef>
          </c:cat>
          <c:val>
            <c:numRef>
              <c:f>[23公报图表.xlsx]Sheet1!$M$17:$M$21</c:f>
              <c:numCache>
                <c:formatCode>General</c:formatCode>
                <c:ptCount val="5"/>
                <c:pt idx="0">
                  <c:v>3.51</c:v>
                </c:pt>
                <c:pt idx="1">
                  <c:v>3.72</c:v>
                </c:pt>
                <c:pt idx="2">
                  <c:v>4.43</c:v>
                </c:pt>
                <c:pt idx="3" c:formatCode="0.00_ ">
                  <c:v>5.3</c:v>
                </c:pt>
                <c:pt idx="4">
                  <c:v>6.06</c:v>
                </c:pt>
              </c:numCache>
            </c:numRef>
          </c:val>
        </c:ser>
        <c:dLbls>
          <c:showLegendKey val="0"/>
          <c:showVal val="1"/>
          <c:showCatName val="0"/>
          <c:showSerName val="0"/>
          <c:showPercent val="0"/>
          <c:showBubbleSize val="0"/>
        </c:dLbls>
        <c:gapWidth val="219"/>
        <c:overlap val="-27"/>
        <c:axId val="592928218"/>
        <c:axId val="829502609"/>
      </c:barChart>
      <c:catAx>
        <c:axId val="592928218"/>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29502609"/>
        <c:crosses val="autoZero"/>
        <c:auto val="1"/>
        <c:lblAlgn val="ctr"/>
        <c:lblOffset val="100"/>
        <c:noMultiLvlLbl val="0"/>
      </c:catAx>
      <c:valAx>
        <c:axId val="829502609"/>
        <c:scaling>
          <c:orientation val="minMax"/>
        </c:scaling>
        <c:delete val="0"/>
        <c:axPos val="l"/>
        <c:majorGridlines>
          <c:spPr>
            <a:ln w="9525" cap="flat" cmpd="sng" algn="ctr">
              <a:solidFill>
                <a:schemeClr val="tx1">
                  <a:lumMod val="15000"/>
                  <a:lumOff val="85000"/>
                </a:schemeClr>
              </a:solidFill>
              <a:round/>
            </a:ln>
            <a:effectLst/>
          </c:spPr>
        </c:majorGridlines>
        <c:numFmt formatCode="0&quot;亿&quot;&quot;元&quot;"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59292821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12</Pages>
  <Words>4431</Words>
  <Characters>5429</Characters>
  <Lines>47</Lines>
  <Paragraphs>13</Paragraphs>
  <TotalTime>182</TotalTime>
  <ScaleCrop>false</ScaleCrop>
  <LinksUpToDate>false</LinksUpToDate>
  <CharactersWithSpaces>5454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2018-03-09T02:10:00Z</dcterms:created>
  <dc:creator>admin</dc:creator>
  <cp:lastModifiedBy>叶秋</cp:lastModifiedBy>
  <cp:lastPrinted>2023-03-31T08:43:00Z</cp:lastPrinted>
  <dcterms:modified xsi:type="dcterms:W3CDTF">2024-04-09T06:50:24Z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2803CA3D81C3485FB83D7EC0082BE2D2_13</vt:lpwstr>
  </property>
</Properties>
</file>