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67" w:name="_GoBack"/>
      <w:bookmarkEnd w:id="67"/>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78441"/>
      <w:bookmarkStart w:id="3" w:name="_Toc15377193"/>
      <w:bookmarkStart w:id="4" w:name="_Toc15396475"/>
      <w:bookmarkStart w:id="5" w:name="_Toc15396597"/>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426"/>
      <w:bookmarkStart w:id="7" w:name="_Toc15378442"/>
      <w:bookmarkStart w:id="8" w:name="_Toc15377194"/>
      <w:bookmarkStart w:id="9" w:name="_Toc15396476"/>
      <w:bookmarkStart w:id="10" w:name="_Toc15396598"/>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rPr>
        <w:t>殡仪馆</w:t>
      </w:r>
      <w:r>
        <w:rPr>
          <w:rFonts w:hint="eastAsia" w:ascii="方正小标宋简体" w:hAnsi="方正小标宋简体" w:eastAsia="方正小标宋简体" w:cs="方正小标宋简体"/>
          <w:sz w:val="72"/>
          <w:szCs w:val="72"/>
          <w:lang w:eastAsia="zh-CN"/>
        </w:rPr>
        <w:t>单位</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widowControl/>
        <w:jc w:val="center"/>
        <w:rPr>
          <w:rFonts w:ascii="黑体" w:hAnsi="黑体" w:eastAsia="黑体"/>
          <w:sz w:val="48"/>
          <w:szCs w:val="48"/>
        </w:rPr>
      </w:pPr>
      <w:r>
        <w:rPr>
          <w:rFonts w:hint="eastAsia" w:ascii="方正小标宋简体" w:hAnsi="宋体" w:eastAsia="方正小标宋简体"/>
          <w:sz w:val="52"/>
          <w:szCs w:val="52"/>
        </w:rPr>
        <w:t xml:space="preserve"> </w:t>
      </w: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r>
        <w:rPr>
          <w:rFonts w:hint="eastAsia" w:ascii="黑体" w:hAnsi="黑体" w:eastAsia="黑体" w:cstheme="minorBidi"/>
          <w:sz w:val="28"/>
          <w:szCs w:val="28"/>
        </w:rPr>
        <w:t>公开时间：2023年10月</w:t>
      </w:r>
      <w:r>
        <w:rPr>
          <w:rFonts w:hint="eastAsia" w:ascii="黑体" w:hAnsi="黑体" w:eastAsia="黑体" w:cstheme="minorBidi"/>
          <w:sz w:val="28"/>
          <w:szCs w:val="28"/>
          <w:lang w:val="en-US" w:eastAsia="zh-CN"/>
        </w:rPr>
        <w:t>31</w:t>
      </w:r>
      <w:r>
        <w:rPr>
          <w:rFonts w:hint="eastAsia" w:ascii="黑体" w:hAnsi="黑体" w:eastAsia="黑体" w:cstheme="minorBidi"/>
          <w:sz w:val="28"/>
          <w:szCs w:val="28"/>
        </w:rPr>
        <w:t>日</w:t>
      </w:r>
    </w:p>
    <w:p/>
    <w:p>
      <w:pPr>
        <w:pStyle w:val="13"/>
        <w:adjustRightInd w:val="0"/>
        <w:snapToGrid w:val="0"/>
        <w:ind w:left="0" w:leftChars="0"/>
        <w:jc w:val="left"/>
        <w:rPr>
          <w:sz w:val="24"/>
        </w:rPr>
      </w:pPr>
      <w:r>
        <w:rPr>
          <w:rFonts w:hint="eastAsia"/>
          <w:sz w:val="24"/>
        </w:rPr>
        <w:t>第一部分</w:t>
      </w:r>
      <w:r>
        <w:rPr>
          <w:sz w:val="24"/>
        </w:rPr>
        <w:t xml:space="preserve"> </w:t>
      </w:r>
      <w:r>
        <w:rPr>
          <w:rFonts w:hint="eastAsia"/>
          <w:sz w:val="24"/>
          <w:lang w:eastAsia="zh-CN"/>
        </w:rPr>
        <w:t>单位</w:t>
      </w:r>
      <w:r>
        <w:rPr>
          <w:rFonts w:hint="eastAsia"/>
          <w:sz w:val="24"/>
        </w:rPr>
        <w:t>概况...................................................................................................4</w:t>
      </w:r>
    </w:p>
    <w:p>
      <w:pPr>
        <w:pStyle w:val="13"/>
        <w:adjustRightInd w:val="0"/>
        <w:snapToGrid w:val="0"/>
        <w:spacing w:line="440" w:lineRule="exact"/>
        <w:jc w:val="left"/>
        <w:rPr>
          <w:sz w:val="24"/>
        </w:rPr>
      </w:pPr>
      <w:r>
        <w:rPr>
          <w:rFonts w:hint="eastAsia"/>
          <w:sz w:val="24"/>
        </w:rPr>
        <w:t>一、主要职责及重点</w:t>
      </w:r>
      <w:r>
        <w:rPr>
          <w:sz w:val="24"/>
        </w:rPr>
        <w:t>工作</w:t>
      </w:r>
      <w:r>
        <w:rPr>
          <w:rFonts w:hint="eastAsia"/>
          <w:sz w:val="24"/>
        </w:rPr>
        <w:t>..................................................................................4</w:t>
      </w:r>
    </w:p>
    <w:p>
      <w:pPr>
        <w:pStyle w:val="13"/>
        <w:adjustRightInd w:val="0"/>
        <w:snapToGrid w:val="0"/>
        <w:spacing w:line="440" w:lineRule="exact"/>
        <w:jc w:val="left"/>
        <w:rPr>
          <w:sz w:val="24"/>
        </w:rPr>
      </w:pPr>
      <w:r>
        <w:rPr>
          <w:rFonts w:hint="eastAsia"/>
          <w:sz w:val="24"/>
        </w:rPr>
        <w:t>（一）单位</w:t>
      </w:r>
      <w:r>
        <w:rPr>
          <w:sz w:val="24"/>
        </w:rPr>
        <w:t>职责</w:t>
      </w:r>
      <w:r>
        <w:rPr>
          <w:rFonts w:hint="eastAsia"/>
          <w:sz w:val="24"/>
        </w:rPr>
        <w:t>..................................................................................................4</w:t>
      </w:r>
    </w:p>
    <w:p>
      <w:pPr>
        <w:pStyle w:val="13"/>
        <w:adjustRightInd w:val="0"/>
        <w:snapToGrid w:val="0"/>
        <w:spacing w:line="440" w:lineRule="exact"/>
        <w:jc w:val="left"/>
        <w:rPr>
          <w:sz w:val="24"/>
        </w:rPr>
      </w:pPr>
      <w:r>
        <w:rPr>
          <w:rFonts w:hint="eastAsia"/>
          <w:sz w:val="24"/>
        </w:rPr>
        <w:t>（二）2022年重点工作完成情况.....................................................................4二、机构设置......................................................................................................6</w:t>
      </w:r>
    </w:p>
    <w:p>
      <w:pPr>
        <w:pStyle w:val="12"/>
        <w:adjustRightInd w:val="0"/>
        <w:snapToGrid w:val="0"/>
        <w:spacing w:before="0"/>
        <w:jc w:val="left"/>
        <w:rPr>
          <w:sz w:val="24"/>
          <w:szCs w:val="24"/>
        </w:rPr>
      </w:pPr>
      <w:r>
        <w:rPr>
          <w:rFonts w:hint="eastAsia" w:ascii="Times New Roman" w:hAnsi="Times New Roman" w:eastAsia="宋体"/>
          <w:sz w:val="24"/>
          <w:szCs w:val="24"/>
        </w:rPr>
        <w:t>第二部分 2022年度单位决算情况说明..................................................................7</w:t>
      </w:r>
    </w:p>
    <w:p>
      <w:pPr>
        <w:pStyle w:val="13"/>
        <w:adjustRightInd w:val="0"/>
        <w:snapToGrid w:val="0"/>
        <w:spacing w:line="440" w:lineRule="exact"/>
        <w:jc w:val="left"/>
        <w:rPr>
          <w:rFonts w:ascii="仿宋" w:hAnsi="仿宋" w:cstheme="minorBidi"/>
          <w:sz w:val="24"/>
        </w:rPr>
      </w:pPr>
      <w:r>
        <w:rPr>
          <w:rFonts w:hint="eastAsia"/>
          <w:sz w:val="24"/>
        </w:rPr>
        <w:t>一、收入支出决算总体情况说明......................................................................7</w:t>
      </w:r>
    </w:p>
    <w:p>
      <w:pPr>
        <w:pStyle w:val="13"/>
        <w:adjustRightInd w:val="0"/>
        <w:snapToGrid w:val="0"/>
        <w:spacing w:line="440" w:lineRule="exact"/>
        <w:jc w:val="left"/>
        <w:rPr>
          <w:rFonts w:ascii="仿宋" w:hAnsi="仿宋" w:cstheme="minorBidi"/>
          <w:sz w:val="24"/>
        </w:rPr>
      </w:pPr>
      <w:r>
        <w:rPr>
          <w:rFonts w:hint="eastAsia"/>
          <w:sz w:val="24"/>
        </w:rPr>
        <w:t>二、收入决算情况说明......................................................................................7</w:t>
      </w:r>
    </w:p>
    <w:p>
      <w:pPr>
        <w:pStyle w:val="13"/>
        <w:adjustRightInd w:val="0"/>
        <w:snapToGrid w:val="0"/>
        <w:spacing w:line="440" w:lineRule="exact"/>
        <w:jc w:val="left"/>
        <w:rPr>
          <w:rFonts w:ascii="仿宋" w:hAnsi="仿宋" w:cstheme="minorBidi"/>
          <w:sz w:val="24"/>
        </w:rPr>
      </w:pPr>
      <w:r>
        <w:rPr>
          <w:rFonts w:hint="eastAsia"/>
          <w:sz w:val="24"/>
        </w:rPr>
        <w:t>三、支出决算情况说明......................................................................................7四、财政拨款收入支出决算总体情况说明......................................................8</w:t>
      </w:r>
    </w:p>
    <w:p>
      <w:pPr>
        <w:pStyle w:val="13"/>
        <w:adjustRightInd w:val="0"/>
        <w:snapToGrid w:val="0"/>
        <w:spacing w:line="440" w:lineRule="exact"/>
        <w:jc w:val="left"/>
        <w:rPr>
          <w:rFonts w:ascii="仿宋" w:hAnsi="仿宋" w:cstheme="minorBidi"/>
          <w:sz w:val="24"/>
        </w:rPr>
      </w:pPr>
      <w:r>
        <w:rPr>
          <w:rFonts w:hint="eastAsia"/>
          <w:sz w:val="24"/>
        </w:rPr>
        <w:t>五、一般公共预算财政拨款支出决算情况说明..............................................8</w:t>
      </w:r>
    </w:p>
    <w:p>
      <w:pPr>
        <w:pStyle w:val="13"/>
        <w:adjustRightInd w:val="0"/>
        <w:snapToGrid w:val="0"/>
        <w:spacing w:line="440" w:lineRule="exact"/>
        <w:jc w:val="left"/>
        <w:rPr>
          <w:rFonts w:ascii="仿宋" w:hAnsi="仿宋" w:cstheme="minorBidi"/>
          <w:sz w:val="24"/>
        </w:rPr>
      </w:pPr>
      <w:r>
        <w:rPr>
          <w:rFonts w:hint="eastAsia"/>
          <w:sz w:val="24"/>
        </w:rPr>
        <w:t>六、一般公共预算财政拨款基本支出决算情况说明......................................9</w:t>
      </w:r>
    </w:p>
    <w:p>
      <w:pPr>
        <w:pStyle w:val="13"/>
        <w:adjustRightInd w:val="0"/>
        <w:snapToGrid w:val="0"/>
        <w:spacing w:line="440" w:lineRule="exact"/>
        <w:jc w:val="left"/>
        <w:rPr>
          <w:rFonts w:ascii="仿宋" w:hAnsi="仿宋" w:cstheme="minorBidi"/>
          <w:sz w:val="24"/>
        </w:rPr>
      </w:pPr>
      <w:r>
        <w:rPr>
          <w:rFonts w:hint="eastAsia"/>
          <w:sz w:val="24"/>
        </w:rPr>
        <w:t>七、财政拨款“三公”经费支出决算情况说明.............................................10八、政府性基金预算支出决算情况说明.........................................................11</w:t>
      </w:r>
    </w:p>
    <w:p>
      <w:pPr>
        <w:pStyle w:val="13"/>
        <w:adjustRightInd w:val="0"/>
        <w:snapToGrid w:val="0"/>
        <w:spacing w:line="440" w:lineRule="exact"/>
        <w:jc w:val="left"/>
        <w:rPr>
          <w:sz w:val="24"/>
        </w:rPr>
      </w:pPr>
      <w:r>
        <w:rPr>
          <w:rFonts w:hint="eastAsia"/>
          <w:sz w:val="24"/>
        </w:rPr>
        <w:t>九、国有资本经营预算支出决算情况说明.....................................................11十、其他重要事项的情况说明.........................................................................12</w:t>
      </w:r>
    </w:p>
    <w:p>
      <w:pPr>
        <w:pStyle w:val="12"/>
        <w:adjustRightInd w:val="0"/>
        <w:snapToGrid w:val="0"/>
        <w:spacing w:before="0"/>
        <w:jc w:val="left"/>
        <w:rPr>
          <w:rFonts w:ascii="Times New Roman" w:hAnsi="Times New Roman" w:eastAsia="宋体"/>
          <w:sz w:val="24"/>
          <w:szCs w:val="24"/>
        </w:rPr>
      </w:pPr>
      <w:r>
        <w:rPr>
          <w:rFonts w:hint="eastAsia" w:ascii="Times New Roman" w:hAnsi="Times New Roman" w:eastAsia="宋体"/>
          <w:sz w:val="24"/>
          <w:szCs w:val="24"/>
        </w:rPr>
        <w:t>第三部分 名词解释..................................................................................................13</w:t>
      </w:r>
    </w:p>
    <w:p>
      <w:pPr>
        <w:pStyle w:val="12"/>
        <w:adjustRightInd w:val="0"/>
        <w:snapToGrid w:val="0"/>
        <w:spacing w:before="0"/>
        <w:jc w:val="left"/>
        <w:rPr>
          <w:rFonts w:ascii="Times New Roman" w:hAnsi="Times New Roman" w:eastAsia="宋体"/>
          <w:sz w:val="24"/>
          <w:szCs w:val="24"/>
        </w:rPr>
      </w:pPr>
      <w:r>
        <w:rPr>
          <w:rFonts w:hint="eastAsia" w:ascii="Times New Roman" w:hAnsi="Times New Roman" w:eastAsia="宋体"/>
          <w:sz w:val="24"/>
          <w:szCs w:val="24"/>
        </w:rPr>
        <w:t>第四部分 附件..........................................................................................................15</w:t>
      </w:r>
    </w:p>
    <w:p>
      <w:pPr>
        <w:pStyle w:val="12"/>
        <w:adjustRightInd w:val="0"/>
        <w:snapToGrid w:val="0"/>
        <w:spacing w:before="0"/>
        <w:jc w:val="left"/>
        <w:rPr>
          <w:rFonts w:ascii="Times New Roman" w:hAnsi="Times New Roman" w:eastAsia="宋体"/>
          <w:sz w:val="24"/>
          <w:szCs w:val="24"/>
        </w:rPr>
      </w:pPr>
      <w:r>
        <w:rPr>
          <w:rFonts w:hint="eastAsia" w:ascii="Times New Roman" w:hAnsi="Times New Roman" w:eastAsia="宋体"/>
          <w:sz w:val="24"/>
          <w:szCs w:val="24"/>
        </w:rPr>
        <w:t>第五部分 附表</w:t>
      </w:r>
    </w:p>
    <w:p>
      <w:pPr>
        <w:pStyle w:val="13"/>
        <w:adjustRightInd w:val="0"/>
        <w:snapToGrid w:val="0"/>
        <w:spacing w:line="440" w:lineRule="exact"/>
        <w:jc w:val="left"/>
        <w:rPr>
          <w:sz w:val="24"/>
        </w:rPr>
      </w:pPr>
      <w:r>
        <w:rPr>
          <w:rFonts w:hint="eastAsia"/>
          <w:sz w:val="24"/>
        </w:rPr>
        <w:t>一、收入支出决算总表</w:t>
      </w:r>
    </w:p>
    <w:p>
      <w:pPr>
        <w:pStyle w:val="13"/>
        <w:adjustRightInd w:val="0"/>
        <w:snapToGrid w:val="0"/>
        <w:spacing w:line="440" w:lineRule="exact"/>
        <w:jc w:val="left"/>
        <w:rPr>
          <w:sz w:val="24"/>
        </w:rPr>
      </w:pPr>
      <w:r>
        <w:rPr>
          <w:rFonts w:hint="eastAsia"/>
          <w:sz w:val="24"/>
        </w:rPr>
        <w:t>二、收入决算表</w:t>
      </w:r>
    </w:p>
    <w:p>
      <w:pPr>
        <w:pStyle w:val="13"/>
        <w:adjustRightInd w:val="0"/>
        <w:snapToGrid w:val="0"/>
        <w:spacing w:line="440" w:lineRule="exact"/>
        <w:jc w:val="left"/>
        <w:rPr>
          <w:sz w:val="24"/>
        </w:rPr>
      </w:pPr>
      <w:r>
        <w:rPr>
          <w:rFonts w:hint="eastAsia"/>
          <w:sz w:val="24"/>
        </w:rPr>
        <w:t>三、支出决算表</w:t>
      </w:r>
    </w:p>
    <w:p>
      <w:pPr>
        <w:pStyle w:val="13"/>
        <w:adjustRightInd w:val="0"/>
        <w:snapToGrid w:val="0"/>
        <w:spacing w:line="440" w:lineRule="exact"/>
        <w:jc w:val="left"/>
        <w:rPr>
          <w:sz w:val="24"/>
        </w:rPr>
      </w:pPr>
      <w:r>
        <w:rPr>
          <w:rFonts w:hint="eastAsia"/>
          <w:sz w:val="24"/>
        </w:rPr>
        <w:t>四、财政拨款收入支出决算总表</w:t>
      </w:r>
    </w:p>
    <w:p>
      <w:pPr>
        <w:pStyle w:val="13"/>
        <w:adjustRightInd w:val="0"/>
        <w:snapToGrid w:val="0"/>
        <w:spacing w:line="440" w:lineRule="exact"/>
        <w:jc w:val="left"/>
        <w:rPr>
          <w:sz w:val="24"/>
        </w:rPr>
      </w:pPr>
      <w:r>
        <w:rPr>
          <w:rFonts w:hint="eastAsia"/>
          <w:sz w:val="24"/>
        </w:rPr>
        <w:t>五、财政拨款支出决算明细表</w:t>
      </w:r>
    </w:p>
    <w:p>
      <w:pPr>
        <w:pStyle w:val="13"/>
        <w:adjustRightInd w:val="0"/>
        <w:snapToGrid w:val="0"/>
        <w:spacing w:line="440" w:lineRule="exact"/>
        <w:jc w:val="left"/>
        <w:rPr>
          <w:sz w:val="24"/>
        </w:rPr>
      </w:pPr>
      <w:r>
        <w:rPr>
          <w:rFonts w:hint="eastAsia"/>
          <w:sz w:val="24"/>
        </w:rPr>
        <w:t>六、一般公共预算财政拨款支出决算表</w:t>
      </w:r>
    </w:p>
    <w:p>
      <w:pPr>
        <w:pStyle w:val="13"/>
        <w:adjustRightInd w:val="0"/>
        <w:snapToGrid w:val="0"/>
        <w:spacing w:line="440" w:lineRule="exact"/>
        <w:jc w:val="left"/>
        <w:rPr>
          <w:sz w:val="24"/>
        </w:rPr>
      </w:pPr>
      <w:r>
        <w:rPr>
          <w:rFonts w:hint="eastAsia"/>
          <w:sz w:val="24"/>
        </w:rPr>
        <w:t>七、一般公共预算财政拨款支出决算明细表</w:t>
      </w:r>
    </w:p>
    <w:p>
      <w:pPr>
        <w:pStyle w:val="13"/>
        <w:adjustRightInd w:val="0"/>
        <w:snapToGrid w:val="0"/>
        <w:spacing w:line="440" w:lineRule="exact"/>
        <w:jc w:val="left"/>
        <w:rPr>
          <w:sz w:val="24"/>
        </w:rPr>
      </w:pPr>
      <w:r>
        <w:rPr>
          <w:rFonts w:hint="eastAsia"/>
          <w:sz w:val="24"/>
        </w:rPr>
        <w:t>八、一般公共预算财政拨款基本支出决算明细表</w:t>
      </w:r>
    </w:p>
    <w:p>
      <w:pPr>
        <w:pStyle w:val="13"/>
        <w:adjustRightInd w:val="0"/>
        <w:snapToGrid w:val="0"/>
        <w:spacing w:line="440" w:lineRule="exact"/>
        <w:jc w:val="left"/>
        <w:rPr>
          <w:sz w:val="24"/>
        </w:rPr>
      </w:pPr>
      <w:r>
        <w:rPr>
          <w:rFonts w:hint="eastAsia"/>
          <w:sz w:val="24"/>
        </w:rPr>
        <w:t>九、一般公共预算财政拨款项目支出决算表</w:t>
      </w:r>
    </w:p>
    <w:p>
      <w:pPr>
        <w:pStyle w:val="13"/>
        <w:adjustRightInd w:val="0"/>
        <w:snapToGrid w:val="0"/>
        <w:spacing w:line="440" w:lineRule="exact"/>
        <w:jc w:val="left"/>
        <w:rPr>
          <w:sz w:val="24"/>
        </w:rPr>
      </w:pPr>
      <w:r>
        <w:rPr>
          <w:rFonts w:hint="eastAsia"/>
          <w:sz w:val="24"/>
        </w:rPr>
        <w:t>十、政府性基金预算财政拨款收入支出决算表</w:t>
      </w:r>
    </w:p>
    <w:p>
      <w:pPr>
        <w:pStyle w:val="13"/>
        <w:adjustRightInd w:val="0"/>
        <w:snapToGrid w:val="0"/>
        <w:spacing w:line="440" w:lineRule="exact"/>
        <w:jc w:val="left"/>
        <w:rPr>
          <w:sz w:val="24"/>
        </w:rPr>
      </w:pPr>
      <w:r>
        <w:rPr>
          <w:rFonts w:hint="eastAsia"/>
          <w:sz w:val="24"/>
        </w:rPr>
        <w:t>十一、国有资本经营预算财政拨款收入支出决算表</w:t>
      </w:r>
    </w:p>
    <w:p>
      <w:pPr>
        <w:pStyle w:val="13"/>
        <w:adjustRightInd w:val="0"/>
        <w:snapToGrid w:val="0"/>
        <w:spacing w:line="440" w:lineRule="exact"/>
        <w:jc w:val="left"/>
        <w:rPr>
          <w:sz w:val="24"/>
        </w:rPr>
      </w:pPr>
      <w:r>
        <w:rPr>
          <w:rFonts w:hint="eastAsia"/>
          <w:sz w:val="24"/>
        </w:rPr>
        <w:t>十二、国有资本经营预算财政拨款支出决算表</w:t>
      </w:r>
    </w:p>
    <w:p>
      <w:pPr>
        <w:pStyle w:val="13"/>
        <w:adjustRightInd w:val="0"/>
        <w:snapToGrid w:val="0"/>
        <w:spacing w:line="440" w:lineRule="exact"/>
        <w:jc w:val="left"/>
        <w:rPr>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r>
        <w:rPr>
          <w:rFonts w:hint="eastAsia" w:ascii="仿宋" w:hAnsi="仿宋" w:eastAsia="仿宋"/>
          <w:b/>
          <w:sz w:val="24"/>
        </w:rPr>
        <w:t>.</w:t>
      </w:r>
    </w:p>
    <w:p>
      <w:pPr>
        <w:pStyle w:val="2"/>
        <w:jc w:val="center"/>
        <w:rPr>
          <w:rStyle w:val="29"/>
          <w:rFonts w:ascii="黑体" w:hAnsi="黑体" w:eastAsia="黑体"/>
          <w:b/>
          <w:bCs w:val="0"/>
        </w:rPr>
      </w:pPr>
      <w:r>
        <w:rPr>
          <w:rFonts w:hint="eastAsia" w:ascii="黑体" w:hAnsi="黑体" w:eastAsia="黑体"/>
          <w:b w:val="0"/>
        </w:rPr>
        <w:t>第一部分 单位</w:t>
      </w:r>
      <w:r>
        <w:rPr>
          <w:rStyle w:val="29"/>
          <w:rFonts w:hint="eastAsia" w:ascii="黑体" w:hAnsi="黑体" w:eastAsia="黑体"/>
          <w:b w:val="0"/>
          <w:bCs w:val="0"/>
        </w:rPr>
        <w:t>概况</w:t>
      </w:r>
      <w:bookmarkEnd w:id="12"/>
      <w:bookmarkEnd w:id="13"/>
    </w:p>
    <w:p>
      <w:pPr>
        <w:pStyle w:val="3"/>
        <w:numPr>
          <w:ilvl w:val="0"/>
          <w:numId w:val="1"/>
        </w:numPr>
        <w:rPr>
          <w:rStyle w:val="30"/>
          <w:rFonts w:ascii="黑体" w:hAnsi="黑体" w:eastAsia="黑体"/>
          <w:b w:val="0"/>
          <w:bCs w:val="0"/>
        </w:rPr>
      </w:pPr>
      <w:bookmarkStart w:id="14" w:name="_Toc15377197"/>
      <w:bookmarkStart w:id="15" w:name="_Toc15396600"/>
      <w:r>
        <w:rPr>
          <w:rStyle w:val="30"/>
          <w:rFonts w:hint="eastAsia" w:ascii="黑体" w:hAnsi="黑体" w:eastAsia="黑体"/>
          <w:b w:val="0"/>
          <w:bCs w:val="0"/>
        </w:rPr>
        <w:t>主要职责及工作重点</w:t>
      </w:r>
    </w:p>
    <w:p>
      <w:pPr>
        <w:pStyle w:val="16"/>
        <w:spacing w:after="0"/>
        <w:ind w:left="0" w:leftChars="0" w:firstLine="320" w:firstLineChars="100"/>
        <w:rPr>
          <w:rFonts w:hAnsi="仿宋_GB2312" w:eastAsia="仿宋_GB2312" w:cs="仿宋_GB2312"/>
          <w:sz w:val="32"/>
        </w:rPr>
      </w:pPr>
      <w:r>
        <w:rPr>
          <w:rFonts w:hint="eastAsia" w:hAnsi="仿宋_GB2312" w:eastAsia="仿宋_GB2312" w:cs="仿宋_GB2312"/>
          <w:sz w:val="32"/>
        </w:rPr>
        <w:t>(一)单位职责</w:t>
      </w:r>
    </w:p>
    <w:p>
      <w:pPr>
        <w:widowControl/>
        <w:shd w:val="clear" w:color="auto" w:fill="FFFFFF"/>
        <w:spacing w:line="60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1.贯彻执行国家、省、市、县殡葬管理的政策、法规；管理全县殡葬改革情况，拟订殡葬改革规划；检查全县殡葬改革和殡葬法规的执行情况，对违反殡葬法规的行为做行政处罚；做好火化管理、公墓管理、丧事管理和丧葬用品市场管理等日常工作。</w:t>
      </w:r>
    </w:p>
    <w:p>
      <w:pPr>
        <w:widowControl/>
        <w:shd w:val="clear" w:color="auto" w:fill="FFFFFF"/>
        <w:spacing w:line="60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2、负责国家、省、市、县有关殡葬改革方针政策、法律法规宣传工作。</w:t>
      </w:r>
    </w:p>
    <w:p>
      <w:pPr>
        <w:widowControl/>
        <w:shd w:val="clear" w:color="auto" w:fill="FFFFFF"/>
        <w:spacing w:line="60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3、加强规范化、法制化建设，促进社会主义精神文明建设，推动殡葬改革事业健康、有序发展。</w:t>
      </w:r>
    </w:p>
    <w:p>
      <w:pPr>
        <w:widowControl/>
        <w:shd w:val="clear" w:color="auto" w:fill="FFFFFF"/>
        <w:spacing w:line="60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4、负责全县遗体接运、存放、火化、骨灰寄存和悼念服务等项殡葬服务业务。</w:t>
      </w:r>
    </w:p>
    <w:p>
      <w:pPr>
        <w:widowControl/>
        <w:shd w:val="clear" w:color="auto" w:fill="FFFFFF"/>
        <w:spacing w:line="60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5、执行党和国家关于殡葬改革工作的政策和法规，按照规范化标准，建设好公墓，管理好公墓，使公墓向园林化方向发展。倡导移风易俗，大力宣传文明低碳祭祀，为群众创造文明低碳祭祀的便利条件。</w:t>
      </w:r>
    </w:p>
    <w:p>
      <w:pPr>
        <w:pStyle w:val="16"/>
        <w:spacing w:after="0"/>
        <w:ind w:left="0" w:leftChars="0" w:firstLine="0" w:firstLineChars="0"/>
        <w:rPr>
          <w:rFonts w:hAnsi="仿宋_GB2312" w:eastAsia="仿宋_GB2312" w:cs="仿宋_GB2312"/>
          <w:sz w:val="32"/>
        </w:rPr>
      </w:pPr>
      <w:r>
        <w:rPr>
          <w:rFonts w:hint="eastAsia" w:hAnsi="仿宋_GB2312" w:eastAsia="仿宋_GB2312" w:cs="仿宋_GB2312"/>
          <w:sz w:val="32"/>
        </w:rPr>
        <w:t>（二）2022年重点工作完成情况</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1.殡仪馆业务开展情况</w:t>
      </w:r>
    </w:p>
    <w:p>
      <w:pPr>
        <w:spacing w:line="240" w:lineRule="atLeas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Calibri" w:hAnsi="Calibri" w:eastAsia="仿宋_GB2312" w:cs="Calibri"/>
          <w:sz w:val="32"/>
          <w:szCs w:val="32"/>
        </w:rPr>
        <w:t>①</w:t>
      </w:r>
      <w:r>
        <w:rPr>
          <w:rFonts w:hint="eastAsia" w:ascii="仿宋_GB2312" w:hAnsi="仿宋_GB2312" w:eastAsia="仿宋_GB2312" w:cs="仿宋_GB2312"/>
          <w:sz w:val="32"/>
          <w:szCs w:val="32"/>
        </w:rPr>
        <w:t>2022年度工作完成情况。截止11月殡仪馆共接运遗体378具，墓穴销售79座。实现殡葬总收入359.5819万元（其中：公墓销售收入146.4868万元、殡葬服务收入213.0951万元）。总共支出384.917万元。</w:t>
      </w:r>
    </w:p>
    <w:p>
      <w:pPr>
        <w:spacing w:line="240" w:lineRule="atLeast"/>
        <w:ind w:firstLine="640" w:firstLineChars="200"/>
        <w:rPr>
          <w:rFonts w:ascii="仿宋_GB2312" w:hAnsi="仿宋_GB2312" w:eastAsia="仿宋_GB2312" w:cs="仿宋_GB2312"/>
          <w:sz w:val="32"/>
          <w:szCs w:val="32"/>
        </w:rPr>
      </w:pPr>
      <w:r>
        <w:rPr>
          <w:rFonts w:ascii="Calibri" w:hAnsi="Calibri" w:eastAsia="仿宋_GB2312" w:cs="Calibri"/>
          <w:sz w:val="32"/>
          <w:szCs w:val="32"/>
        </w:rPr>
        <w:t>②</w:t>
      </w:r>
      <w:r>
        <w:rPr>
          <w:rFonts w:hint="eastAsia" w:ascii="仿宋_GB2312" w:hAnsi="仿宋_GB2312" w:eastAsia="仿宋_GB2312" w:cs="仿宋_GB2312"/>
          <w:sz w:val="32"/>
          <w:szCs w:val="32"/>
        </w:rPr>
        <w:t>积极响应国家政策，为减轻困难丧属负担，切切实实为困难群众办好事、办实事，做好惠民殡葬政策的落实。全年实现绿色惠民殡葬补助418人次，共计37.0800万元。全年救助特殊困难群体、优抚对象（32具），无名遗体（11具），堕胎死婴（70具），补助资金共计：57万元。</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2.服务水平不断提高。</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进一步规范殡葬服务行为。严格按照发改局相关规定收费，在所有殡葬服务价格和殡葬用品销售价格上明确标注，并公示上墙。在服务过程中，丧主应当根据丧葬服务项目清单自行选择服务项目。加强服务规范化管理，不断提高服务质量和服务水平。</w:t>
      </w:r>
    </w:p>
    <w:p>
      <w:pPr>
        <w:spacing w:line="240" w:lineRule="atLeas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3.加强人员的教育管理。</w:t>
      </w:r>
    </w:p>
    <w:p>
      <w:pPr>
        <w:pStyle w:val="14"/>
        <w:widowControl/>
        <w:spacing w:before="0" w:beforeAutospacing="0" w:line="240" w:lineRule="atLeast"/>
        <w:ind w:firstLine="320" w:firstLineChars="100"/>
        <w:jc w:val="both"/>
        <w:rPr>
          <w:rFonts w:ascii="仿宋_GB2312" w:hAnsi="仿宋_GB2312" w:eastAsia="仿宋_GB2312" w:cs="仿宋_GB2312"/>
          <w:sz w:val="32"/>
          <w:szCs w:val="32"/>
        </w:rPr>
      </w:pPr>
      <w:r>
        <w:rPr>
          <w:rFonts w:ascii="Calibri" w:hAnsi="Calibri" w:eastAsia="仿宋_GB2312" w:cs="Calibri"/>
          <w:kern w:val="2"/>
          <w:sz w:val="32"/>
          <w:szCs w:val="32"/>
        </w:rPr>
        <w:t>①</w:t>
      </w:r>
      <w:r>
        <w:rPr>
          <w:rFonts w:hint="eastAsia" w:ascii="仿宋_GB2312" w:hAnsi="仿宋_GB2312" w:eastAsia="仿宋_GB2312" w:cs="仿宋_GB2312"/>
          <w:kern w:val="2"/>
          <w:sz w:val="32"/>
          <w:szCs w:val="32"/>
        </w:rPr>
        <w:t>成立领导小组，明确小组及成员职责，制定并完善工作规范，发挥党员带头模范先锋作用。通过党小组会，学习党史，以史为鉴，学史明史，坚定理想信念。严控“灯下黑”问题。组织素质教育活动，同时通过开展批评与自我批评，互相督查等方式，完善规定制度。给党员干部重点学习《廉政准则》、《</w:t>
      </w:r>
      <w:r>
        <w:rPr>
          <w:rFonts w:hint="eastAsia" w:ascii="仿宋_GB2312" w:hAnsi="仿宋_GB2312" w:eastAsia="仿宋_GB2312" w:cs="仿宋_GB2312"/>
          <w:kern w:val="2"/>
          <w:sz w:val="32"/>
          <w:szCs w:val="32"/>
          <w:lang w:eastAsia="zh-CN"/>
        </w:rPr>
        <w:t>中国共产党章程</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eastAsia="zh-CN"/>
        </w:rPr>
        <w:t>习近平总书记</w:t>
      </w:r>
      <w:r>
        <w:rPr>
          <w:rFonts w:hint="eastAsia" w:ascii="仿宋_GB2312" w:hAnsi="仿宋_GB2312" w:eastAsia="仿宋_GB2312" w:cs="仿宋_GB2312"/>
          <w:kern w:val="2"/>
          <w:sz w:val="32"/>
          <w:szCs w:val="32"/>
        </w:rPr>
        <w:t>在全国二十大的重要讲话精神，围绕行业作风建设进行宣讲，进一步统一了党员干部思想，激发党员干部的创先争优、干事创业的热情。</w:t>
      </w:r>
    </w:p>
    <w:p>
      <w:pPr>
        <w:pStyle w:val="14"/>
        <w:widowControl/>
        <w:spacing w:before="0" w:beforeAutospacing="0" w:line="240" w:lineRule="atLeast"/>
        <w:ind w:firstLine="640" w:firstLineChars="200"/>
        <w:jc w:val="both"/>
        <w:rPr>
          <w:rFonts w:ascii="仿宋_GB2312" w:hAnsi="仿宋_GB2312" w:eastAsia="仿宋_GB2312" w:cs="仿宋_GB2312"/>
          <w:kern w:val="2"/>
          <w:sz w:val="32"/>
          <w:szCs w:val="32"/>
        </w:rPr>
      </w:pPr>
      <w:r>
        <w:rPr>
          <w:rFonts w:ascii="Calibri" w:hAnsi="Calibri" w:eastAsia="仿宋_GB2312" w:cs="Calibri"/>
          <w:kern w:val="2"/>
          <w:sz w:val="32"/>
          <w:szCs w:val="32"/>
        </w:rPr>
        <w:t>②</w:t>
      </w:r>
      <w:r>
        <w:rPr>
          <w:rFonts w:hint="eastAsia" w:ascii="仿宋_GB2312" w:hAnsi="仿宋_GB2312" w:eastAsia="仿宋_GB2312" w:cs="仿宋_GB2312"/>
          <w:kern w:val="2"/>
          <w:sz w:val="32"/>
          <w:szCs w:val="32"/>
        </w:rPr>
        <w:t>强调要将理论学习与工作特点相结合。积极开展职工思想品德和人生观教育，面对情绪激动的家属，我们需要耐心、细心、热心引导，文明言语。简化办事流程，保证365天24小时值班制度，询问有声，办事有人，提高处理效率，提升温馨服务质量。面对日复一日的枯燥工作，需认知工作性质，合理开展活动，以激发职工工作热情，帮助大家树立“馆兴我荣，馆衰我耻”的观念，使广大职工都能把个人与单位全局紧密地联系在一起。</w:t>
      </w:r>
    </w:p>
    <w:p>
      <w:pPr>
        <w:pStyle w:val="3"/>
        <w:ind w:firstLine="640" w:firstLineChars="200"/>
        <w:rPr>
          <w:rFonts w:ascii="黑体" w:hAnsi="黑体" w:eastAsia="黑体"/>
          <w:b w:val="0"/>
        </w:rPr>
      </w:pPr>
      <w:r>
        <w:rPr>
          <w:rFonts w:hint="eastAsia" w:ascii="黑体" w:hAnsi="黑体" w:eastAsia="黑体"/>
          <w:b w:val="0"/>
        </w:rPr>
        <w:t>二、机构设置</w:t>
      </w:r>
    </w:p>
    <w:bookmarkEnd w:id="14"/>
    <w:bookmarkEnd w:id="15"/>
    <w:p>
      <w:pPr>
        <w:pStyle w:val="14"/>
        <w:widowControl/>
        <w:spacing w:beforeAutospacing="0" w:afterAutospacing="0"/>
        <w:ind w:firstLine="640" w:firstLineChars="200"/>
        <w:jc w:val="both"/>
        <w:rPr>
          <w:rFonts w:ascii="仿宋" w:hAnsi="仿宋" w:eastAsia="仿宋"/>
          <w:sz w:val="32"/>
          <w:szCs w:val="32"/>
        </w:rPr>
      </w:pPr>
      <w:r>
        <w:rPr>
          <w:rFonts w:hint="eastAsia" w:ascii="仿宋" w:hAnsi="仿宋" w:eastAsia="仿宋"/>
          <w:sz w:val="32"/>
          <w:szCs w:val="32"/>
        </w:rPr>
        <w:t>剑阁县殡仪馆是剑阁县民政局下属二级事业单位，是纳入2022年度部门预算编制范围的二级预算单位。</w:t>
      </w:r>
    </w:p>
    <w:p>
      <w:pPr>
        <w:widowControl/>
        <w:jc w:val="left"/>
        <w:rPr>
          <w:rFonts w:ascii="仿宋" w:hAnsi="仿宋" w:eastAsia="仿宋"/>
          <w:kern w:val="0"/>
          <w:sz w:val="32"/>
          <w:szCs w:val="32"/>
        </w:rPr>
      </w:pPr>
      <w:r>
        <w:rPr>
          <w:rFonts w:ascii="仿宋" w:hAnsi="仿宋" w:eastAsia="仿宋"/>
          <w:sz w:val="32"/>
          <w:szCs w:val="32"/>
        </w:rPr>
        <w:br w:type="page"/>
      </w:r>
    </w:p>
    <w:p>
      <w:pPr>
        <w:pStyle w:val="2"/>
        <w:ind w:right="440"/>
        <w:jc w:val="center"/>
        <w:rPr>
          <w:rStyle w:val="29"/>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29"/>
          <w:rFonts w:hint="eastAsia" w:ascii="黑体" w:hAnsi="黑体" w:eastAsia="黑体"/>
          <w:b w:val="0"/>
          <w:bCs/>
        </w:rPr>
        <w:t>单位决算情况说明</w:t>
      </w:r>
      <w:bookmarkEnd w:id="16"/>
      <w:bookmarkEnd w:id="17"/>
    </w:p>
    <w:p/>
    <w:p>
      <w:pPr>
        <w:pStyle w:val="28"/>
        <w:numPr>
          <w:ilvl w:val="0"/>
          <w:numId w:val="2"/>
        </w:numPr>
        <w:spacing w:line="600" w:lineRule="exact"/>
        <w:ind w:firstLineChars="0"/>
        <w:outlineLvl w:val="1"/>
        <w:rPr>
          <w:rStyle w:val="30"/>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30"/>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2022年度收、支总计204.89万元。</w:t>
      </w:r>
    </w:p>
    <w:p>
      <w:pPr>
        <w:pStyle w:val="28"/>
        <w:numPr>
          <w:ilvl w:val="0"/>
          <w:numId w:val="2"/>
        </w:numPr>
        <w:spacing w:line="600" w:lineRule="exact"/>
        <w:ind w:firstLineChars="0"/>
        <w:outlineLvl w:val="1"/>
        <w:rPr>
          <w:rStyle w:val="30"/>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30"/>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22年本年收入合计204.89万元，其中：一般公共预算财政拨款收入204.89万元，占100</w:t>
      </w:r>
      <w:r>
        <w:rPr>
          <w:rFonts w:ascii="仿宋" w:hAnsi="仿宋" w:eastAsia="仿宋"/>
          <w:sz w:val="32"/>
          <w:szCs w:val="32"/>
        </w:rPr>
        <w:t>%</w:t>
      </w:r>
      <w:r>
        <w:rPr>
          <w:rFonts w:hint="eastAsia" w:ascii="仿宋" w:hAnsi="仿宋" w:eastAsia="仿宋"/>
          <w:sz w:val="32"/>
          <w:szCs w:val="32"/>
        </w:rPr>
        <w:t>。</w:t>
      </w:r>
    </w:p>
    <w:p>
      <w:pPr>
        <w:pStyle w:val="8"/>
        <w:rPr>
          <w:rFonts w:ascii="仿宋" w:hAnsi="仿宋" w:eastAsia="仿宋"/>
          <w:szCs w:val="32"/>
        </w:rPr>
      </w:pPr>
    </w:p>
    <w:p>
      <w:pPr>
        <w:pStyle w:val="8"/>
        <w:rPr>
          <w:rFonts w:ascii="仿宋" w:hAnsi="仿宋" w:eastAsia="仿宋"/>
          <w:szCs w:val="32"/>
        </w:rPr>
      </w:pPr>
      <w:r>
        <w:drawing>
          <wp:inline distT="0" distB="0" distL="114300" distR="114300">
            <wp:extent cx="5105400" cy="27051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2240" w:firstLineChars="700"/>
        <w:rPr>
          <w:rFonts w:ascii="仿宋_GB2312" w:eastAsia="仿宋_GB2312"/>
          <w:sz w:val="32"/>
          <w:szCs w:val="32"/>
        </w:rPr>
      </w:pPr>
      <w:r>
        <w:rPr>
          <w:rFonts w:hint="eastAsia" w:ascii="仿宋" w:hAnsi="仿宋" w:eastAsia="仿宋"/>
          <w:sz w:val="32"/>
          <w:szCs w:val="32"/>
        </w:rPr>
        <w:t>图1：收入决算结构图</w:t>
      </w:r>
    </w:p>
    <w:p>
      <w:pPr>
        <w:pStyle w:val="28"/>
        <w:numPr>
          <w:ilvl w:val="0"/>
          <w:numId w:val="2"/>
        </w:numPr>
        <w:spacing w:line="600" w:lineRule="exact"/>
        <w:ind w:firstLineChars="0"/>
        <w:outlineLvl w:val="1"/>
        <w:rPr>
          <w:rStyle w:val="30"/>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30"/>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22年本年支出合计204.89万元，其中：基本支出136.14万元，占66.45</w:t>
      </w:r>
      <w:r>
        <w:rPr>
          <w:rFonts w:ascii="仿宋" w:hAnsi="仿宋" w:eastAsia="仿宋"/>
          <w:sz w:val="32"/>
          <w:szCs w:val="32"/>
        </w:rPr>
        <w:t>%</w:t>
      </w:r>
      <w:r>
        <w:rPr>
          <w:rFonts w:hint="eastAsia" w:ascii="仿宋" w:hAnsi="仿宋" w:eastAsia="仿宋"/>
          <w:sz w:val="32"/>
          <w:szCs w:val="32"/>
        </w:rPr>
        <w:t>；项目支出68.76万元，占33.55</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shd w:val="pct10" w:color="auto" w:fill="FFFFFF"/>
        </w:rPr>
      </w:pPr>
    </w:p>
    <w:p>
      <w:pPr>
        <w:pStyle w:val="8"/>
      </w:pPr>
      <w:r>
        <w:drawing>
          <wp:inline distT="0" distB="0" distL="114300" distR="114300">
            <wp:extent cx="5047615" cy="2733675"/>
            <wp:effectExtent l="4445" t="4445" r="15240" b="50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2560" w:firstLineChars="800"/>
        <w:rPr>
          <w:rFonts w:ascii="仿宋_GB2312" w:eastAsia="仿宋_GB2312"/>
          <w:sz w:val="32"/>
          <w:szCs w:val="32"/>
        </w:rPr>
      </w:pPr>
      <w:r>
        <w:rPr>
          <w:rFonts w:hint="eastAsia" w:ascii="仿宋" w:hAnsi="仿宋" w:eastAsia="仿宋"/>
          <w:sz w:val="32"/>
          <w:szCs w:val="32"/>
        </w:rPr>
        <w:t>图2：支出决算结构图</w:t>
      </w:r>
    </w:p>
    <w:p>
      <w:pPr>
        <w:spacing w:line="600" w:lineRule="exact"/>
        <w:ind w:firstLine="640" w:firstLineChars="200"/>
        <w:outlineLvl w:val="1"/>
        <w:rPr>
          <w:rStyle w:val="30"/>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24"/>
      <w:bookmarkEnd w:id="25"/>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22年财政拨款收、支总计204.89万元。</w:t>
      </w:r>
    </w:p>
    <w:p>
      <w:pPr>
        <w:spacing w:line="600" w:lineRule="exact"/>
        <w:ind w:firstLine="640" w:firstLineChars="200"/>
        <w:outlineLvl w:val="1"/>
        <w:rPr>
          <w:rStyle w:val="30"/>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26"/>
      <w:bookmarkEnd w:id="27"/>
    </w:p>
    <w:p>
      <w:pPr>
        <w:spacing w:line="600" w:lineRule="exact"/>
        <w:ind w:firstLine="642"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outlineLvl w:val="2"/>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22年一般公共预算财政拨款支出204.89万元，占本年支出合计的100</w:t>
      </w:r>
      <w:r>
        <w:rPr>
          <w:rFonts w:ascii="仿宋" w:hAnsi="仿宋" w:eastAsia="仿宋"/>
          <w:sz w:val="32"/>
          <w:szCs w:val="32"/>
        </w:rPr>
        <w:t>%</w:t>
      </w:r>
      <w:r>
        <w:rPr>
          <w:rFonts w:hint="eastAsia" w:ascii="仿宋" w:hAnsi="仿宋" w:eastAsia="仿宋"/>
          <w:sz w:val="32"/>
          <w:szCs w:val="32"/>
        </w:rPr>
        <w:t>。</w:t>
      </w:r>
      <w:bookmarkStart w:id="29" w:name="_Toc15377211"/>
    </w:p>
    <w:p>
      <w:pPr>
        <w:spacing w:line="600" w:lineRule="exact"/>
        <w:ind w:firstLine="642"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22年一般公共预算财政拨款支出204.89万元，主要用于以下方面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190.27万元，占92.86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5.85万元，占2.86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8.78万元，占4.28</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p>
    <w:p>
      <w:pPr>
        <w:pStyle w:val="8"/>
        <w:rPr>
          <w:rFonts w:ascii="仿宋" w:hAnsi="仿宋" w:eastAsia="仿宋"/>
          <w:szCs w:val="32"/>
        </w:rPr>
      </w:pPr>
      <w:r>
        <w:drawing>
          <wp:inline distT="0" distB="0" distL="114300" distR="114300">
            <wp:extent cx="5267325" cy="2762250"/>
            <wp:effectExtent l="4445" t="4445" r="5080"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960" w:firstLineChars="300"/>
        <w:rPr>
          <w:rFonts w:ascii="仿宋" w:hAnsi="仿宋" w:eastAsia="仿宋"/>
          <w:sz w:val="32"/>
          <w:szCs w:val="32"/>
        </w:rPr>
      </w:pPr>
      <w:r>
        <w:rPr>
          <w:rFonts w:hint="eastAsia" w:ascii="仿宋" w:hAnsi="仿宋" w:eastAsia="仿宋"/>
          <w:sz w:val="32"/>
          <w:szCs w:val="32"/>
        </w:rPr>
        <w:t>图3：一般公共预算财政拨款支出决算结构</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2" w:firstLineChars="200"/>
        <w:outlineLvl w:val="2"/>
        <w:rPr>
          <w:rFonts w:ascii="仿宋" w:hAnsi="仿宋" w:eastAsia="仿宋"/>
          <w:sz w:val="32"/>
          <w:szCs w:val="32"/>
        </w:rPr>
      </w:pPr>
      <w:bookmarkStart w:id="31" w:name="_Toc15378460"/>
      <w:bookmarkStart w:id="32" w:name="_Toc15377213"/>
      <w:bookmarkStart w:id="33" w:name="_Toc15377444"/>
      <w:r>
        <w:rPr>
          <w:rFonts w:hint="eastAsia" w:ascii="仿宋" w:hAnsi="仿宋" w:eastAsia="仿宋"/>
          <w:b/>
          <w:sz w:val="32"/>
          <w:szCs w:val="32"/>
        </w:rPr>
        <w:t>2022年一般公共预算支出决算数为204.89万元</w:t>
      </w:r>
      <w:r>
        <w:rPr>
          <w:rFonts w:hint="eastAsia" w:ascii="仿宋" w:hAnsi="仿宋" w:eastAsia="仿宋"/>
          <w:sz w:val="32"/>
          <w:szCs w:val="32"/>
        </w:rPr>
        <w:t>，</w:t>
      </w:r>
      <w:r>
        <w:rPr>
          <w:rStyle w:val="19"/>
          <w:rFonts w:hint="eastAsia" w:ascii="仿宋" w:hAnsi="仿宋" w:eastAsia="仿宋"/>
          <w:bCs/>
          <w:sz w:val="32"/>
          <w:szCs w:val="32"/>
        </w:rPr>
        <w:t>完成预算100</w:t>
      </w:r>
      <w:r>
        <w:rPr>
          <w:rStyle w:val="19"/>
          <w:rFonts w:ascii="仿宋" w:hAnsi="仿宋" w:eastAsia="仿宋"/>
          <w:bCs/>
          <w:sz w:val="32"/>
          <w:szCs w:val="32"/>
        </w:rPr>
        <w:t>%</w:t>
      </w:r>
      <w:r>
        <w:rPr>
          <w:rStyle w:val="19"/>
          <w:rFonts w:hint="eastAsia" w:ascii="仿宋" w:hAnsi="仿宋" w:eastAsia="仿宋"/>
          <w:bCs/>
          <w:sz w:val="32"/>
          <w:szCs w:val="32"/>
        </w:rPr>
        <w:t>。其中：</w:t>
      </w:r>
      <w:bookmarkEnd w:id="31"/>
      <w:bookmarkEnd w:id="32"/>
      <w:bookmarkEnd w:id="33"/>
    </w:p>
    <w:p>
      <w:pPr>
        <w:spacing w:line="600" w:lineRule="exact"/>
        <w:ind w:firstLine="645"/>
        <w:rPr>
          <w:rFonts w:ascii="仿宋" w:hAnsi="仿宋" w:eastAsia="仿宋"/>
          <w:sz w:val="32"/>
          <w:szCs w:val="32"/>
        </w:rPr>
      </w:pPr>
      <w:r>
        <w:rPr>
          <w:rFonts w:hint="eastAsia" w:ascii="仿宋" w:hAnsi="仿宋" w:eastAsia="仿宋"/>
          <w:sz w:val="32"/>
          <w:szCs w:val="32"/>
        </w:rPr>
        <w:t>1、社会保障和就业（类）行政事业单位养老保险（款）机关事业单位基本养老保险缴费（项）: 支出决算为11.70万元，完成预算100%。</w:t>
      </w:r>
    </w:p>
    <w:p>
      <w:pPr>
        <w:spacing w:line="600" w:lineRule="exact"/>
        <w:ind w:firstLine="645"/>
        <w:rPr>
          <w:rFonts w:ascii="仿宋" w:hAnsi="仿宋" w:eastAsia="仿宋"/>
          <w:sz w:val="32"/>
          <w:szCs w:val="32"/>
        </w:rPr>
      </w:pPr>
      <w:r>
        <w:rPr>
          <w:rFonts w:hint="eastAsia" w:ascii="仿宋" w:hAnsi="仿宋" w:eastAsia="仿宋"/>
          <w:sz w:val="32"/>
          <w:szCs w:val="32"/>
        </w:rPr>
        <w:t>2、.社会保障和就业（类）社会福利（款）殡葬（项）: 支出决算为178.56万元，完成预算100%。</w:t>
      </w:r>
    </w:p>
    <w:p>
      <w:pPr>
        <w:spacing w:line="600" w:lineRule="exact"/>
        <w:ind w:firstLine="645"/>
        <w:rPr>
          <w:rFonts w:ascii="仿宋" w:hAnsi="仿宋" w:eastAsia="仿宋"/>
          <w:sz w:val="32"/>
          <w:szCs w:val="32"/>
        </w:rPr>
      </w:pPr>
      <w:r>
        <w:rPr>
          <w:rFonts w:hint="eastAsia" w:ascii="仿宋" w:hAnsi="仿宋" w:eastAsia="仿宋"/>
          <w:sz w:val="32"/>
          <w:szCs w:val="32"/>
        </w:rPr>
        <w:t>3、卫生健康（类）行政事业单位医疗（款）事业单位医疗（项）:支出决算为5.85万元，完成预算100%。</w:t>
      </w:r>
    </w:p>
    <w:p>
      <w:pPr>
        <w:spacing w:line="600" w:lineRule="exact"/>
        <w:ind w:firstLine="645"/>
        <w:rPr>
          <w:rFonts w:ascii="仿宋" w:hAnsi="仿宋" w:eastAsia="仿宋"/>
          <w:sz w:val="32"/>
          <w:szCs w:val="32"/>
        </w:rPr>
      </w:pPr>
      <w:r>
        <w:rPr>
          <w:rFonts w:hint="eastAsia" w:ascii="仿宋" w:hAnsi="仿宋" w:eastAsia="仿宋"/>
          <w:sz w:val="32"/>
          <w:szCs w:val="32"/>
        </w:rPr>
        <w:t>4、住房保障（类）住房改革支出（款）住房公积金（项）: 支出决算为8.78万元，完成预算100%。</w:t>
      </w:r>
    </w:p>
    <w:p>
      <w:pPr>
        <w:spacing w:line="600" w:lineRule="exact"/>
        <w:ind w:firstLine="640"/>
        <w:rPr>
          <w:rStyle w:val="30"/>
        </w:rPr>
      </w:pPr>
      <w:r>
        <w:rPr>
          <w:rStyle w:val="19"/>
          <w:rFonts w:hint="eastAsia" w:ascii="仿宋" w:hAnsi="仿宋" w:eastAsia="仿宋"/>
          <w:bCs/>
          <w:sz w:val="32"/>
          <w:szCs w:val="32"/>
        </w:rPr>
        <w:t xml:space="preserve"> </w:t>
      </w: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4"/>
      <w:bookmarkEnd w:id="35"/>
      <w:r>
        <w:rPr>
          <w:rStyle w:val="30"/>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22年一般公共预算财政拨款基本支出136.14万元，其中：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人员经费130.02万元，主要包括：基本工资、津贴补贴、绩效工资、机关事业单位基本养老保险缴费、职工基本医疗保险缴费、其他社会保障缴费、其他工资福利支出、住房公积金等。</w:t>
      </w:r>
    </w:p>
    <w:p>
      <w:pPr>
        <w:spacing w:line="600" w:lineRule="exact"/>
        <w:ind w:firstLine="645"/>
        <w:rPr>
          <w:rFonts w:ascii="仿宋" w:hAnsi="仿宋" w:eastAsia="仿宋"/>
          <w:sz w:val="32"/>
          <w:szCs w:val="32"/>
        </w:rPr>
      </w:pPr>
      <w:r>
        <w:rPr>
          <w:rFonts w:hint="eastAsia" w:ascii="仿宋" w:hAnsi="仿宋" w:eastAsia="仿宋"/>
          <w:sz w:val="32"/>
          <w:szCs w:val="32"/>
        </w:rPr>
        <w:t>公用经费6.12万元，主要包括：办公费、水费、电费、邮电费、差旅费、公务接待费、福利费、其他交通费等。</w:t>
      </w:r>
    </w:p>
    <w:p>
      <w:pPr>
        <w:spacing w:line="600" w:lineRule="exact"/>
        <w:ind w:firstLine="640"/>
        <w:outlineLvl w:val="1"/>
        <w:rPr>
          <w:rStyle w:val="30"/>
          <w:rFonts w:ascii="黑体" w:hAnsi="黑体" w:eastAsia="黑体"/>
          <w:b w:val="0"/>
        </w:rPr>
      </w:pPr>
      <w:bookmarkStart w:id="36" w:name="_Toc15377215"/>
      <w:bookmarkStart w:id="37" w:name="_Toc15396609"/>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22年“三公”经费财政拨款支出决算为0.19万元，完成预算100</w:t>
      </w:r>
      <w:r>
        <w:rPr>
          <w:rFonts w:ascii="仿宋" w:hAnsi="仿宋" w:eastAsia="仿宋"/>
          <w:sz w:val="32"/>
          <w:szCs w:val="32"/>
        </w:rPr>
        <w:t>%</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；公务接待费支出决算0.19万元，占100</w:t>
      </w:r>
      <w:r>
        <w:rPr>
          <w:rFonts w:ascii="仿宋" w:hAnsi="仿宋" w:eastAsia="仿宋"/>
          <w:sz w:val="32"/>
          <w:szCs w:val="32"/>
        </w:rPr>
        <w:t>%</w:t>
      </w:r>
      <w:r>
        <w:rPr>
          <w:rFonts w:hint="eastAsia" w:ascii="仿宋" w:hAnsi="仿宋" w:eastAsia="仿宋"/>
          <w:sz w:val="32"/>
          <w:szCs w:val="32"/>
        </w:rPr>
        <w:t>。具体情况如下：</w:t>
      </w:r>
    </w:p>
    <w:p>
      <w:pPr>
        <w:pStyle w:val="8"/>
      </w:pPr>
      <w:r>
        <w:drawing>
          <wp:inline distT="0" distB="0" distL="114300" distR="114300">
            <wp:extent cx="5066030" cy="2667635"/>
            <wp:effectExtent l="4445" t="4445" r="15875" b="13970"/>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1609" w:firstLineChars="503"/>
        <w:rPr>
          <w:rFonts w:ascii="仿宋" w:hAnsi="仿宋" w:eastAsia="仿宋"/>
          <w:sz w:val="32"/>
          <w:szCs w:val="32"/>
        </w:rPr>
      </w:pPr>
      <w:r>
        <w:rPr>
          <w:rFonts w:hint="eastAsia" w:ascii="仿宋" w:hAnsi="仿宋" w:eastAsia="仿宋"/>
          <w:sz w:val="32"/>
          <w:szCs w:val="32"/>
        </w:rPr>
        <w:t>图4：“三公”经费财政拨款支出结构</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0.19万元，</w:t>
      </w:r>
      <w:r>
        <w:rPr>
          <w:rStyle w:val="19"/>
          <w:rFonts w:hint="eastAsia" w:ascii="仿宋" w:hAnsi="仿宋" w:eastAsia="仿宋"/>
          <w:b w:val="0"/>
          <w:bCs/>
          <w:sz w:val="32"/>
          <w:szCs w:val="32"/>
        </w:rPr>
        <w:t>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0.19</w:t>
      </w:r>
      <w:r>
        <w:rPr>
          <w:rFonts w:hint="eastAsia" w:ascii="仿宋_GB2312" w:eastAsia="仿宋_GB2312"/>
          <w:sz w:val="32"/>
          <w:szCs w:val="32"/>
        </w:rPr>
        <w:t>万元，主要用于执行公务、开展业务活动开支的交通费、住宿费、用餐费等。国内公务接待4批次，24人次（不包括陪同人员），共计支出0.19万元，具体内容包括：上级检查督导工作接待用餐费用、县区交流学习等。</w:t>
      </w:r>
    </w:p>
    <w:p>
      <w:pPr>
        <w:spacing w:line="600" w:lineRule="exact"/>
        <w:ind w:firstLine="642"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p>
    <w:p>
      <w:pPr>
        <w:spacing w:line="600" w:lineRule="exact"/>
        <w:ind w:firstLine="640"/>
        <w:outlineLvl w:val="1"/>
        <w:rPr>
          <w:rStyle w:val="30"/>
          <w:rFonts w:ascii="黑体" w:hAnsi="黑体" w:eastAsia="黑体"/>
        </w:rPr>
      </w:pPr>
      <w:bookmarkStart w:id="40" w:name="_Toc15377218"/>
      <w:bookmarkStart w:id="41" w:name="_Toc15396610"/>
      <w:r>
        <w:rPr>
          <w:rFonts w:hint="eastAsia" w:ascii="黑体" w:eastAsia="黑体"/>
          <w:sz w:val="32"/>
          <w:szCs w:val="32"/>
        </w:rPr>
        <w:t>八、</w:t>
      </w:r>
      <w:r>
        <w:rPr>
          <w:rStyle w:val="30"/>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22年政府性基金预算财政拨款支出0万元。</w:t>
      </w:r>
    </w:p>
    <w:p>
      <w:pPr>
        <w:numPr>
          <w:ilvl w:val="0"/>
          <w:numId w:val="3"/>
        </w:numPr>
        <w:spacing w:line="600" w:lineRule="exact"/>
        <w:ind w:firstLine="640"/>
        <w:outlineLvl w:val="1"/>
        <w:rPr>
          <w:rStyle w:val="30"/>
          <w:rFonts w:ascii="黑体" w:hAnsi="黑体" w:eastAsia="黑体"/>
          <w:b w:val="0"/>
        </w:rPr>
      </w:pPr>
      <w:bookmarkStart w:id="42" w:name="_Toc15377219"/>
      <w:bookmarkStart w:id="43" w:name="_Toc15396611"/>
      <w:r>
        <w:rPr>
          <w:rStyle w:val="30"/>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numPr>
          <w:ilvl w:val="0"/>
          <w:numId w:val="3"/>
        </w:numPr>
        <w:spacing w:line="600" w:lineRule="exact"/>
        <w:ind w:firstLine="640"/>
        <w:outlineLvl w:val="1"/>
        <w:rPr>
          <w:rStyle w:val="30"/>
          <w:rFonts w:ascii="黑体" w:hAnsi="黑体" w:eastAsia="黑体"/>
          <w:b w:val="0"/>
        </w:rPr>
      </w:pPr>
      <w:bookmarkStart w:id="44" w:name="_Toc15377221"/>
      <w:bookmarkStart w:id="45" w:name="_Toc15396612"/>
      <w:r>
        <w:rPr>
          <w:rStyle w:val="30"/>
          <w:rFonts w:hint="eastAsia" w:ascii="黑体" w:hAnsi="黑体" w:eastAsia="黑体"/>
          <w:b w:val="0"/>
        </w:rPr>
        <w:t>其他重要事项的情况说明</w:t>
      </w:r>
      <w:bookmarkEnd w:id="44"/>
      <w:bookmarkEnd w:id="45"/>
    </w:p>
    <w:p>
      <w:pPr>
        <w:spacing w:line="600" w:lineRule="exact"/>
        <w:ind w:firstLine="642"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22年，剑阁县殡仪馆机关运行经费支出6.12万元。</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22年，剑阁县殡仪馆政府采购支出总额0万元，其中：政府采购货物支出0万元、政府采购工程支出0万元、政府采购服务支出0万元。授予中小企业合同金额0万元，其中：授予小微企业合同金额0万元。</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日，剑阁县殡仪馆共有车辆0辆，其中：主要领导干部用车0辆、机要通信用车0辆、应急保障用车0辆、其他用车0辆，。单价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5"/>
        <w:spacing w:before="93"/>
        <w:ind w:firstLine="640" w:firstLineChars="200"/>
        <w:rPr>
          <w:highlight w:val="yellow"/>
        </w:rPr>
      </w:pPr>
      <w:r>
        <w:rPr>
          <w:rFonts w:hint="eastAsia" w:hAnsi="仿宋_GB2312" w:cs="仿宋_GB2312"/>
          <w:sz w:val="32"/>
          <w:szCs w:val="32"/>
        </w:rPr>
        <w:t>根据预算绩效管理要求，本单位在2022年度预算编制阶段，组织对殡葬项目项目开展了预算事前绩效评估，对该项目编制了绩效目标，预算执行过程中，选取该项目开展绩效监控，组织对该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9"/>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9"/>
          <w:rFonts w:hint="eastAsia" w:ascii="黑体" w:hAnsi="黑体" w:eastAsia="黑体"/>
          <w:b w:val="0"/>
        </w:rPr>
        <w:t>词解释</w:t>
      </w:r>
      <w:bookmarkEnd w:id="49"/>
      <w:bookmarkEnd w:id="50"/>
    </w:p>
    <w:p>
      <w:pPr>
        <w:spacing w:line="600" w:lineRule="exact"/>
        <w:jc w:val="left"/>
        <w:rPr>
          <w:rFonts w:ascii="宋体"/>
          <w:b/>
          <w:sz w:val="44"/>
          <w:szCs w:val="44"/>
        </w:rPr>
      </w:pP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2.一般公共预算拨款收入：指县级财政当年拨付的资金。</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3.社会保障和就业（类）行政事业单位养老支出（款）机关事业单位基本养老保险缴费支出（项）：指机关事业单位实施养老保险制度由单位缴纳的基本养老保险费支出。</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4.社会保障和就业（类）社会福利（款）殡葬（项）：指殡葬管理和殡葬服务方面的支出，包括民政部门直属的殡仪馆、公墓、殡葬管理服务机构的支出。</w:t>
      </w:r>
    </w:p>
    <w:p>
      <w:pPr>
        <w:pStyle w:val="27"/>
        <w:spacing w:line="560" w:lineRule="exact"/>
        <w:ind w:firstLine="640" w:firstLineChars="200"/>
        <w:rPr>
          <w:rFonts w:ascii="仿宋_GB2312" w:eastAsia="仿宋_GB2312"/>
          <w:sz w:val="32"/>
          <w:szCs w:val="32"/>
        </w:rPr>
      </w:pPr>
      <w:r>
        <w:rPr>
          <w:rFonts w:ascii="仿宋_GB2312" w:eastAsia="仿宋_GB2312"/>
          <w:color w:val="auto"/>
          <w:sz w:val="32"/>
          <w:szCs w:val="32"/>
        </w:rPr>
        <w:t>5.</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宋体"/>
          <w:b/>
          <w:sz w:val="44"/>
          <w:szCs w:val="44"/>
        </w:rPr>
      </w:pPr>
      <w:bookmarkStart w:id="51" w:name="_Toc15377226"/>
      <w:r>
        <w:rPr>
          <w:rFonts w:ascii="宋体"/>
          <w:b/>
          <w:sz w:val="44"/>
          <w:szCs w:val="44"/>
        </w:rPr>
        <w:br w:type="page"/>
      </w:r>
      <w:bookmarkStart w:id="52" w:name="_Toc15396614"/>
    </w:p>
    <w:p>
      <w:pPr>
        <w:spacing w:line="600" w:lineRule="exact"/>
        <w:jc w:val="center"/>
        <w:outlineLvl w:val="0"/>
        <w:rPr>
          <w:rFonts w:ascii="黑体" w:hAnsi="黑体" w:eastAsia="黑体"/>
          <w:sz w:val="44"/>
          <w:szCs w:val="44"/>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spacing w:line="600" w:lineRule="exact"/>
        <w:jc w:val="center"/>
        <w:outlineLvl w:val="0"/>
        <w:rPr>
          <w:rFonts w:ascii="黑体" w:hAnsi="黑体" w:eastAsia="黑体"/>
          <w:bCs/>
          <w:kern w:val="44"/>
          <w:sz w:val="44"/>
          <w:szCs w:val="44"/>
        </w:rPr>
      </w:pPr>
      <w:r>
        <w:rPr>
          <w:rFonts w:hint="eastAsia" w:ascii="黑体" w:hAnsi="黑体" w:eastAsia="黑体"/>
          <w:sz w:val="44"/>
          <w:szCs w:val="44"/>
        </w:rPr>
        <w:t>第</w:t>
      </w:r>
      <w:r>
        <w:rPr>
          <w:rStyle w:val="29"/>
          <w:rFonts w:hint="eastAsia" w:ascii="黑体" w:hAnsi="黑体" w:eastAsia="黑体"/>
          <w:b w:val="0"/>
        </w:rPr>
        <w:t>四部分 附件</w:t>
      </w:r>
      <w:bookmarkEnd w:id="52"/>
    </w:p>
    <w:p>
      <w:pPr>
        <w:spacing w:line="600" w:lineRule="exact"/>
        <w:jc w:val="center"/>
        <w:outlineLvl w:val="0"/>
        <w:rPr>
          <w:rFonts w:ascii="宋体" w:hAnsi="宋体" w:cs="宋体"/>
          <w:b/>
          <w:kern w:val="0"/>
          <w:sz w:val="32"/>
          <w:szCs w:val="32"/>
        </w:rPr>
      </w:pPr>
      <w:bookmarkStart w:id="53" w:name="_Toc15396618"/>
      <w:r>
        <w:rPr>
          <w:rFonts w:hint="eastAsia" w:ascii="宋体" w:hAnsi="宋体" w:cs="宋体"/>
          <w:b/>
          <w:kern w:val="0"/>
          <w:sz w:val="32"/>
          <w:szCs w:val="32"/>
        </w:rPr>
        <w:t>部门预算项目支出绩效自评表（2022年度）</w:t>
      </w:r>
    </w:p>
    <w:tbl>
      <w:tblPr>
        <w:tblStyle w:val="17"/>
        <w:tblW w:w="14966" w:type="dxa"/>
        <w:tblInd w:w="93" w:type="dxa"/>
        <w:tblLayout w:type="fixed"/>
        <w:tblCellMar>
          <w:top w:w="0" w:type="dxa"/>
          <w:left w:w="108" w:type="dxa"/>
          <w:bottom w:w="0" w:type="dxa"/>
          <w:right w:w="108" w:type="dxa"/>
        </w:tblCellMar>
      </w:tblPr>
      <w:tblGrid>
        <w:gridCol w:w="843"/>
        <w:gridCol w:w="191"/>
        <w:gridCol w:w="2328"/>
        <w:gridCol w:w="1306"/>
        <w:gridCol w:w="2914"/>
        <w:gridCol w:w="816"/>
        <w:gridCol w:w="203"/>
        <w:gridCol w:w="872"/>
        <w:gridCol w:w="826"/>
        <w:gridCol w:w="193"/>
        <w:gridCol w:w="1167"/>
        <w:gridCol w:w="1019"/>
        <w:gridCol w:w="727"/>
        <w:gridCol w:w="1561"/>
      </w:tblGrid>
      <w:tr>
        <w:tblPrEx>
          <w:tblCellMar>
            <w:top w:w="0" w:type="dxa"/>
            <w:left w:w="108" w:type="dxa"/>
            <w:bottom w:w="0" w:type="dxa"/>
            <w:right w:w="108" w:type="dxa"/>
          </w:tblCellMar>
        </w:tblPrEx>
        <w:trPr>
          <w:trHeight w:val="96" w:hRule="atLeast"/>
        </w:trPr>
        <w:tc>
          <w:tcPr>
            <w:tcW w:w="3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116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殡葬</w:t>
            </w:r>
          </w:p>
        </w:tc>
      </w:tr>
      <w:tr>
        <w:tblPrEx>
          <w:tblCellMar>
            <w:top w:w="0" w:type="dxa"/>
            <w:left w:w="108" w:type="dxa"/>
            <w:bottom w:w="0" w:type="dxa"/>
            <w:right w:w="108" w:type="dxa"/>
          </w:tblCellMar>
        </w:tblPrEx>
        <w:trPr>
          <w:trHeight w:val="111" w:hRule="atLeast"/>
        </w:trPr>
        <w:tc>
          <w:tcPr>
            <w:tcW w:w="3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50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剑阁县</w:t>
            </w:r>
            <w:r>
              <w:rPr>
                <w:rFonts w:hint="eastAsia" w:ascii="宋体" w:hAnsi="宋体" w:cs="宋体"/>
                <w:color w:val="000000"/>
                <w:kern w:val="0"/>
                <w:sz w:val="18"/>
                <w:szCs w:val="18"/>
              </w:rPr>
              <w:t>民政局</w:t>
            </w:r>
          </w:p>
        </w:tc>
        <w:tc>
          <w:tcPr>
            <w:tcW w:w="1901" w:type="dxa"/>
            <w:gridSpan w:val="3"/>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46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剑阁县</w:t>
            </w:r>
            <w:r>
              <w:rPr>
                <w:rFonts w:hint="eastAsia" w:ascii="宋体" w:hAnsi="宋体" w:cs="宋体"/>
                <w:color w:val="000000"/>
                <w:kern w:val="0"/>
                <w:sz w:val="18"/>
                <w:szCs w:val="18"/>
              </w:rPr>
              <w:t>殡仪馆</w:t>
            </w:r>
          </w:p>
        </w:tc>
      </w:tr>
      <w:tr>
        <w:tblPrEx>
          <w:tblCellMar>
            <w:top w:w="0" w:type="dxa"/>
            <w:left w:w="108" w:type="dxa"/>
            <w:bottom w:w="0" w:type="dxa"/>
            <w:right w:w="108" w:type="dxa"/>
          </w:tblCellMar>
        </w:tblPrEx>
        <w:trPr>
          <w:trHeight w:val="68" w:hRule="atLeast"/>
        </w:trPr>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25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50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656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168"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5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0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保障全馆工作人员的工资福利及日常运转，做好殡葬服务工作，支付“何鑫、罗东来”两位烈士丧葬费，执行党和国家关于殡葬改革工作的政策和法规。</w:t>
            </w:r>
          </w:p>
        </w:tc>
        <w:tc>
          <w:tcPr>
            <w:tcW w:w="656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宋体" w:hAnsi="宋体" w:cs="宋体"/>
                <w:color w:val="000000"/>
                <w:kern w:val="0"/>
                <w:sz w:val="18"/>
                <w:szCs w:val="18"/>
              </w:rPr>
              <w:t>保障了全馆工作人员的工资福利及日常运转，做好殡葬服务工作，支付了“何鑫、罗东来”两位烈士丧葬费，执行党和国家关于殡葬改革工作的政策和法规。</w:t>
            </w:r>
          </w:p>
        </w:tc>
      </w:tr>
      <w:tr>
        <w:tblPrEx>
          <w:tblCellMar>
            <w:top w:w="0" w:type="dxa"/>
            <w:left w:w="108" w:type="dxa"/>
            <w:bottom w:w="0" w:type="dxa"/>
            <w:right w:w="108" w:type="dxa"/>
          </w:tblCellMar>
        </w:tblPrEx>
        <w:trPr>
          <w:trHeight w:val="163"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116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对12名正式职工按月足额发放工资、年底完成支付两位烈士丧葬费用9.2551万元和保障了馆内的日常运转</w:t>
            </w:r>
          </w:p>
        </w:tc>
      </w:tr>
      <w:tr>
        <w:tblPrEx>
          <w:tblCellMar>
            <w:top w:w="0" w:type="dxa"/>
            <w:left w:w="108" w:type="dxa"/>
            <w:bottom w:w="0" w:type="dxa"/>
            <w:right w:w="108" w:type="dxa"/>
          </w:tblCellMar>
        </w:tblPrEx>
        <w:trPr>
          <w:trHeight w:val="165" w:hRule="atLeast"/>
        </w:trPr>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29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91"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225.26</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68.76</w:t>
            </w:r>
          </w:p>
        </w:tc>
        <w:tc>
          <w:tcPr>
            <w:tcW w:w="29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68.76</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10</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rPr>
              <w:t>.</w:t>
            </w:r>
          </w:p>
        </w:tc>
      </w:tr>
      <w:tr>
        <w:tblPrEx>
          <w:tblCellMar>
            <w:top w:w="0" w:type="dxa"/>
            <w:left w:w="108" w:type="dxa"/>
            <w:bottom w:w="0" w:type="dxa"/>
            <w:right w:w="108" w:type="dxa"/>
          </w:tblCellMar>
        </w:tblPrEx>
        <w:trPr>
          <w:trHeight w:val="161"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225.26</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68.76</w:t>
            </w:r>
          </w:p>
        </w:tc>
        <w:tc>
          <w:tcPr>
            <w:tcW w:w="29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68.76</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161"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9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96"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9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89"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29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107" w:hRule="atLeast"/>
        </w:trPr>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180"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519" w:type="dxa"/>
            <w:gridSpan w:val="2"/>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p>
            <w:pPr>
              <w:jc w:val="center"/>
              <w:textAlignment w:val="center"/>
              <w:rPr>
                <w:rFonts w:ascii="宋体" w:hAnsi="宋体" w:cs="宋体"/>
                <w:color w:val="000000"/>
                <w:sz w:val="18"/>
                <w:szCs w:val="18"/>
              </w:rPr>
            </w:pP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数量</w:t>
            </w:r>
            <w:r>
              <w:rPr>
                <w:rFonts w:ascii="宋体" w:hAnsi="宋体" w:cs="宋体"/>
                <w:color w:val="000000"/>
                <w:kern w:val="0"/>
                <w:sz w:val="18"/>
                <w:szCs w:val="18"/>
              </w:rPr>
              <w:t>指标</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殡仪馆人员补助</w:t>
            </w: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12</w:t>
            </w: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人</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sz w:val="16"/>
                <w:szCs w:val="16"/>
              </w:rPr>
              <w:t>12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20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180"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519" w:type="dxa"/>
            <w:gridSpan w:val="2"/>
            <w:vMerge w:val="continue"/>
            <w:tcBorders>
              <w:left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“何鑫、罗东来”两位烈士丧葬费</w:t>
            </w: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人</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sz w:val="16"/>
                <w:szCs w:val="16"/>
              </w:rPr>
              <w:t>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20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180"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519" w:type="dxa"/>
            <w:gridSpan w:val="2"/>
            <w:vMerge w:val="continue"/>
            <w:tcBorders>
              <w:left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殡仪馆运转经费运转保障率</w:t>
            </w: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sz w:val="16"/>
                <w:szCs w:val="16"/>
              </w:rPr>
              <w:t>100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20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180"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519" w:type="dxa"/>
            <w:gridSpan w:val="2"/>
            <w:vMerge w:val="continue"/>
            <w:tcBorders>
              <w:left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完成时间</w:t>
            </w: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sz w:val="16"/>
                <w:szCs w:val="16"/>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10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180"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519" w:type="dxa"/>
            <w:gridSpan w:val="2"/>
            <w:vMerge w:val="continue"/>
            <w:tcBorders>
              <w:left w:val="single" w:color="000000" w:sz="4" w:space="0"/>
              <w:right w:val="single" w:color="000000" w:sz="4" w:space="0"/>
            </w:tcBorders>
            <w:shd w:val="clear" w:color="auto" w:fill="auto"/>
            <w:vAlign w:val="center"/>
          </w:tcPr>
          <w:p>
            <w:pPr>
              <w:jc w:val="center"/>
              <w:textAlignment w:val="center"/>
              <w:rPr>
                <w:rFonts w:ascii="宋体" w:hAnsi="宋体" w:cs="宋体"/>
                <w:color w:val="000000"/>
                <w:sz w:val="18"/>
                <w:szCs w:val="18"/>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推进殡葬改革工作有序开展</w:t>
            </w: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 90</w:t>
            </w: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sz w:val="16"/>
                <w:szCs w:val="16"/>
              </w:rPr>
              <w:t>90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10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180"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519" w:type="dxa"/>
            <w:gridSpan w:val="2"/>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满意度</w:t>
            </w:r>
            <w:r>
              <w:rPr>
                <w:rFonts w:ascii="宋体" w:hAnsi="宋体" w:cs="宋体"/>
                <w:color w:val="000000"/>
                <w:kern w:val="0"/>
                <w:sz w:val="18"/>
                <w:szCs w:val="18"/>
              </w:rPr>
              <w:t>指标</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丧属及职工满意度</w:t>
            </w: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 90</w:t>
            </w: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sz w:val="16"/>
                <w:szCs w:val="16"/>
              </w:rPr>
              <w:t>90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10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68" w:hRule="atLeast"/>
        </w:trPr>
        <w:tc>
          <w:tcPr>
            <w:tcW w:w="1165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90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142" w:hRule="atLeast"/>
        </w:trPr>
        <w:tc>
          <w:tcPr>
            <w:tcW w:w="1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1393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sz w:val="16"/>
                <w:szCs w:val="16"/>
              </w:rPr>
              <w:t>根据年度工作开展，总的来说，本项目2022年度预算执行情况及绩效评价较好 。</w:t>
            </w:r>
          </w:p>
        </w:tc>
      </w:tr>
      <w:tr>
        <w:tblPrEx>
          <w:tblCellMar>
            <w:top w:w="0" w:type="dxa"/>
            <w:left w:w="108" w:type="dxa"/>
            <w:bottom w:w="0" w:type="dxa"/>
            <w:right w:w="108" w:type="dxa"/>
          </w:tblCellMar>
        </w:tblPrEx>
        <w:trPr>
          <w:trHeight w:val="134" w:hRule="atLeast"/>
        </w:trPr>
        <w:tc>
          <w:tcPr>
            <w:tcW w:w="1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1393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sz w:val="16"/>
                <w:szCs w:val="16"/>
              </w:rPr>
              <w:t>因财政困难，本项目资金在年底才预算到位。导致项目实施滞后。</w:t>
            </w:r>
          </w:p>
        </w:tc>
      </w:tr>
      <w:tr>
        <w:tblPrEx>
          <w:tblCellMar>
            <w:top w:w="0" w:type="dxa"/>
            <w:left w:w="108" w:type="dxa"/>
            <w:bottom w:w="0" w:type="dxa"/>
            <w:right w:w="108" w:type="dxa"/>
          </w:tblCellMar>
        </w:tblPrEx>
        <w:trPr>
          <w:trHeight w:val="149" w:hRule="atLeast"/>
        </w:trPr>
        <w:tc>
          <w:tcPr>
            <w:tcW w:w="1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1393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sz w:val="16"/>
                <w:szCs w:val="16"/>
              </w:rPr>
              <w:t>请财政在下年度中及时拨付项目进度款项。</w:t>
            </w:r>
          </w:p>
        </w:tc>
      </w:tr>
    </w:tbl>
    <w:p>
      <w:pPr>
        <w:spacing w:line="600" w:lineRule="exact"/>
        <w:outlineLvl w:val="0"/>
        <w:rPr>
          <w:rFonts w:ascii="黑体" w:hAnsi="黑体" w:eastAsia="黑体"/>
          <w:sz w:val="44"/>
          <w:szCs w:val="44"/>
        </w:rPr>
        <w:sectPr>
          <w:pgSz w:w="16838" w:h="11906" w:orient="landscape"/>
          <w:pgMar w:top="1418" w:right="1134" w:bottom="663" w:left="1134" w:header="851" w:footer="992" w:gutter="0"/>
          <w:pgNumType w:start="1"/>
          <w:cols w:space="425" w:num="1"/>
          <w:titlePg/>
          <w:docGrid w:type="lines" w:linePitch="312" w:charSpace="0"/>
        </w:sect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9"/>
          <w:rFonts w:hint="eastAsia" w:ascii="黑体" w:hAnsi="黑体" w:eastAsia="黑体"/>
          <w:b w:val="0"/>
        </w:rPr>
        <w:t>五部分 附表</w:t>
      </w:r>
    </w:p>
    <w:p>
      <w:pPr>
        <w:pStyle w:val="3"/>
        <w:rPr>
          <w:rFonts w:ascii="仿宋" w:hAnsi="仿宋" w:eastAsia="仿宋"/>
        </w:rPr>
      </w:pPr>
      <w:bookmarkStart w:id="54" w:name="_Toc15396619"/>
      <w:r>
        <w:rPr>
          <w:rFonts w:hint="eastAsia" w:ascii="仿宋" w:hAnsi="仿宋" w:eastAsia="仿宋"/>
          <w:b w:val="0"/>
        </w:rPr>
        <w:t>一、收</w:t>
      </w:r>
      <w:r>
        <w:rPr>
          <w:rStyle w:val="30"/>
          <w:rFonts w:hint="eastAsia" w:ascii="仿宋" w:hAnsi="仿宋" w:eastAsia="仿宋"/>
          <w:b w:val="0"/>
          <w:bCs w:val="0"/>
        </w:rPr>
        <w:t>入支出决算总表</w:t>
      </w:r>
      <w:bookmarkEnd w:id="54"/>
    </w:p>
    <w:p>
      <w:pPr>
        <w:pStyle w:val="3"/>
        <w:rPr>
          <w:rFonts w:ascii="仿宋" w:hAnsi="仿宋" w:eastAsia="仿宋"/>
        </w:rPr>
      </w:pPr>
      <w:bookmarkStart w:id="55" w:name="_Toc15396620"/>
      <w:r>
        <w:rPr>
          <w:rFonts w:hint="eastAsia" w:ascii="仿宋" w:hAnsi="仿宋" w:eastAsia="仿宋"/>
          <w:b w:val="0"/>
        </w:rPr>
        <w:t>二、收</w:t>
      </w:r>
      <w:r>
        <w:rPr>
          <w:rStyle w:val="30"/>
          <w:rFonts w:hint="eastAsia" w:ascii="仿宋" w:hAnsi="仿宋" w:eastAsia="仿宋"/>
          <w:b w:val="0"/>
          <w:bCs w:val="0"/>
        </w:rPr>
        <w:t>入决算表</w:t>
      </w:r>
      <w:bookmarkEnd w:id="55"/>
    </w:p>
    <w:p>
      <w:pPr>
        <w:pStyle w:val="3"/>
        <w:rPr>
          <w:rFonts w:ascii="仿宋" w:hAnsi="仿宋" w:eastAsia="仿宋"/>
        </w:rPr>
      </w:pPr>
      <w:bookmarkStart w:id="56"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56"/>
    </w:p>
    <w:p>
      <w:pPr>
        <w:pStyle w:val="3"/>
        <w:rPr>
          <w:rFonts w:ascii="仿宋" w:hAnsi="仿宋" w:eastAsia="仿宋"/>
          <w:b w:val="0"/>
        </w:rPr>
      </w:pPr>
      <w:bookmarkStart w:id="57"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57"/>
    </w:p>
    <w:p>
      <w:pPr>
        <w:pStyle w:val="3"/>
        <w:rPr>
          <w:rStyle w:val="30"/>
          <w:rFonts w:ascii="仿宋" w:hAnsi="仿宋" w:eastAsia="仿宋"/>
          <w:b w:val="0"/>
          <w:bCs w:val="0"/>
        </w:rPr>
      </w:pPr>
      <w:bookmarkStart w:id="58"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58"/>
      <w:bookmarkStart w:id="59" w:name="_Toc15396624"/>
    </w:p>
    <w:p>
      <w:pPr>
        <w:pStyle w:val="3"/>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59"/>
    </w:p>
    <w:p>
      <w:pPr>
        <w:pStyle w:val="3"/>
        <w:rPr>
          <w:rFonts w:ascii="仿宋" w:hAnsi="仿宋" w:eastAsia="仿宋"/>
        </w:rPr>
      </w:pPr>
      <w:bookmarkStart w:id="60"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60"/>
    </w:p>
    <w:p>
      <w:pPr>
        <w:pStyle w:val="3"/>
        <w:rPr>
          <w:rFonts w:ascii="仿宋" w:hAnsi="仿宋" w:eastAsia="仿宋"/>
        </w:rPr>
      </w:pPr>
      <w:bookmarkStart w:id="61"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61"/>
    </w:p>
    <w:p>
      <w:pPr>
        <w:pStyle w:val="3"/>
        <w:rPr>
          <w:rFonts w:ascii="仿宋" w:hAnsi="仿宋" w:eastAsia="仿宋"/>
        </w:rPr>
      </w:pPr>
      <w:bookmarkStart w:id="62"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62"/>
    </w:p>
    <w:p>
      <w:pPr>
        <w:pStyle w:val="3"/>
        <w:rPr>
          <w:rFonts w:ascii="仿宋" w:hAnsi="仿宋" w:eastAsia="仿宋"/>
        </w:rPr>
      </w:pPr>
      <w:bookmarkStart w:id="63" w:name="_Toc15396628"/>
      <w:r>
        <w:rPr>
          <w:rStyle w:val="30"/>
          <w:rFonts w:hint="eastAsia" w:ascii="仿宋" w:hAnsi="仿宋" w:eastAsia="仿宋"/>
          <w:b w:val="0"/>
          <w:bCs w:val="0"/>
        </w:rPr>
        <w:t>十、</w:t>
      </w:r>
      <w:bookmarkEnd w:id="63"/>
      <w:r>
        <w:rPr>
          <w:rFonts w:hint="eastAsia" w:ascii="仿宋" w:hAnsi="仿宋" w:eastAsia="仿宋"/>
          <w:b w:val="0"/>
        </w:rPr>
        <w:t>政</w:t>
      </w:r>
      <w:r>
        <w:rPr>
          <w:rStyle w:val="30"/>
          <w:rFonts w:hint="eastAsia" w:ascii="仿宋" w:hAnsi="仿宋" w:eastAsia="仿宋"/>
          <w:b w:val="0"/>
          <w:bCs w:val="0"/>
        </w:rPr>
        <w:t>府性基金预算财政拨款收入支出决算表</w:t>
      </w:r>
    </w:p>
    <w:p>
      <w:pPr>
        <w:pStyle w:val="3"/>
        <w:rPr>
          <w:rFonts w:ascii="仿宋" w:hAnsi="仿宋" w:eastAsia="仿宋"/>
        </w:rPr>
      </w:pPr>
      <w:bookmarkStart w:id="64" w:name="_Toc15396629"/>
      <w:r>
        <w:rPr>
          <w:rStyle w:val="30"/>
          <w:rFonts w:hint="eastAsia" w:ascii="仿宋" w:hAnsi="仿宋" w:eastAsia="仿宋"/>
          <w:b w:val="0"/>
          <w:bCs w:val="0"/>
        </w:rPr>
        <w:t>十一、</w:t>
      </w:r>
      <w:bookmarkEnd w:id="64"/>
      <w:r>
        <w:rPr>
          <w:rFonts w:hint="eastAsia" w:ascii="仿宋" w:hAnsi="仿宋" w:eastAsia="仿宋"/>
          <w:b w:val="0"/>
        </w:rPr>
        <w:t>国</w:t>
      </w:r>
      <w:r>
        <w:rPr>
          <w:rStyle w:val="30"/>
          <w:rFonts w:hint="eastAsia" w:ascii="仿宋" w:hAnsi="仿宋" w:eastAsia="仿宋"/>
          <w:b w:val="0"/>
          <w:bCs w:val="0"/>
        </w:rPr>
        <w:t>有资本经营预算财政拨款收入支出决算表</w:t>
      </w:r>
    </w:p>
    <w:p>
      <w:pPr>
        <w:pStyle w:val="3"/>
        <w:rPr>
          <w:rFonts w:ascii="仿宋" w:hAnsi="仿宋" w:eastAsia="仿宋"/>
        </w:rPr>
      </w:pPr>
      <w:bookmarkStart w:id="65" w:name="_Toc15396630"/>
      <w:r>
        <w:rPr>
          <w:rStyle w:val="30"/>
          <w:rFonts w:hint="eastAsia" w:ascii="仿宋" w:hAnsi="仿宋" w:eastAsia="仿宋"/>
          <w:b w:val="0"/>
          <w:bCs w:val="0"/>
        </w:rPr>
        <w:t>十二、</w:t>
      </w:r>
      <w:bookmarkEnd w:id="65"/>
      <w:r>
        <w:rPr>
          <w:rStyle w:val="30"/>
          <w:rFonts w:hint="eastAsia" w:ascii="仿宋" w:hAnsi="仿宋" w:eastAsia="仿宋"/>
          <w:b w:val="0"/>
          <w:bCs w:val="0"/>
        </w:rPr>
        <w:t>国有资本经营预算财政拨款支出决算表</w:t>
      </w:r>
    </w:p>
    <w:p>
      <w:pPr>
        <w:pStyle w:val="3"/>
        <w:rPr>
          <w:rFonts w:eastAsia="仿宋"/>
        </w:rPr>
        <w:sectPr>
          <w:pgSz w:w="11906" w:h="16838"/>
          <w:pgMar w:top="1134" w:right="663" w:bottom="1134" w:left="1418" w:header="851" w:footer="992" w:gutter="0"/>
          <w:pgNumType w:start="1"/>
          <w:cols w:space="425" w:num="1"/>
          <w:titlePg/>
          <w:docGrid w:type="lines" w:linePitch="312" w:charSpace="0"/>
        </w:sectPr>
      </w:pPr>
      <w:bookmarkStart w:id="66" w:name="_Toc15396631"/>
      <w:r>
        <w:rPr>
          <w:rStyle w:val="30"/>
          <w:rFonts w:hint="eastAsia" w:ascii="仿宋" w:hAnsi="仿宋" w:eastAsia="仿宋"/>
          <w:b w:val="0"/>
          <w:bCs w:val="0"/>
        </w:rPr>
        <w:t>十三、</w:t>
      </w:r>
      <w:bookmarkEnd w:id="66"/>
      <w:r>
        <w:rPr>
          <w:rStyle w:val="30"/>
          <w:rFonts w:hint="eastAsia" w:ascii="仿宋" w:hAnsi="仿宋" w:eastAsia="仿宋"/>
          <w:b w:val="0"/>
          <w:bCs w:val="0"/>
        </w:rPr>
        <w:t>财政拨款“三公”经费支出决</w:t>
      </w:r>
    </w:p>
    <w:p>
      <w:pPr>
        <w:spacing w:line="600" w:lineRule="exact"/>
        <w:outlineLvl w:val="0"/>
        <w:rPr>
          <w:rFonts w:ascii="黑体" w:hAnsi="黑体" w:eastAsia="黑体"/>
          <w:sz w:val="44"/>
          <w:szCs w:val="44"/>
        </w:rPr>
        <w:sectPr>
          <w:pgSz w:w="16838" w:h="11906" w:orient="landscape"/>
          <w:pgMar w:top="1418" w:right="1134" w:bottom="663" w:left="1134" w:header="851" w:footer="992" w:gutter="0"/>
          <w:pgNumType w:start="1"/>
          <w:cols w:space="425" w:num="1"/>
          <w:titlePg/>
          <w:docGrid w:type="lines" w:linePitch="312" w:charSpace="0"/>
        </w:sectPr>
      </w:pPr>
    </w:p>
    <w:p>
      <w:pPr>
        <w:spacing w:line="600" w:lineRule="exact"/>
        <w:outlineLvl w:val="0"/>
        <w:rPr>
          <w:rFonts w:ascii="黑体" w:hAnsi="黑体" w:eastAsia="黑体"/>
          <w:sz w:val="44"/>
          <w:szCs w:val="44"/>
        </w:rPr>
        <w:sectPr>
          <w:pgSz w:w="16838" w:h="11906" w:orient="landscape"/>
          <w:pgMar w:top="1418" w:right="1134" w:bottom="663" w:left="1134" w:header="851" w:footer="992" w:gutter="0"/>
          <w:pgNumType w:start="1"/>
          <w:cols w:space="425" w:num="1"/>
          <w:titlePg/>
          <w:docGrid w:type="lines" w:linePitch="312" w:charSpace="0"/>
        </w:sectPr>
      </w:pPr>
    </w:p>
    <w:bookmarkEnd w:id="51"/>
    <w:bookmarkEnd w:id="53"/>
    <w:p>
      <w:pPr>
        <w:pStyle w:val="3"/>
        <w:rPr>
          <w:rFonts w:eastAsia="仿宋"/>
        </w:rPr>
      </w:pPr>
    </w:p>
    <w:sectPr>
      <w:pgSz w:w="11906" w:h="16838"/>
      <w:pgMar w:top="1134" w:right="663" w:bottom="1134" w:left="1418"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769562"/>
    </w:sdtPr>
    <w:sdtContent>
      <w:p>
        <w:pPr>
          <w:pStyle w:val="10"/>
          <w:jc w:val="center"/>
        </w:pPr>
        <w:r>
          <w:fldChar w:fldCharType="begin"/>
        </w:r>
        <w:r>
          <w:instrText xml:space="preserve">PAGE   \* MERGEFORMAT</w:instrText>
        </w:r>
        <w:r>
          <w:fldChar w:fldCharType="separate"/>
        </w:r>
        <w:r>
          <w:rPr>
            <w:lang w:val="zh-CN"/>
          </w:rPr>
          <w:t>14</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RiOWIzZjBlYTRkZmY0ZGI0ZTgwYWYxOWQ4ZmMyZDgifQ=="/>
  </w:docVars>
  <w:rsids>
    <w:rsidRoot w:val="00172A27"/>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0CB3"/>
    <w:rsid w:val="00110993"/>
    <w:rsid w:val="00114E9B"/>
    <w:rsid w:val="00142216"/>
    <w:rsid w:val="00144D6A"/>
    <w:rsid w:val="0014729F"/>
    <w:rsid w:val="00157BAB"/>
    <w:rsid w:val="001654D1"/>
    <w:rsid w:val="00172A27"/>
    <w:rsid w:val="00174518"/>
    <w:rsid w:val="0018106D"/>
    <w:rsid w:val="001877A7"/>
    <w:rsid w:val="00191536"/>
    <w:rsid w:val="00193725"/>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09F"/>
    <w:rsid w:val="002616C0"/>
    <w:rsid w:val="00265372"/>
    <w:rsid w:val="002662AA"/>
    <w:rsid w:val="00272FBC"/>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22CDB"/>
    <w:rsid w:val="00547C7A"/>
    <w:rsid w:val="00552F2C"/>
    <w:rsid w:val="005664BB"/>
    <w:rsid w:val="00566FFA"/>
    <w:rsid w:val="0057481D"/>
    <w:rsid w:val="0058486E"/>
    <w:rsid w:val="00585B33"/>
    <w:rsid w:val="005864BD"/>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24053"/>
    <w:rsid w:val="00630AEF"/>
    <w:rsid w:val="00630E31"/>
    <w:rsid w:val="006325F8"/>
    <w:rsid w:val="00633463"/>
    <w:rsid w:val="00634C9A"/>
    <w:rsid w:val="006440E4"/>
    <w:rsid w:val="00650D62"/>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962"/>
    <w:rsid w:val="00786E4A"/>
    <w:rsid w:val="007875EB"/>
    <w:rsid w:val="0079426B"/>
    <w:rsid w:val="007974AF"/>
    <w:rsid w:val="007D1682"/>
    <w:rsid w:val="007D312A"/>
    <w:rsid w:val="007D37FD"/>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6DFA"/>
    <w:rsid w:val="00885AF4"/>
    <w:rsid w:val="008939CD"/>
    <w:rsid w:val="008A7670"/>
    <w:rsid w:val="008B768C"/>
    <w:rsid w:val="008C4DB1"/>
    <w:rsid w:val="008C4EAF"/>
    <w:rsid w:val="008C5176"/>
    <w:rsid w:val="008C7FD0"/>
    <w:rsid w:val="008D337C"/>
    <w:rsid w:val="008E1DE7"/>
    <w:rsid w:val="008E707C"/>
    <w:rsid w:val="00900B08"/>
    <w:rsid w:val="00902155"/>
    <w:rsid w:val="00902FA3"/>
    <w:rsid w:val="00923564"/>
    <w:rsid w:val="0092392E"/>
    <w:rsid w:val="009315F9"/>
    <w:rsid w:val="00933499"/>
    <w:rsid w:val="00935C98"/>
    <w:rsid w:val="00940DF3"/>
    <w:rsid w:val="00946945"/>
    <w:rsid w:val="00951248"/>
    <w:rsid w:val="0095152F"/>
    <w:rsid w:val="00954C49"/>
    <w:rsid w:val="00955E37"/>
    <w:rsid w:val="009575B9"/>
    <w:rsid w:val="0096294D"/>
    <w:rsid w:val="0097099F"/>
    <w:rsid w:val="00971997"/>
    <w:rsid w:val="00971FFC"/>
    <w:rsid w:val="0098660A"/>
    <w:rsid w:val="009931C3"/>
    <w:rsid w:val="00997B50"/>
    <w:rsid w:val="009B2C43"/>
    <w:rsid w:val="009B4EAE"/>
    <w:rsid w:val="009B7573"/>
    <w:rsid w:val="009C22F4"/>
    <w:rsid w:val="009C25C0"/>
    <w:rsid w:val="009C2A4B"/>
    <w:rsid w:val="009C2E98"/>
    <w:rsid w:val="009D3447"/>
    <w:rsid w:val="009D4711"/>
    <w:rsid w:val="009D66D7"/>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2159"/>
    <w:rsid w:val="00B310B9"/>
    <w:rsid w:val="00B35F3F"/>
    <w:rsid w:val="00B36CBB"/>
    <w:rsid w:val="00B425E0"/>
    <w:rsid w:val="00B440AA"/>
    <w:rsid w:val="00B44B70"/>
    <w:rsid w:val="00B5130B"/>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0418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B707B"/>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3AB4"/>
    <w:rsid w:val="00F36D8F"/>
    <w:rsid w:val="00F417B1"/>
    <w:rsid w:val="00F45853"/>
    <w:rsid w:val="00F57172"/>
    <w:rsid w:val="00F602DF"/>
    <w:rsid w:val="00F754A1"/>
    <w:rsid w:val="00F81FD9"/>
    <w:rsid w:val="00F841AA"/>
    <w:rsid w:val="00F84A94"/>
    <w:rsid w:val="00F87E96"/>
    <w:rsid w:val="00FA23E8"/>
    <w:rsid w:val="00FA64E8"/>
    <w:rsid w:val="00FD3CC1"/>
    <w:rsid w:val="00FF1E02"/>
    <w:rsid w:val="00FF30B4"/>
    <w:rsid w:val="04CD7CC7"/>
    <w:rsid w:val="053A62B5"/>
    <w:rsid w:val="0A2032A3"/>
    <w:rsid w:val="0B490076"/>
    <w:rsid w:val="0B8A37D8"/>
    <w:rsid w:val="0D7B1B34"/>
    <w:rsid w:val="0F146D4E"/>
    <w:rsid w:val="0F6975C4"/>
    <w:rsid w:val="10C055FF"/>
    <w:rsid w:val="118107EC"/>
    <w:rsid w:val="11DD6519"/>
    <w:rsid w:val="16BB723D"/>
    <w:rsid w:val="18015F3F"/>
    <w:rsid w:val="1B100797"/>
    <w:rsid w:val="1BE8440E"/>
    <w:rsid w:val="1D155CEE"/>
    <w:rsid w:val="1E703AE7"/>
    <w:rsid w:val="20F57F95"/>
    <w:rsid w:val="22D3647C"/>
    <w:rsid w:val="240371BF"/>
    <w:rsid w:val="25711CC6"/>
    <w:rsid w:val="25C741E6"/>
    <w:rsid w:val="27842671"/>
    <w:rsid w:val="29FD04D3"/>
    <w:rsid w:val="2ABE7A3E"/>
    <w:rsid w:val="2CA234A8"/>
    <w:rsid w:val="2D8A5AC2"/>
    <w:rsid w:val="2EFA178C"/>
    <w:rsid w:val="2FF3270A"/>
    <w:rsid w:val="30B46D73"/>
    <w:rsid w:val="319F7F4E"/>
    <w:rsid w:val="34135D72"/>
    <w:rsid w:val="344562CF"/>
    <w:rsid w:val="383D272C"/>
    <w:rsid w:val="39A1688E"/>
    <w:rsid w:val="39AE70AB"/>
    <w:rsid w:val="39B171C9"/>
    <w:rsid w:val="3C0C0783"/>
    <w:rsid w:val="3F9F3A96"/>
    <w:rsid w:val="400E49F6"/>
    <w:rsid w:val="48BF60AB"/>
    <w:rsid w:val="493C27E9"/>
    <w:rsid w:val="496F39ED"/>
    <w:rsid w:val="49FF41D3"/>
    <w:rsid w:val="4BE068DB"/>
    <w:rsid w:val="4BF6002B"/>
    <w:rsid w:val="4CC86F78"/>
    <w:rsid w:val="4DE10856"/>
    <w:rsid w:val="4ECE2238"/>
    <w:rsid w:val="51DB4B86"/>
    <w:rsid w:val="552452D0"/>
    <w:rsid w:val="55333C3E"/>
    <w:rsid w:val="56934484"/>
    <w:rsid w:val="5A042160"/>
    <w:rsid w:val="5A6D6C90"/>
    <w:rsid w:val="5FB062DA"/>
    <w:rsid w:val="602937F8"/>
    <w:rsid w:val="64CA39A1"/>
    <w:rsid w:val="665D4DF2"/>
    <w:rsid w:val="69630ADE"/>
    <w:rsid w:val="6C4A05C8"/>
    <w:rsid w:val="6D3B1A89"/>
    <w:rsid w:val="6DB55D9F"/>
    <w:rsid w:val="71BF4EC2"/>
    <w:rsid w:val="72734D90"/>
    <w:rsid w:val="7412278C"/>
    <w:rsid w:val="75300AE9"/>
    <w:rsid w:val="75724944"/>
    <w:rsid w:val="79E7B28D"/>
    <w:rsid w:val="7D0268B7"/>
    <w:rsid w:val="7F9F20EE"/>
    <w:rsid w:val="9E3A10E2"/>
    <w:rsid w:val="BC570358"/>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qFormat/>
    <w:uiPriority w:val="99"/>
    <w:rPr>
      <w:rFonts w:ascii="宋体" w:hAnsi="Courier New" w:eastAsia="仿宋_GB2312" w:cs="Courier New"/>
      <w:b/>
      <w:sz w:val="32"/>
      <w:szCs w:val="21"/>
    </w:r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Body Text First Indent"/>
    <w:basedOn w:val="5"/>
    <w:qFormat/>
    <w:uiPriority w:val="0"/>
    <w:pPr>
      <w:ind w:firstLine="420" w:firstLineChars="100"/>
    </w:pPr>
  </w:style>
  <w:style w:type="paragraph" w:styleId="16">
    <w:name w:val="Body Text First Indent 2"/>
    <w:basedOn w:val="6"/>
    <w:next w:val="15"/>
    <w:unhideWhenUsed/>
    <w:qFormat/>
    <w:uiPriority w:val="99"/>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8"/>
    <w:link w:val="2"/>
    <w:qFormat/>
    <w:uiPriority w:val="9"/>
    <w:rPr>
      <w:rFonts w:ascii="Times New Roman" w:hAnsi="Times New Roman"/>
      <w:b/>
      <w:bCs/>
      <w:kern w:val="44"/>
      <w:sz w:val="44"/>
      <w:szCs w:val="44"/>
    </w:rPr>
  </w:style>
  <w:style w:type="character" w:customStyle="1" w:styleId="30">
    <w:name w:val="标题 2 Char"/>
    <w:basedOn w:val="18"/>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Char"/>
    <w:basedOn w:val="18"/>
    <w:link w:val="9"/>
    <w:semiHidden/>
    <w:qFormat/>
    <w:uiPriority w:val="99"/>
    <w:rPr>
      <w:rFonts w:ascii="Times New Roman" w:hAnsi="Times New Roman"/>
      <w:kern w:val="2"/>
      <w:sz w:val="18"/>
      <w:szCs w:val="18"/>
    </w:rPr>
  </w:style>
  <w:style w:type="character" w:customStyle="1" w:styleId="33">
    <w:name w:val="标题 3 Char"/>
    <w:basedOn w:val="18"/>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7553;&#20202;&#39302;2022&#20915;&#31639;&#20844;&#31034;\&#20915;&#31639;&#20844;&#24320;&#25554;&#22270;&#21046;&#20316;&#31034;&#2036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7553;&#20202;&#39302;2022&#20915;&#31639;&#20844;&#31034;\&#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7553;&#20202;&#39302;2022&#20915;&#31639;&#20844;&#31034;\&#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7553;&#20202;&#39302;2022&#20915;&#31639;&#20844;&#31034;\&#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34201388888889"/>
          <c:y val="0.176388888888889"/>
          <c:w val="0.324305555555557"/>
          <c:h val="0.540509259259259"/>
        </c:manualLayout>
      </c:layout>
      <c:pieChart>
        <c:varyColors val="true"/>
        <c:ser>
          <c:idx val="0"/>
          <c:order val="0"/>
          <c:explosion val="0"/>
          <c:dLbls>
            <c:delete val="true"/>
          </c:dLbls>
          <c:cat>
            <c:strRef>
              <c:f>[决算公开插图制作示例.xlsx]图二!$A$1:$A$6</c:f>
              <c:strCache>
                <c:ptCount val="6"/>
                <c:pt idx="0">
                  <c:v>一般公共预算财政拨款收入</c:v>
                </c:pt>
              </c:strCache>
            </c:strRef>
          </c:cat>
          <c:val>
            <c:numRef>
              <c:f>[决算公开插图制作示例.xlsx]图二!$B$1:$B$6</c:f>
            </c:numRef>
          </c:val>
        </c:ser>
        <c:ser>
          <c:idx val="1"/>
          <c:order val="1"/>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[决算公开插图制作示例.xlsx]图二!$A$1:$A$6</c:f>
              <c:strCache>
                <c:ptCount val="6"/>
                <c:pt idx="0">
                  <c:v>一般公共预算财政拨款收入</c:v>
                </c:pt>
              </c:strCache>
            </c:strRef>
          </c:cat>
          <c:val>
            <c:numRef>
              <c:f>[决算公开插图制作示例.xlsx]图二!$C$1:$C$6</c:f>
              <c:numCache>
                <c:formatCode>0.00%</c:formatCode>
                <c:ptCount val="6"/>
                <c:pt idx="0">
                  <c:v>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egendEntry>
        <c:idx val="1"/>
        <c:delete val="true"/>
      </c:legendEntry>
      <c:legendEntry>
        <c:idx val="2"/>
        <c:delete val="true"/>
      </c:legendEntry>
      <c:legendEntry>
        <c:idx val="3"/>
        <c:delete val="true"/>
      </c:legendEntry>
      <c:legendEntry>
        <c:idx val="4"/>
        <c:delete val="true"/>
      </c:legendEntry>
      <c:legendEntry>
        <c:idx val="5"/>
        <c:delete val="true"/>
      </c:legendEntry>
      <c:layout/>
      <c:overlay val="false"/>
      <c:spPr>
        <a:pattFill prst="pct5">
          <a:fgClr>
            <a:schemeClr val="accent1"/>
          </a:fgClr>
          <a:bgClr>
            <a:schemeClr val="bg1"/>
          </a:bgClr>
        </a:patt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69224846894138"/>
          <c:y val="0.150462962962963"/>
          <c:w val="0.566371172353457"/>
          <c:h val="0.689814814814816"/>
        </c:manualLayout>
      </c:layout>
      <c:pieChart>
        <c:varyColors val="true"/>
        <c:ser>
          <c:idx val="0"/>
          <c:order val="0"/>
          <c:explosion val="0"/>
          <c:dPt>
            <c:idx val="0"/>
            <c:bubble3D val="false"/>
          </c:dPt>
          <c:dPt>
            <c:idx val="1"/>
            <c:bubble3D val="false"/>
          </c:dPt>
          <c:dLbls>
            <c:dLbl>
              <c:idx val="0"/>
              <c:layout>
                <c:manualLayout>
                  <c:x val="0.0848707349081365"/>
                  <c:y val="-0.17157334499854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286458880139982"/>
                  <c:y val="0.14014727325750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0.664500000000001</c:v>
                </c:pt>
                <c:pt idx="1">
                  <c:v>0.335500000000001</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777043088363956"/>
          <c:y val="0.43480132691747"/>
          <c:w val="0.186845800524934"/>
          <c:h val="0.167434383202101"/>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spPr>
              <a:solidFill>
                <a:schemeClr val="tx2">
                  <a:lumMod val="40000"/>
                  <a:lumOff val="60000"/>
                </a:schemeClr>
              </a:solidFill>
            </c:spPr>
          </c:dPt>
          <c:dPt>
            <c:idx val="1"/>
            <c:bubble3D val="false"/>
          </c:dPt>
          <c:dPt>
            <c:idx val="2"/>
            <c:bubble3D val="false"/>
          </c:dPt>
          <c:dPt>
            <c:idx val="3"/>
            <c:bubble3D val="false"/>
          </c:dPt>
          <c:dLbls>
            <c:dLbl>
              <c:idx val="0"/>
              <c:layout>
                <c:manualLayout>
                  <c:x val="0.0483216316710412"/>
                  <c:y val="0.0977380431612718"/>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546208442694663"/>
                  <c:y val="-0.035963108778069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100951443569554"/>
                  <c:y val="-0.13227836103820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166543197725284"/>
                  <c:y val="-0.10867344706911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[决算公开插图制作示例.xlsx]图6!$A$2:$A$5</c:f>
              <c:strCache>
                <c:ptCount val="4"/>
                <c:pt idx="1">
                  <c:v>社会保障和就业（类）支出</c:v>
                </c:pt>
                <c:pt idx="2">
                  <c:v>卫生健康(类)支出</c:v>
                </c:pt>
                <c:pt idx="3">
                  <c:v>住房保障（类）支出</c:v>
                </c:pt>
              </c:strCache>
            </c:strRef>
          </c:cat>
          <c:val>
            <c:numRef>
              <c:f>[决算公开插图制作示例.xlsx]图6!$B$2:$B$5</c:f>
              <c:numCache>
                <c:formatCode>General</c:formatCode>
                <c:ptCount val="4"/>
                <c:pt idx="1" c:formatCode="0.00%">
                  <c:v>0.928600000000001</c:v>
                </c:pt>
                <c:pt idx="2" c:formatCode="0.00%">
                  <c:v>0.0286</c:v>
                </c:pt>
                <c:pt idx="3" c:formatCode="0.00%">
                  <c:v>0.0428</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egendEntry>
        <c:idx val="0"/>
        <c:delete val="true"/>
      </c:legendEntry>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dPt>
          <c:dPt>
            <c:idx val="1"/>
            <c:bubble3D val="false"/>
          </c:dPt>
          <c:dPt>
            <c:idx val="2"/>
            <c:bubble3D val="false"/>
          </c:dPt>
          <c:dLbls>
            <c:dLbl>
              <c:idx val="0"/>
              <c:layout>
                <c:manualLayout>
                  <c:x val="-0.0677309711286091"/>
                  <c:y val="-0.062589676290463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12130139982502"/>
                  <c:y val="-0.049858194808982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179491251093613"/>
                  <c:y val="0.054969743365412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formatCode="0%">
                  <c:v>1</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664920094314909"/>
          <c:y val="0.341517389739564"/>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19</Pages>
  <Words>4654</Words>
  <Characters>2088</Characters>
  <Lines>17</Lines>
  <Paragraphs>13</Paragraphs>
  <TotalTime>17</TotalTime>
  <ScaleCrop>false</ScaleCrop>
  <LinksUpToDate>false</LinksUpToDate>
  <CharactersWithSpaces>6729</CharactersWithSpaces>
  <Application>WPS Office_11.8.2.9980_F1E327BC-269C-435d-A152-05C5408002CA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2023-10-24T09:01:00Z</dcterms:created>
  <dc:creator>曹颖</dc:creator>
  <cp:lastModifiedBy>user</cp:lastModifiedBy>
  <cp:lastPrinted>2023-07-31T10:35:00Z</cp:lastPrinted>
  <dcterms:modified xsi:type="dcterms:W3CDTF">2023-12-11T17:05:14Z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58DBAE12B1094C418E02788D83AF50D8_12</vt:lpwstr>
  </property>
</Properties>
</file>