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56" w:name="_GoBack"/>
      <w:bookmarkEnd w:id="56"/>
      <w:bookmarkStart w:id="0" w:name="_Toc15377193"/>
      <w:bookmarkStart w:id="1" w:name="_Toc15396597"/>
      <w:bookmarkStart w:id="2" w:name="_Toc15377425"/>
      <w:bookmarkStart w:id="3" w:name="_Toc15396475"/>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96476"/>
      <w:bookmarkStart w:id="7" w:name="_Toc15378442"/>
      <w:bookmarkStart w:id="8" w:name="_Toc15377426"/>
      <w:bookmarkStart w:id="9" w:name="_Toc15377194"/>
      <w:bookmarkStart w:id="10" w:name="_Toc15396598"/>
      <w:bookmarkStart w:id="11" w:name="_Toc15306268"/>
      <w:r>
        <w:rPr>
          <w:rFonts w:hint="eastAsia" w:ascii="方正小标宋简体" w:hAnsi="方正小标宋简体" w:eastAsia="方正小标宋简体" w:cs="方正小标宋简体"/>
          <w:sz w:val="72"/>
          <w:szCs w:val="72"/>
          <w:lang w:val="en-US" w:eastAsia="zh-CN"/>
        </w:rPr>
        <w:t>中共剑阁县委党校</w:t>
      </w: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rPr>
        <w:t>部门决</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lang w:eastAsia="zh-CN"/>
        </w:rPr>
        <w:t>算</w:t>
      </w:r>
    </w:p>
    <w:p>
      <w:pPr>
        <w:widowControl/>
        <w:jc w:val="center"/>
        <w:rPr>
          <w:rFonts w:hint="eastAsia" w:ascii="黑体" w:hAnsi="黑体" w:eastAsia="黑体"/>
          <w:sz w:val="48"/>
          <w:szCs w:val="48"/>
        </w:rPr>
        <w:sectPr>
          <w:footerReference r:id="rId4" w:type="first"/>
          <w:footerReference r:id="rId3" w:type="default"/>
          <w:pgSz w:w="11900" w:h="16820"/>
          <w:pgMar w:top="1429" w:right="1401" w:bottom="1865" w:left="1546" w:header="0" w:footer="1701" w:gutter="0"/>
          <w:pgNumType w:fmt="decimal" w:start="1"/>
          <w:cols w:space="720" w:num="1"/>
        </w:sectPr>
      </w:pPr>
    </w:p>
    <w:p>
      <w:pPr>
        <w:widowControl/>
        <w:jc w:val="center"/>
        <w:rPr>
          <w:rFonts w:ascii="黑体" w:hAnsi="黑体" w:eastAsia="黑体"/>
          <w:sz w:val="48"/>
          <w:szCs w:val="48"/>
        </w:rPr>
      </w:pP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widowControl/>
        <w:jc w:val="center"/>
        <w:rPr>
          <w:rFonts w:ascii="黑体" w:hAnsi="黑体" w:eastAsia="黑体" w:cstheme="minorBidi"/>
          <w:sz w:val="28"/>
          <w:szCs w:val="28"/>
        </w:rPr>
      </w:pPr>
    </w:p>
    <w:p>
      <w:pPr>
        <w:pStyle w:val="14"/>
        <w:adjustRightInd w:val="0"/>
        <w:snapToGrid w:val="0"/>
        <w:spacing w:line="440" w:lineRule="exact"/>
        <w:ind w:firstLine="2160" w:firstLineChars="900"/>
        <w:jc w:val="left"/>
        <w:rPr>
          <w:rFonts w:hint="eastAsia"/>
          <w:sz w:val="24"/>
        </w:rPr>
      </w:pPr>
      <w:r>
        <w:rPr>
          <w:rFonts w:hint="eastAsia"/>
          <w:sz w:val="24"/>
        </w:rPr>
        <w:t>公开时间：2023年</w:t>
      </w:r>
      <w:r>
        <w:rPr>
          <w:rFonts w:hint="eastAsia"/>
          <w:sz w:val="24"/>
          <w:lang w:val="en-US" w:eastAsia="zh-CN"/>
        </w:rPr>
        <w:t>10</w:t>
      </w:r>
      <w:r>
        <w:rPr>
          <w:rFonts w:hint="eastAsia"/>
          <w:sz w:val="24"/>
        </w:rPr>
        <w:t>月</w:t>
      </w:r>
      <w:r>
        <w:rPr>
          <w:rFonts w:hint="eastAsia"/>
          <w:sz w:val="24"/>
          <w:lang w:val="en-US" w:eastAsia="zh-CN"/>
        </w:rPr>
        <w:t>16</w:t>
      </w:r>
      <w:r>
        <w:rPr>
          <w:rFonts w:hint="eastAsia"/>
          <w:sz w:val="24"/>
        </w:rPr>
        <w:t>日</w:t>
      </w:r>
    </w:p>
    <w:p/>
    <w:p>
      <w:pPr>
        <w:pStyle w:val="14"/>
        <w:adjustRightInd w:val="0"/>
        <w:snapToGrid w:val="0"/>
        <w:spacing w:line="440" w:lineRule="exact"/>
        <w:jc w:val="left"/>
        <w:rPr>
          <w:rFonts w:hint="eastAsia" w:eastAsia="宋体"/>
          <w:b/>
          <w:bCs/>
          <w:sz w:val="24"/>
          <w:lang w:val="en-US" w:eastAsia="zh-CN"/>
        </w:rPr>
      </w:pPr>
      <w:r>
        <w:rPr>
          <w:rFonts w:hint="eastAsia"/>
          <w:b/>
          <w:bCs/>
          <w:sz w:val="24"/>
        </w:rPr>
        <w:t>第一部分 部门概况</w:t>
      </w:r>
      <w:r>
        <w:rPr>
          <w:rFonts w:hint="eastAsia"/>
          <w:sz w:val="24"/>
        </w:rPr>
        <w:tab/>
      </w:r>
      <w:r>
        <w:rPr>
          <w:rFonts w:hint="eastAsia"/>
          <w:sz w:val="24"/>
          <w:lang w:val="en-US" w:eastAsia="zh-CN"/>
        </w:rPr>
        <w:t>3</w:t>
      </w:r>
    </w:p>
    <w:p>
      <w:pPr>
        <w:pStyle w:val="14"/>
        <w:adjustRightInd w:val="0"/>
        <w:snapToGrid w:val="0"/>
        <w:spacing w:line="440" w:lineRule="exact"/>
        <w:jc w:val="left"/>
        <w:rPr>
          <w:rFonts w:hint="eastAsia" w:eastAsia="宋体"/>
          <w:sz w:val="24"/>
          <w:lang w:val="en-US" w:eastAsia="zh-CN"/>
        </w:rPr>
      </w:pPr>
      <w:r>
        <w:rPr>
          <w:rFonts w:hint="eastAsia"/>
          <w:sz w:val="24"/>
        </w:rPr>
        <w:t>一、部门职责及重点工作</w:t>
      </w:r>
      <w:r>
        <w:rPr>
          <w:rFonts w:hint="eastAsia"/>
          <w:sz w:val="24"/>
        </w:rPr>
        <w:tab/>
      </w:r>
      <w:r>
        <w:rPr>
          <w:rFonts w:hint="eastAsia"/>
          <w:sz w:val="24"/>
          <w:lang w:val="en-US" w:eastAsia="zh-CN"/>
        </w:rPr>
        <w:t>3</w:t>
      </w:r>
    </w:p>
    <w:p>
      <w:pPr>
        <w:pStyle w:val="14"/>
        <w:adjustRightInd w:val="0"/>
        <w:snapToGrid w:val="0"/>
        <w:spacing w:line="440" w:lineRule="exact"/>
        <w:jc w:val="left"/>
        <w:rPr>
          <w:rFonts w:hint="eastAsia" w:eastAsia="宋体"/>
          <w:sz w:val="24"/>
          <w:lang w:val="en-US" w:eastAsia="zh-CN"/>
        </w:rPr>
      </w:pPr>
      <w:r>
        <w:rPr>
          <w:rFonts w:hint="eastAsia"/>
          <w:sz w:val="24"/>
        </w:rPr>
        <w:t>(一)部门职责</w:t>
      </w:r>
      <w:r>
        <w:rPr>
          <w:rFonts w:hint="eastAsia"/>
          <w:sz w:val="24"/>
        </w:rPr>
        <w:tab/>
      </w:r>
      <w:r>
        <w:rPr>
          <w:rFonts w:hint="eastAsia"/>
          <w:sz w:val="24"/>
          <w:lang w:val="en-US" w:eastAsia="zh-CN"/>
        </w:rPr>
        <w:t>3</w:t>
      </w:r>
    </w:p>
    <w:p>
      <w:pPr>
        <w:pStyle w:val="14"/>
        <w:adjustRightInd w:val="0"/>
        <w:snapToGrid w:val="0"/>
        <w:spacing w:line="440" w:lineRule="exact"/>
        <w:ind w:left="0" w:leftChars="0" w:firstLine="240" w:firstLineChars="100"/>
        <w:jc w:val="left"/>
        <w:rPr>
          <w:rFonts w:hint="eastAsia" w:eastAsia="宋体"/>
          <w:sz w:val="24"/>
          <w:lang w:val="en-US" w:eastAsia="zh-CN"/>
        </w:rPr>
      </w:pPr>
      <w:r>
        <w:rPr>
          <w:rFonts w:hint="eastAsia"/>
          <w:sz w:val="24"/>
          <w:lang w:eastAsia="zh-CN"/>
        </w:rPr>
        <w:t>（</w:t>
      </w:r>
      <w:r>
        <w:rPr>
          <w:rFonts w:hint="eastAsia"/>
          <w:sz w:val="24"/>
        </w:rPr>
        <w:t>二）2022年重点工作完成情况</w:t>
      </w:r>
      <w:r>
        <w:rPr>
          <w:rFonts w:hint="eastAsia"/>
          <w:sz w:val="24"/>
        </w:rPr>
        <w:tab/>
      </w:r>
      <w:r>
        <w:rPr>
          <w:rFonts w:hint="eastAsia"/>
          <w:sz w:val="24"/>
          <w:lang w:val="en-US" w:eastAsia="zh-CN"/>
        </w:rPr>
        <w:t>3</w:t>
      </w:r>
    </w:p>
    <w:p>
      <w:pPr>
        <w:pStyle w:val="14"/>
        <w:adjustRightInd w:val="0"/>
        <w:snapToGrid w:val="0"/>
        <w:spacing w:line="440" w:lineRule="exact"/>
        <w:jc w:val="left"/>
        <w:rPr>
          <w:rFonts w:hint="eastAsia" w:eastAsia="宋体"/>
          <w:sz w:val="24"/>
          <w:lang w:eastAsia="zh-CN"/>
        </w:rPr>
      </w:pPr>
      <w:r>
        <w:rPr>
          <w:rFonts w:hint="eastAsia"/>
          <w:sz w:val="24"/>
        </w:rPr>
        <w:t>二、机构设置</w:t>
      </w:r>
      <w:r>
        <w:rPr>
          <w:rFonts w:hint="eastAsia"/>
          <w:sz w:val="24"/>
        </w:rPr>
        <w:tab/>
      </w:r>
      <w:r>
        <w:rPr>
          <w:rFonts w:hint="eastAsia"/>
          <w:sz w:val="24"/>
          <w:lang w:val="en-US" w:eastAsia="zh-CN"/>
        </w:rPr>
        <w:t xml:space="preserve"> 9</w:t>
      </w:r>
    </w:p>
    <w:p>
      <w:pPr>
        <w:pStyle w:val="14"/>
        <w:adjustRightInd w:val="0"/>
        <w:snapToGrid w:val="0"/>
        <w:spacing w:line="440" w:lineRule="exact"/>
        <w:jc w:val="left"/>
        <w:rPr>
          <w:rFonts w:hint="default" w:eastAsia="宋体"/>
          <w:b/>
          <w:bCs/>
          <w:sz w:val="24"/>
          <w:lang w:val="en-US" w:eastAsia="zh-CN"/>
        </w:rPr>
      </w:pPr>
      <w:r>
        <w:rPr>
          <w:rFonts w:hint="eastAsia"/>
          <w:b/>
          <w:bCs/>
          <w:sz w:val="24"/>
        </w:rPr>
        <w:t>第二部分 2022年度部门决算情况说明</w:t>
      </w:r>
      <w:r>
        <w:rPr>
          <w:rFonts w:hint="eastAsia"/>
          <w:sz w:val="24"/>
        </w:rPr>
        <w:tab/>
      </w:r>
      <w:r>
        <w:rPr>
          <w:rFonts w:hint="eastAsia"/>
          <w:sz w:val="24"/>
          <w:lang w:val="en-US" w:eastAsia="zh-CN"/>
        </w:rPr>
        <w:t>10</w:t>
      </w:r>
    </w:p>
    <w:p>
      <w:pPr>
        <w:pStyle w:val="14"/>
        <w:adjustRightInd w:val="0"/>
        <w:snapToGrid w:val="0"/>
        <w:spacing w:line="440" w:lineRule="exact"/>
        <w:jc w:val="left"/>
        <w:rPr>
          <w:rFonts w:hint="default" w:eastAsia="宋体"/>
          <w:sz w:val="24"/>
          <w:lang w:val="en-US" w:eastAsia="zh-CN"/>
        </w:rPr>
      </w:pPr>
      <w:r>
        <w:rPr>
          <w:rFonts w:hint="eastAsia"/>
          <w:sz w:val="24"/>
        </w:rPr>
        <w:t>一、收入支出决算总体情况说明</w:t>
      </w:r>
      <w:r>
        <w:rPr>
          <w:rFonts w:hint="eastAsia"/>
          <w:sz w:val="24"/>
        </w:rPr>
        <w:tab/>
      </w:r>
      <w:r>
        <w:rPr>
          <w:rFonts w:hint="eastAsia"/>
          <w:sz w:val="24"/>
          <w:lang w:val="en-US" w:eastAsia="zh-CN"/>
        </w:rPr>
        <w:t>10</w:t>
      </w:r>
    </w:p>
    <w:p>
      <w:pPr>
        <w:pStyle w:val="14"/>
        <w:adjustRightInd w:val="0"/>
        <w:snapToGrid w:val="0"/>
        <w:spacing w:line="440" w:lineRule="exact"/>
        <w:jc w:val="left"/>
        <w:rPr>
          <w:rFonts w:hint="default" w:eastAsia="宋体"/>
          <w:sz w:val="24"/>
          <w:lang w:val="en-US" w:eastAsia="zh-CN"/>
        </w:rPr>
      </w:pPr>
      <w:r>
        <w:rPr>
          <w:rFonts w:hint="eastAsia"/>
          <w:sz w:val="24"/>
        </w:rPr>
        <w:t>二、收入决算情况说明</w:t>
      </w:r>
      <w:r>
        <w:rPr>
          <w:rFonts w:hint="eastAsia"/>
          <w:sz w:val="24"/>
        </w:rPr>
        <w:tab/>
      </w:r>
      <w:r>
        <w:rPr>
          <w:rFonts w:hint="eastAsia"/>
          <w:sz w:val="24"/>
          <w:lang w:val="en-US" w:eastAsia="zh-CN"/>
        </w:rPr>
        <w:t>10</w:t>
      </w:r>
    </w:p>
    <w:p>
      <w:pPr>
        <w:pStyle w:val="14"/>
        <w:adjustRightInd w:val="0"/>
        <w:snapToGrid w:val="0"/>
        <w:spacing w:line="440" w:lineRule="exact"/>
        <w:jc w:val="left"/>
        <w:rPr>
          <w:rFonts w:hint="default" w:eastAsia="宋体"/>
          <w:sz w:val="24"/>
          <w:lang w:val="en-US" w:eastAsia="zh-CN"/>
        </w:rPr>
      </w:pPr>
      <w:r>
        <w:rPr>
          <w:rFonts w:hint="eastAsia"/>
          <w:sz w:val="24"/>
        </w:rPr>
        <w:t>三、支出决算情况说明</w:t>
      </w:r>
      <w:r>
        <w:rPr>
          <w:rFonts w:hint="eastAsia"/>
          <w:sz w:val="24"/>
        </w:rPr>
        <w:tab/>
      </w:r>
      <w:r>
        <w:rPr>
          <w:rFonts w:hint="eastAsia"/>
          <w:sz w:val="24"/>
          <w:lang w:val="en-US" w:eastAsia="zh-CN"/>
        </w:rPr>
        <w:t>11</w:t>
      </w:r>
    </w:p>
    <w:p>
      <w:pPr>
        <w:pStyle w:val="14"/>
        <w:adjustRightInd w:val="0"/>
        <w:snapToGrid w:val="0"/>
        <w:spacing w:line="440" w:lineRule="exact"/>
        <w:jc w:val="left"/>
        <w:rPr>
          <w:rFonts w:hint="default" w:eastAsia="宋体"/>
          <w:sz w:val="24"/>
          <w:lang w:val="en-US" w:eastAsia="zh-CN"/>
        </w:rPr>
      </w:pPr>
      <w:r>
        <w:rPr>
          <w:rFonts w:hint="eastAsia"/>
          <w:sz w:val="24"/>
        </w:rPr>
        <w:t>四、财政拨款收入支出决算总体情况说明</w:t>
      </w:r>
      <w:r>
        <w:rPr>
          <w:rFonts w:hint="eastAsia"/>
          <w:sz w:val="24"/>
        </w:rPr>
        <w:tab/>
      </w:r>
      <w:r>
        <w:rPr>
          <w:rFonts w:hint="eastAsia"/>
          <w:sz w:val="24"/>
          <w:lang w:val="en-US" w:eastAsia="zh-CN"/>
        </w:rPr>
        <w:t>12</w:t>
      </w:r>
    </w:p>
    <w:p>
      <w:pPr>
        <w:pStyle w:val="14"/>
        <w:adjustRightInd w:val="0"/>
        <w:snapToGrid w:val="0"/>
        <w:spacing w:line="440" w:lineRule="exact"/>
        <w:jc w:val="left"/>
        <w:rPr>
          <w:rFonts w:hint="default" w:eastAsia="宋体"/>
          <w:sz w:val="24"/>
          <w:lang w:val="en-US" w:eastAsia="zh-CN"/>
        </w:rPr>
      </w:pPr>
      <w:r>
        <w:rPr>
          <w:rFonts w:hint="eastAsia"/>
          <w:sz w:val="24"/>
        </w:rPr>
        <w:t>五、一般公共预算财政拨款支出决算情况说明</w:t>
      </w:r>
      <w:r>
        <w:rPr>
          <w:rFonts w:hint="eastAsia"/>
          <w:sz w:val="24"/>
        </w:rPr>
        <w:tab/>
      </w:r>
      <w:r>
        <w:rPr>
          <w:rFonts w:hint="eastAsia"/>
          <w:sz w:val="24"/>
          <w:lang w:val="en-US" w:eastAsia="zh-CN"/>
        </w:rPr>
        <w:t>12</w:t>
      </w:r>
    </w:p>
    <w:p>
      <w:pPr>
        <w:pStyle w:val="14"/>
        <w:adjustRightInd w:val="0"/>
        <w:snapToGrid w:val="0"/>
        <w:spacing w:line="440" w:lineRule="exact"/>
        <w:jc w:val="left"/>
        <w:rPr>
          <w:rFonts w:hint="default" w:eastAsia="宋体"/>
          <w:sz w:val="24"/>
          <w:lang w:val="en-US" w:eastAsia="zh-CN"/>
        </w:rPr>
      </w:pPr>
      <w:r>
        <w:rPr>
          <w:rFonts w:hint="eastAsia"/>
          <w:sz w:val="24"/>
        </w:rPr>
        <w:t>六、一般公共预算财政拨款基本支出决算情况说明</w:t>
      </w:r>
      <w:r>
        <w:rPr>
          <w:rFonts w:hint="eastAsia"/>
          <w:sz w:val="24"/>
        </w:rPr>
        <w:tab/>
      </w:r>
      <w:r>
        <w:rPr>
          <w:rFonts w:hint="eastAsia"/>
          <w:sz w:val="24"/>
          <w:lang w:val="en-US" w:eastAsia="zh-CN"/>
        </w:rPr>
        <w:t>14</w:t>
      </w:r>
    </w:p>
    <w:p>
      <w:pPr>
        <w:pStyle w:val="14"/>
        <w:adjustRightInd w:val="0"/>
        <w:snapToGrid w:val="0"/>
        <w:spacing w:line="440" w:lineRule="exact"/>
        <w:jc w:val="left"/>
        <w:rPr>
          <w:rFonts w:hint="default" w:eastAsia="宋体"/>
          <w:sz w:val="24"/>
          <w:lang w:val="en-US" w:eastAsia="zh-CN"/>
        </w:rPr>
      </w:pPr>
      <w:r>
        <w:rPr>
          <w:rFonts w:hint="eastAsia"/>
          <w:sz w:val="24"/>
        </w:rPr>
        <w:t>七、财政拨款“三公”经费支出决算情况说明</w:t>
      </w:r>
      <w:r>
        <w:rPr>
          <w:rFonts w:hint="eastAsia"/>
          <w:sz w:val="24"/>
        </w:rPr>
        <w:tab/>
      </w:r>
      <w:r>
        <w:rPr>
          <w:rFonts w:hint="eastAsia"/>
          <w:sz w:val="24"/>
          <w:lang w:val="en-US" w:eastAsia="zh-CN"/>
        </w:rPr>
        <w:t>15</w:t>
      </w:r>
    </w:p>
    <w:p>
      <w:pPr>
        <w:pStyle w:val="14"/>
        <w:adjustRightInd w:val="0"/>
        <w:snapToGrid w:val="0"/>
        <w:spacing w:line="440" w:lineRule="exact"/>
        <w:jc w:val="left"/>
        <w:rPr>
          <w:rFonts w:hint="default" w:eastAsia="宋体"/>
          <w:sz w:val="24"/>
          <w:lang w:val="en-US" w:eastAsia="zh-CN"/>
        </w:rPr>
      </w:pPr>
      <w:r>
        <w:rPr>
          <w:rFonts w:hint="eastAsia"/>
          <w:sz w:val="24"/>
        </w:rPr>
        <w:t>八、政府性基金预算支出决算情况说明</w:t>
      </w:r>
      <w:r>
        <w:rPr>
          <w:rFonts w:hint="eastAsia"/>
          <w:sz w:val="24"/>
        </w:rPr>
        <w:tab/>
      </w:r>
      <w:r>
        <w:rPr>
          <w:rFonts w:hint="eastAsia"/>
          <w:sz w:val="24"/>
          <w:lang w:val="en-US" w:eastAsia="zh-CN"/>
        </w:rPr>
        <w:t>16</w:t>
      </w:r>
    </w:p>
    <w:p>
      <w:pPr>
        <w:pStyle w:val="14"/>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hint="eastAsia"/>
          <w:sz w:val="24"/>
        </w:rPr>
        <w:tab/>
      </w:r>
      <w:r>
        <w:rPr>
          <w:rFonts w:hint="eastAsia"/>
          <w:sz w:val="24"/>
          <w:lang w:val="en-US" w:eastAsia="zh-CN"/>
        </w:rPr>
        <w:t>16</w:t>
      </w:r>
    </w:p>
    <w:p>
      <w:pPr>
        <w:pStyle w:val="14"/>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hint="eastAsia"/>
          <w:sz w:val="24"/>
        </w:rPr>
        <w:tab/>
      </w:r>
      <w:r>
        <w:rPr>
          <w:rFonts w:hint="eastAsia"/>
          <w:sz w:val="24"/>
          <w:lang w:val="en-US" w:eastAsia="zh-CN"/>
        </w:rPr>
        <w:t>16</w:t>
      </w:r>
    </w:p>
    <w:p>
      <w:pPr>
        <w:pStyle w:val="14"/>
        <w:adjustRightInd w:val="0"/>
        <w:snapToGrid w:val="0"/>
        <w:spacing w:line="440" w:lineRule="exact"/>
        <w:jc w:val="left"/>
        <w:rPr>
          <w:rFonts w:hint="default" w:eastAsia="宋体"/>
          <w:b/>
          <w:bCs/>
          <w:sz w:val="24"/>
          <w:lang w:val="en-US" w:eastAsia="zh-CN"/>
        </w:rPr>
      </w:pPr>
      <w:r>
        <w:rPr>
          <w:rFonts w:hint="eastAsia"/>
          <w:b/>
          <w:bCs/>
          <w:sz w:val="24"/>
        </w:rPr>
        <w:t>第三部分 名词解释</w:t>
      </w:r>
      <w:r>
        <w:rPr>
          <w:rFonts w:hint="eastAsia"/>
          <w:sz w:val="24"/>
        </w:rPr>
        <w:tab/>
      </w:r>
      <w:r>
        <w:rPr>
          <w:rFonts w:hint="eastAsia"/>
          <w:sz w:val="24"/>
          <w:lang w:val="en-US" w:eastAsia="zh-CN"/>
        </w:rPr>
        <w:t>18</w:t>
      </w:r>
    </w:p>
    <w:p>
      <w:pPr>
        <w:pStyle w:val="14"/>
        <w:adjustRightInd w:val="0"/>
        <w:snapToGrid w:val="0"/>
        <w:spacing w:line="440" w:lineRule="exact"/>
        <w:jc w:val="left"/>
        <w:rPr>
          <w:rFonts w:hint="default" w:eastAsia="宋体"/>
          <w:b/>
          <w:bCs/>
          <w:sz w:val="24"/>
          <w:lang w:val="en-US" w:eastAsia="zh-CN"/>
        </w:rPr>
      </w:pPr>
      <w:r>
        <w:rPr>
          <w:rFonts w:hint="eastAsia"/>
          <w:b/>
          <w:bCs/>
          <w:sz w:val="24"/>
        </w:rPr>
        <w:t>第四部分 附件</w:t>
      </w:r>
      <w:r>
        <w:rPr>
          <w:rFonts w:hint="eastAsia"/>
          <w:sz w:val="24"/>
        </w:rPr>
        <w:tab/>
      </w:r>
      <w:r>
        <w:rPr>
          <w:rFonts w:hint="eastAsia"/>
          <w:sz w:val="24"/>
          <w:lang w:val="en-US" w:eastAsia="zh-CN"/>
        </w:rPr>
        <w:t>20</w:t>
      </w:r>
    </w:p>
    <w:p>
      <w:pPr>
        <w:pStyle w:val="14"/>
        <w:adjustRightInd w:val="0"/>
        <w:snapToGrid w:val="0"/>
        <w:spacing w:line="440" w:lineRule="exact"/>
        <w:jc w:val="left"/>
        <w:rPr>
          <w:rFonts w:hint="default" w:eastAsia="宋体"/>
          <w:b/>
          <w:bCs/>
          <w:sz w:val="24"/>
          <w:lang w:val="en-US" w:eastAsia="zh-CN"/>
        </w:rPr>
      </w:pPr>
      <w:r>
        <w:rPr>
          <w:rFonts w:hint="eastAsia"/>
          <w:b/>
          <w:bCs/>
          <w:sz w:val="24"/>
        </w:rPr>
        <w:t>第五部分 附表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一、收入支出决算总表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二、收入决算表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三、支出决算表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九、一般公共预算财政拨款项目支出决算表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hint="eastAsia"/>
          <w:sz w:val="24"/>
        </w:rPr>
        <w:tab/>
      </w:r>
      <w:r>
        <w:rPr>
          <w:rFonts w:hint="eastAsia"/>
          <w:sz w:val="24"/>
          <w:lang w:val="en-US" w:eastAsia="zh-CN"/>
        </w:rPr>
        <w:t>27</w:t>
      </w:r>
    </w:p>
    <w:p>
      <w:pPr>
        <w:pStyle w:val="14"/>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hint="eastAsia"/>
          <w:sz w:val="24"/>
        </w:rPr>
        <w:tab/>
      </w:r>
      <w:r>
        <w:rPr>
          <w:rFonts w:hint="eastAsia"/>
          <w:sz w:val="24"/>
          <w:lang w:val="en-US" w:eastAsia="zh-CN"/>
        </w:rPr>
        <w:t>27</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widowControl/>
        <w:kinsoku w:val="0"/>
        <w:autoSpaceDE w:val="0"/>
        <w:autoSpaceDN w:val="0"/>
        <w:adjustRightInd w:val="0"/>
        <w:snapToGrid w:val="0"/>
        <w:spacing w:before="136" w:line="225" w:lineRule="auto"/>
        <w:ind w:left="2566"/>
        <w:jc w:val="left"/>
        <w:textAlignment w:val="baseline"/>
        <w:rPr>
          <w:rFonts w:ascii="黑体" w:hAnsi="黑体" w:eastAsia="黑体" w:cs="黑体"/>
          <w:snapToGrid w:val="0"/>
          <w:color w:val="000000"/>
          <w:spacing w:val="8"/>
          <w:kern w:val="0"/>
          <w:sz w:val="42"/>
          <w:szCs w:val="42"/>
          <w:lang w:eastAsia="en-US"/>
        </w:rPr>
      </w:pPr>
      <w:r>
        <w:rPr>
          <w:rFonts w:hint="eastAsia" w:ascii="黑体" w:hAnsi="黑体" w:eastAsia="黑体" w:cs="黑体"/>
          <w:snapToGrid w:val="0"/>
          <w:color w:val="000000"/>
          <w:spacing w:val="8"/>
          <w:kern w:val="0"/>
          <w:sz w:val="42"/>
          <w:szCs w:val="42"/>
          <w:lang w:eastAsia="en-US"/>
        </w:rPr>
        <w:t>第一部分 部门概况</w:t>
      </w:r>
      <w:bookmarkEnd w:id="12"/>
      <w:bookmarkEnd w:id="13"/>
    </w:p>
    <w:p>
      <w:pPr>
        <w:pStyle w:val="4"/>
        <w:keepNext w:val="0"/>
        <w:keepLines w:val="0"/>
        <w:pageBreakBefore w:val="0"/>
        <w:widowControl w:val="0"/>
        <w:numPr>
          <w:ilvl w:val="0"/>
          <w:numId w:val="0"/>
        </w:numPr>
        <w:kinsoku/>
        <w:wordWrap/>
        <w:overflowPunct w:val="0"/>
        <w:topLinePunct w:val="0"/>
        <w:autoSpaceDE w:val="0"/>
        <w:autoSpaceDN w:val="0"/>
        <w:bidi w:val="0"/>
        <w:adjustRightInd w:val="0"/>
        <w:snapToGrid w:val="0"/>
        <w:spacing w:before="0" w:after="0" w:line="560" w:lineRule="exact"/>
        <w:ind w:leftChars="200" w:right="0" w:rightChars="0"/>
        <w:jc w:val="both"/>
        <w:textAlignment w:val="baseline"/>
        <w:rPr>
          <w:rFonts w:hint="eastAsia" w:ascii="黑体" w:hAnsi="黑体" w:eastAsia="黑体" w:cs="黑体"/>
          <w:b w:val="0"/>
          <w:bCs w:val="0"/>
          <w:snapToGrid w:val="0"/>
          <w:color w:val="000000"/>
          <w:spacing w:val="-4"/>
          <w:kern w:val="0"/>
          <w:sz w:val="32"/>
          <w:szCs w:val="32"/>
          <w:lang w:eastAsia="zh-CN"/>
        </w:rPr>
      </w:pPr>
      <w:r>
        <w:rPr>
          <w:rFonts w:hint="eastAsia" w:ascii="黑体" w:hAnsi="黑体" w:eastAsia="黑体" w:cs="黑体"/>
          <w:b w:val="0"/>
          <w:bCs w:val="0"/>
          <w:snapToGrid w:val="0"/>
          <w:color w:val="000000"/>
          <w:spacing w:val="-4"/>
          <w:kern w:val="0"/>
          <w:sz w:val="32"/>
          <w:szCs w:val="32"/>
          <w:lang w:eastAsia="zh-CN"/>
        </w:rPr>
        <w:t>一、部门职责及重点工作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eastAsia="zh-CN"/>
        </w:rPr>
      </w:pPr>
      <w:r>
        <w:rPr>
          <w:rFonts w:hint="eastAsia" w:ascii="楷体_GB2312" w:hAnsi="楷体_GB2312" w:eastAsia="楷体_GB2312" w:cs="楷体_GB2312"/>
          <w:b/>
          <w:bCs/>
          <w:snapToGrid w:val="0"/>
          <w:color w:val="000000"/>
          <w:kern w:val="0"/>
          <w:sz w:val="32"/>
          <w:szCs w:val="32"/>
          <w:lang w:eastAsia="zh-CN"/>
        </w:rPr>
        <w:t>（一）部门职责</w:t>
      </w:r>
      <w:bookmarkStart w:id="14" w:name="_Toc24683"/>
    </w:p>
    <w:bookmarkEnd w:id="14"/>
    <w:p>
      <w:pPr>
        <w:pStyle w:val="2"/>
        <w:widowControl/>
        <w:kinsoku w:val="0"/>
        <w:autoSpaceDE w:val="0"/>
        <w:autoSpaceDN w:val="0"/>
        <w:adjustRightInd w:val="0"/>
        <w:snapToGrid w:val="0"/>
        <w:spacing w:before="125" w:beforeLines="-2147483648" w:line="320" w:lineRule="auto"/>
        <w:ind w:left="2" w:firstLine="951"/>
        <w:jc w:val="both"/>
        <w:textAlignment w:val="baseline"/>
        <w:rPr>
          <w:rFonts w:ascii="Times New Roman" w:hAnsi="Times New Roman" w:eastAsia="Times New Roman" w:cs="Times New Roman"/>
          <w:snapToGrid w:val="0"/>
          <w:color w:val="000000"/>
          <w:spacing w:val="10"/>
          <w:szCs w:val="30"/>
          <w:lang w:eastAsia="en-US"/>
        </w:rPr>
      </w:pPr>
      <w:r>
        <w:rPr>
          <w:rFonts w:hint="eastAsia" w:ascii="Times New Roman" w:hAnsi="Times New Roman" w:eastAsia="Times New Roman" w:cs="Times New Roman"/>
          <w:snapToGrid w:val="0"/>
          <w:color w:val="000000"/>
          <w:spacing w:val="10"/>
          <w:szCs w:val="30"/>
          <w:lang w:eastAsia="zh-CN"/>
        </w:rPr>
        <w:t>1.根据中共中央 21 世纪干部队伍建设的要求和县委的具体安排，有计划地轮（培）训正、副科级领导干部、科员、办事员、企事业单位和群团组织领导干部。宣传</w:t>
      </w:r>
      <w:r>
        <w:rPr>
          <w:rFonts w:hint="eastAsia" w:ascii="Times New Roman" w:eastAsia="Times New Roman" w:cs="Times New Roman"/>
          <w:snapToGrid w:val="0"/>
          <w:color w:val="000000"/>
          <w:spacing w:val="10"/>
          <w:szCs w:val="30"/>
          <w:lang w:eastAsia="zh-CN"/>
        </w:rPr>
        <w:t>理论</w:t>
      </w:r>
      <w:r>
        <w:rPr>
          <w:rFonts w:hint="eastAsia" w:ascii="Times New Roman" w:hAnsi="Times New Roman" w:eastAsia="Times New Roman" w:cs="Times New Roman"/>
          <w:snapToGrid w:val="0"/>
          <w:color w:val="000000"/>
          <w:spacing w:val="10"/>
          <w:szCs w:val="30"/>
          <w:lang w:eastAsia="zh-CN"/>
        </w:rPr>
        <w:t>骨干、农村党支部书记、 村主任及县级机关和乡镇一般干部、党员、入党积极分子，协同组 织人事部门对学员在党校学习期间的表</w:t>
      </w:r>
      <w:r>
        <w:rPr>
          <w:rFonts w:ascii="Times New Roman" w:hAnsi="Times New Roman" w:eastAsia="Times New Roman" w:cs="Times New Roman"/>
          <w:snapToGrid w:val="0"/>
          <w:color w:val="000000"/>
          <w:spacing w:val="10"/>
          <w:szCs w:val="30"/>
          <w:lang w:eastAsia="en-US"/>
        </w:rPr>
        <w:t>现情况进行考核，提出使用建议。</w:t>
      </w:r>
    </w:p>
    <w:p>
      <w:pPr>
        <w:pStyle w:val="2"/>
        <w:widowControl/>
        <w:kinsoku w:val="0"/>
        <w:autoSpaceDE w:val="0"/>
        <w:autoSpaceDN w:val="0"/>
        <w:adjustRightInd w:val="0"/>
        <w:snapToGrid w:val="0"/>
        <w:spacing w:before="125" w:beforeLines="-2147483648" w:line="320" w:lineRule="auto"/>
        <w:ind w:left="2" w:firstLine="951"/>
        <w:jc w:val="both"/>
        <w:textAlignment w:val="baseline"/>
        <w:rPr>
          <w:rFonts w:hint="eastAsia" w:ascii="Times New Roman" w:hAnsi="Times New Roman" w:eastAsia="Times New Roman" w:cs="Times New Roman"/>
          <w:snapToGrid w:val="0"/>
          <w:color w:val="000000"/>
          <w:spacing w:val="10"/>
          <w:szCs w:val="30"/>
          <w:lang w:eastAsia="zh-CN"/>
        </w:rPr>
      </w:pPr>
      <w:r>
        <w:rPr>
          <w:rFonts w:hint="eastAsia" w:ascii="Times New Roman" w:hAnsi="Times New Roman" w:eastAsia="Times New Roman" w:cs="Times New Roman"/>
          <w:snapToGrid w:val="0"/>
          <w:color w:val="000000"/>
          <w:spacing w:val="10"/>
          <w:szCs w:val="30"/>
          <w:lang w:eastAsia="zh-CN"/>
        </w:rPr>
        <w:t>2.研究、宣传马列主义、毛泽东思想和邓小平理论，围绕党的中心任务和县委、县政府的部署，对全县重大现实问题开展理论研究，为教学和党的建设、经济工作报务。</w:t>
      </w:r>
    </w:p>
    <w:p>
      <w:pPr>
        <w:pStyle w:val="2"/>
        <w:widowControl/>
        <w:kinsoku w:val="0"/>
        <w:autoSpaceDE w:val="0"/>
        <w:autoSpaceDN w:val="0"/>
        <w:adjustRightInd w:val="0"/>
        <w:snapToGrid w:val="0"/>
        <w:spacing w:before="125" w:beforeLines="-2147483648" w:line="320" w:lineRule="auto"/>
        <w:ind w:left="2" w:firstLine="951"/>
        <w:jc w:val="both"/>
        <w:textAlignment w:val="baseline"/>
        <w:rPr>
          <w:rFonts w:hint="default" w:ascii="Times New Roman" w:hAnsi="Times New Roman" w:eastAsia="Times New Roman" w:cs="Times New Roman"/>
          <w:snapToGrid w:val="0"/>
          <w:color w:val="000000"/>
          <w:spacing w:val="10"/>
          <w:szCs w:val="30"/>
          <w:lang w:val="en-US" w:eastAsia="zh-CN"/>
        </w:rPr>
      </w:pPr>
      <w:r>
        <w:rPr>
          <w:rFonts w:hint="eastAsia" w:ascii="Times New Roman" w:hAnsi="Times New Roman" w:eastAsia="Times New Roman" w:cs="Times New Roman"/>
          <w:snapToGrid w:val="0"/>
          <w:color w:val="000000"/>
          <w:spacing w:val="10"/>
          <w:szCs w:val="30"/>
          <w:lang w:eastAsia="zh-CN"/>
        </w:rPr>
        <w:t>3.受县委委托举办领导干部研究班，研讨县委提出的重</w:t>
      </w:r>
      <w:r>
        <w:rPr>
          <w:rFonts w:hint="eastAsia" w:ascii="Times New Roman" w:hAnsi="Times New Roman" w:eastAsia="Times New Roman" w:cs="Times New Roman"/>
          <w:snapToGrid w:val="0"/>
          <w:color w:val="000000"/>
          <w:spacing w:val="10"/>
          <w:szCs w:val="30"/>
          <w:lang w:val="en-US" w:eastAsia="zh-CN"/>
        </w:rPr>
        <w:t>大理论和方针政策问题。</w:t>
      </w:r>
    </w:p>
    <w:p>
      <w:pPr>
        <w:pStyle w:val="2"/>
        <w:widowControl/>
        <w:kinsoku w:val="0"/>
        <w:autoSpaceDE w:val="0"/>
        <w:autoSpaceDN w:val="0"/>
        <w:adjustRightInd w:val="0"/>
        <w:snapToGrid w:val="0"/>
        <w:spacing w:before="125" w:beforeLines="-2147483648" w:line="320" w:lineRule="auto"/>
        <w:ind w:left="2" w:firstLine="951"/>
        <w:jc w:val="both"/>
        <w:textAlignment w:val="baseline"/>
        <w:rPr>
          <w:rFonts w:hint="eastAsia" w:ascii="Times New Roman" w:hAnsi="Times New Roman" w:eastAsia="Times New Roman" w:cs="Times New Roman"/>
          <w:snapToGrid w:val="0"/>
          <w:color w:val="000000"/>
          <w:spacing w:val="10"/>
          <w:szCs w:val="30"/>
          <w:lang w:eastAsia="zh-CN"/>
        </w:rPr>
      </w:pPr>
      <w:r>
        <w:rPr>
          <w:rFonts w:hint="eastAsia" w:ascii="Times New Roman" w:hAnsi="Times New Roman" w:eastAsia="Times New Roman" w:cs="Times New Roman"/>
          <w:snapToGrid w:val="0"/>
          <w:color w:val="000000"/>
          <w:spacing w:val="10"/>
          <w:szCs w:val="30"/>
          <w:lang w:eastAsia="zh-CN"/>
        </w:rPr>
        <w:t>4.承办县委、县政府及省、市委党校交办的其他事项。</w:t>
      </w:r>
    </w:p>
    <w:p>
      <w:pPr>
        <w:numPr>
          <w:ilvl w:val="0"/>
          <w:numId w:val="0"/>
        </w:numPr>
        <w:ind w:firstLine="420" w:firstLineChars="200"/>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eastAsia="zh-CN"/>
        </w:rPr>
      </w:pPr>
      <w:bookmarkStart w:id="15" w:name="_Toc15377200"/>
      <w:bookmarkStart w:id="16" w:name="_Toc15396601"/>
      <w:r>
        <w:rPr>
          <w:rFonts w:hint="eastAsia" w:ascii="楷体_GB2312" w:hAnsi="楷体_GB2312" w:eastAsia="楷体_GB2312" w:cs="楷体_GB2312"/>
          <w:b/>
          <w:bCs/>
          <w:snapToGrid w:val="0"/>
          <w:color w:val="000000"/>
          <w:kern w:val="0"/>
          <w:sz w:val="32"/>
          <w:szCs w:val="32"/>
          <w:lang w:eastAsia="zh-CN"/>
        </w:rPr>
        <w:t>（二）2022年重点工作完成情况</w:t>
      </w:r>
    </w:p>
    <w:p>
      <w:pPr>
        <w:pStyle w:val="2"/>
        <w:widowControl/>
        <w:kinsoku w:val="0"/>
        <w:autoSpaceDE w:val="0"/>
        <w:autoSpaceDN w:val="0"/>
        <w:adjustRightInd w:val="0"/>
        <w:snapToGrid w:val="0"/>
        <w:spacing w:before="125" w:beforeLines="-2147483648" w:line="320" w:lineRule="auto"/>
        <w:ind w:left="2" w:firstLine="951"/>
        <w:jc w:val="both"/>
        <w:textAlignment w:val="baseline"/>
        <w:rPr>
          <w:rFonts w:hint="eastAsia" w:ascii="Times New Roman" w:hAnsi="Times New Roman" w:eastAsia="Times New Roman" w:cs="Times New Roman"/>
          <w:snapToGrid w:val="0"/>
          <w:color w:val="000000"/>
          <w:spacing w:val="10"/>
          <w:szCs w:val="30"/>
          <w:lang w:eastAsia="zh-CN"/>
        </w:rPr>
      </w:pPr>
      <w:r>
        <w:rPr>
          <w:rFonts w:hint="eastAsia" w:ascii="Times New Roman" w:hAnsi="Times New Roman" w:eastAsia="Times New Roman" w:cs="Times New Roman"/>
          <w:snapToGrid w:val="0"/>
          <w:color w:val="000000"/>
          <w:spacing w:val="10"/>
          <w:szCs w:val="30"/>
          <w:lang w:eastAsia="zh-CN"/>
        </w:rPr>
        <w:t>县委党校紧紧围绕主业主责，狠抓培训、科研、分类建设、“</w:t>
      </w:r>
      <w:r>
        <w:rPr>
          <w:rFonts w:hint="eastAsia" w:ascii="Times New Roman" w:hAnsi="Times New Roman" w:eastAsia="Times New Roman" w:cs="Times New Roman"/>
          <w:snapToGrid w:val="0"/>
          <w:color w:val="000000"/>
          <w:spacing w:val="10"/>
          <w:szCs w:val="30"/>
          <w:lang w:val="en-US" w:eastAsia="zh-CN"/>
        </w:rPr>
        <w:t>五好</w:t>
      </w:r>
      <w:r>
        <w:rPr>
          <w:rFonts w:hint="eastAsia" w:ascii="Times New Roman" w:hAnsi="Times New Roman" w:eastAsia="Times New Roman" w:cs="Times New Roman"/>
          <w:snapToGrid w:val="0"/>
          <w:color w:val="000000"/>
          <w:spacing w:val="10"/>
          <w:szCs w:val="30"/>
          <w:lang w:eastAsia="zh-CN"/>
        </w:rPr>
        <w:t>”</w:t>
      </w:r>
      <w:r>
        <w:rPr>
          <w:rFonts w:hint="eastAsia" w:ascii="Times New Roman" w:hAnsi="Times New Roman" w:eastAsia="Times New Roman" w:cs="Times New Roman"/>
          <w:snapToGrid w:val="0"/>
          <w:color w:val="000000"/>
          <w:spacing w:val="10"/>
          <w:szCs w:val="30"/>
          <w:lang w:val="en-US" w:eastAsia="zh-CN"/>
        </w:rPr>
        <w:t>创新工程、</w:t>
      </w:r>
      <w:r>
        <w:rPr>
          <w:rFonts w:hint="eastAsia" w:ascii="Times New Roman" w:hAnsi="Times New Roman" w:eastAsia="Times New Roman" w:cs="Times New Roman"/>
          <w:snapToGrid w:val="0"/>
          <w:color w:val="000000"/>
          <w:spacing w:val="10"/>
          <w:szCs w:val="30"/>
          <w:lang w:eastAsia="zh-CN"/>
        </w:rPr>
        <w:t>班子人才队伍、党风廉政、意识形态等重点工作。其他各项工作同重点工作同部署、共推进，</w:t>
      </w:r>
      <w:r>
        <w:rPr>
          <w:rFonts w:hint="eastAsia" w:ascii="Times New Roman" w:hAnsi="Times New Roman" w:eastAsia="Times New Roman" w:cs="Times New Roman"/>
          <w:snapToGrid w:val="0"/>
          <w:color w:val="000000"/>
          <w:spacing w:val="10"/>
          <w:szCs w:val="30"/>
          <w:lang w:val="en-US" w:eastAsia="zh-CN"/>
        </w:rPr>
        <w:t>全力以赴准备省市考评组验收</w:t>
      </w:r>
      <w:r>
        <w:rPr>
          <w:rFonts w:hint="eastAsia" w:ascii="Times New Roman" w:hAnsi="Times New Roman" w:eastAsia="Times New Roman" w:cs="Times New Roman"/>
          <w:snapToGrid w:val="0"/>
          <w:color w:val="000000"/>
          <w:spacing w:val="1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2"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w:t>
      </w:r>
      <w:r>
        <w:rPr>
          <w:rFonts w:hint="eastAsia" w:ascii="楷体" w:hAnsi="楷体" w:eastAsia="楷体" w:cs="楷体"/>
          <w:b/>
          <w:bCs/>
          <w:i w:val="0"/>
          <w:iCs w:val="0"/>
          <w:caps w:val="0"/>
          <w:color w:val="000000"/>
          <w:spacing w:val="0"/>
          <w:sz w:val="32"/>
          <w:szCs w:val="32"/>
          <w:lang w:val="en-US" w:eastAsia="zh-CN"/>
        </w:rPr>
        <w:t>聚焦党委履行主体责任，</w:t>
      </w:r>
      <w:r>
        <w:rPr>
          <w:rFonts w:hint="eastAsia" w:ascii="楷体" w:hAnsi="楷体" w:eastAsia="楷体" w:cs="楷体"/>
          <w:b/>
          <w:bCs/>
          <w:sz w:val="32"/>
          <w:szCs w:val="32"/>
        </w:rPr>
        <w:t>主动担当作为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县委高度重视党校工作，认真履行主体责任，各项工作落实到位。一是坚持把党校工作纳入县委整体工作部署和年度目标考核，始终严格执行到位。突出分类建设重点设置考核指标及评分细则，坚持严格执行到位。二是县委书记把党校工作纳入党建工作重要内容，及时开展党校分类建设等相关工作的调度督导，每年向市委的党建工作述职重点汇报党校工作情况。三是县委书记每年及时组织召开县委常委会等会议专题研究推动党校工作发展，并及时纳入县委常委会工作要点，2022年度3次（3月22日、5月9日、5月22日）专题研究解决党校工作及建设、发展中的重大问题和突出困难。县委书记专题调研指导党校工作或参与讲课、座谈等活动8次；选优配强党校领导班子，现有领导职数5人，实际配备6人，常务副校长作为县委同级党委候选人提名，其中主管教学、科研工作的校领导具有相应工作经历。机构编制数足额保障，现有编制20名，其中行政编制数7名，事业编制数13名（含专项人才专编5名）。校区基础设施建设、师资力量培养、现场教学基地建设、经费保障全面到位，其中追加图书经费24万，追加科研经费10万元。四是认真规范和加强党校机构建设，机构编制足额保障，办学机制健运行管理规范，按照《广元市规范和加强党校机构建设实施细则》《广元市规范乡镇（街道）党校建设实施方案》，对校（院）机构设置全面进行了清理规范，出台了《剑阁县规范乡镇党校建设实施方案》，其中10个乡镇单独设立乡镇党校，切实加强了基层党员干部教育培训的规范管理，有效提升了基层党员干部综合素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县委常委、组织部部长、党校校长高度重视党校工作，认真贯彻落实《党校（行政学院）工作条例》和相关文件要求，坚决贯彻市委、县委关于党校工作各项决策部署，积极推动党校与党性教育基地、教学点统筹办学及融合发展，2022年以来24次专题调研指导党校工作、参加开学典礼等重大活动或组织召开联席会、协调会和工作推进会等，研究解决党校建设、资金协调、人员配备以及融合发展等工作中的实际问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baseline"/>
        <w:rPr>
          <w:rFonts w:hint="eastAsia" w:ascii="楷体" w:hAnsi="楷体" w:eastAsia="楷体" w:cs="楷体"/>
          <w:b/>
          <w:bCs/>
          <w:sz w:val="32"/>
          <w:szCs w:val="32"/>
          <w:lang w:val="en-US" w:eastAsia="zh-CN"/>
        </w:rPr>
      </w:pPr>
      <w:r>
        <w:rPr>
          <w:rFonts w:hint="eastAsia" w:ascii="楷体" w:hAnsi="楷体" w:eastAsia="楷体" w:cs="宋体"/>
          <w:bCs/>
          <w:sz w:val="32"/>
          <w:szCs w:val="32"/>
        </w:rPr>
        <w:t>（</w:t>
      </w:r>
      <w:r>
        <w:rPr>
          <w:rFonts w:hint="eastAsia" w:ascii="楷体" w:hAnsi="楷体" w:eastAsia="楷体" w:cs="楷体"/>
          <w:b/>
          <w:bCs/>
          <w:sz w:val="32"/>
          <w:szCs w:val="32"/>
          <w:lang w:val="en-US" w:eastAsia="zh-CN"/>
        </w:rPr>
        <w:t>二）聚焦校园建设，科学谋划积极推进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default"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县委县政府高度重视，由县委成立专组、专班、专群，县委书记任组长统筹统领，县委副书记、组织部长任副组长牵头推进，一办三组+专班，相关县级部门为成员单位分工协作、各负其责，形成工作合力，共同推进，实行月计划、周清单、日报告的工作机制，在专群里报告每日工作开展情况，2022年县委主要领导专题研究党校工作5次，现场调研3次，其中县委常委会专题研究部署3次，其他县领导多次进行专题研究党校工作，调整党校重点项目工作专班，及时研究解决党校分类建设中存在的问题和困难，按照建设进度于2022年12月底完成施工，改造工程质量合格，未出现安全事故，符合《市县级党校基础设施建设规范（试行）》规定，满足“六有”办学功能。</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（三）聚焦干部教育培训，办班更加规范高效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坚持党校姓党原则，充分发挥干部教育主阵地优势，学习宣传贯彻党的二十大精神、习近平新时代中国特色社会主义思想、十九届六中全会、党建党史、党风廉政建设、依法治国、意识形态、国家安全教育、爱国主义教育为主要内容，同时加强扫黑除恶、禁毒、综治、维稳、信访、保密、重疾、防邪等业务知识培训，提高参训学员综合业务能力水平。综合运用课堂理论学习、现场教学、影音教学、情景模拟式教学等方式，提高学员学习热情，提升学习成效。2022年县委书记进行讲课1次，严格落实《关于在干部教育培训中推行领导干部上讲台制度的意见》（川组通〔2020〕8号）文件精神，我校领导干部上讲台授课占比达到33%。全年举办主体班10期，参训学员1115人，外培班14期，参训学员800余人，学员满意度达99%以上。参训学员在党校学习后，思想受熏陶、理论水平有提升，工作实践中也取得了较好的效果。</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（四）聚焦人才队伍建设，做实人才强校战略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加强党校人才队伍建设，针对我校思政人才队伍不强这个问题，2022积极引进高层次人才，调入2名优秀教师，人才引进5名，考核招聘3名，师资占比达到50%以上。组织现有师资力量外出理论学习3次，提高师资队伍理论水平。优化专职教师岗位设置，高中初比例达4:4:2。健全师资库动态管理制度，打造剑阁党校一流专兼职师资队伍，目前师资库已达42人。</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baseline"/>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（五）聚焦“五好”创新工程，增量提质强基础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根据《“五好”创新工程推动高质量发展的实施意见》（广委校〔</w:t>
      </w:r>
      <w:r>
        <w:rPr>
          <w:rFonts w:hint="eastAsia" w:eastAsia="Times New Roman" w:cs="Times New Roman"/>
          <w:snapToGrid w:val="0"/>
          <w:color w:val="000000"/>
          <w:spacing w:val="10"/>
          <w:kern w:val="0"/>
          <w:sz w:val="30"/>
          <w:szCs w:val="30"/>
          <w:lang w:val="en-US" w:eastAsia="zh-CN" w:bidi="ar-SA"/>
        </w:rPr>
        <w:t>2022</w:t>
      </w:r>
      <w:r>
        <w:rPr>
          <w:rFonts w:hint="eastAsia" w:ascii="Times New Roman" w:hAnsi="Times New Roman" w:eastAsia="Times New Roman" w:cs="Times New Roman"/>
          <w:snapToGrid w:val="0"/>
          <w:color w:val="000000"/>
          <w:spacing w:val="10"/>
          <w:kern w:val="0"/>
          <w:sz w:val="30"/>
          <w:szCs w:val="30"/>
          <w:lang w:val="en-US" w:eastAsia="zh-CN" w:bidi="ar-SA"/>
        </w:rPr>
        <w:t>〕5号）要求，我校强化组织领导，组建专班推进，强化目标管理，落实任务清单，努力建设一批具有一定影响力的“好教材”、“好课程”、“好案例”、“好课题”、“好文章”，在提升党校干部培训质量上有新的突破，在发挥新型智库作用上有新作为，在宣传推介剑阁社会主义现代化建设上有新成效，为推动实现党校事业高质量发展、建设“区域一流县级党校”提供坚实的成果支撑，实施“五好”创新工程取得明显成效，在好教材方面：成立编撰小组，筛选相关资料编写《剑阁古迹荟萃》。“好课程”方面：打造有4堂微党课，打造有“红军攻克剑门关纪念馆”“双旗美村”“李榕家风馆”“二龙林业园区”“拦马墙”5个现场教学点。“好案例”方面：充分挖掘剑阁县域资源，打造《干部多动腿、群众少跑路——弘扬“背篼法官”郭兴利的为民精神》、《强化多元化社会参与  推进基层治理新模式——剑阁县普安镇基层治理探索实践》。“好课题”方面：完成四川省党校（行政学院）系统结项课题《弘扬抗疫精神融于农村爱国主义教育的实践研究》《剑阁县红四方面军石刻标语的保护利用情况研究》。“好文章”方面：蜀门论坛发表《广元市文旅兴市战略视域下红色旅游发展路径探析》，四川党校通讯录发表《“三个实施”高质量推进县级党校分类建设》，参加“喜迎党的二十大，阔步迈向全面建设社会主义现代化广元新征程”理论研讨会论文集《文化自信视野下剑阁县红色资源保护与开发研究》获得优秀奖。</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baseline"/>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（六）聚焦科研咨政，奋力提升服务水平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2022年省委党校结项2篇课题；市级课题立项1篇；调研课题《红军长征在剑阁》已结项。积极撰写理论文章，在广元日报发表2篇，市级以上内部刊物发表2篇；调研报告获得党委政府主要领导肯定性签批3篇；参加2022年度全市党校系统现场教学课程竞赛获得优秀奖；积极参与各类研讨会征文活动获得优秀奖1篇。</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（七）聚焦党风廉政建设，筑牢“红色”战斗堡垒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建立健全党风廉政建设各项制度，签订廉政风险责任书，“一把手”负主责，分管领导具体负责分管领域风险，落实“一岗双责”。严格执行中央八项规定，加强全校纪律作风建设。一是根据广元市“三张清单”要求，进一步细化我校班子、支部书记、班子成员廉政责任，明确分工。二是制定“4321”精准监督台账，细化科室、岗位风险，制定风险防控清单，对症下药。三是聚焦“四风”问题，扎实开展干部纪律作风整顿，党员领导干部自查自纠，严管干部作风纪律，力戒形式主义、官僚主义、享乐主义和奢靡之风。四是严格落实“以案促改”工作要求，领导干部自我剖析问题，开展各项专项整治，建立台账，及时整改，营造风清气正的政治生态。五是常态化开展警示教育，每季度开展警示教育活动，增强党员干部廉洁自律意识，筑牢反腐倡廉思想防线。六是加强廉政宣传信息，每月至少在省级以上媒体发送1篇信息，本年度共发送16条廉政相关信息。</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baseline"/>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（八）聚焦意识形态，筑牢党校阵地建设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建立健全意识形态领域工作责任制，制定全年意识形态工作实施意见，细化意识形态领域宣传教育职责分工，严管意识形态工作阵地，突出政治站位，压实政治责任。一是完善风险预警机制，每季度分析研判意识形态领域风险，加强网络安全风险预防。二是严管“三阵地”。以“党校姓党”为根本出发点，坚持用学术讲政治，严管宣传、课堂、科研三个阵地。实行科室负责人审查、分管负责人批准的对外“发声”模式，严管科研、理论文章、教师教学内容的政治性，县外兼职教师授课一律报宣传部备案。三是全体教职工积极参与宣讲，同县委宣传部在县级部门和各乡镇开展集中宣讲10次。四是提高全体干部思想政治素质。全年共计学习党的理论成果和重要会议精神20余次，全体职工政治自觉、行动自觉大幅提高。</w:t>
      </w:r>
    </w:p>
    <w:p>
      <w:pPr>
        <w:pStyle w:val="4"/>
        <w:keepNext w:val="0"/>
        <w:keepLines w:val="0"/>
        <w:pageBreakBefore w:val="0"/>
        <w:widowControl w:val="0"/>
        <w:numPr>
          <w:ilvl w:val="0"/>
          <w:numId w:val="0"/>
        </w:numPr>
        <w:kinsoku/>
        <w:wordWrap/>
        <w:overflowPunct w:val="0"/>
        <w:topLinePunct w:val="0"/>
        <w:autoSpaceDE w:val="0"/>
        <w:autoSpaceDN w:val="0"/>
        <w:bidi w:val="0"/>
        <w:adjustRightInd w:val="0"/>
        <w:snapToGrid w:val="0"/>
        <w:spacing w:before="0" w:after="0" w:line="560" w:lineRule="exact"/>
        <w:ind w:leftChars="200" w:right="0" w:rightChars="0" w:firstLine="317" w:firstLineChars="100"/>
        <w:jc w:val="both"/>
        <w:textAlignment w:val="baseline"/>
        <w:rPr>
          <w:rFonts w:hint="eastAsia" w:ascii="黑体" w:hAnsi="黑体" w:eastAsia="黑体" w:cs="黑体"/>
          <w:b/>
          <w:bCs/>
          <w:snapToGrid w:val="0"/>
          <w:color w:val="000000"/>
          <w:spacing w:val="-2"/>
          <w:kern w:val="0"/>
          <w:sz w:val="32"/>
          <w:szCs w:val="32"/>
          <w:lang w:eastAsia="zh-CN"/>
        </w:rPr>
      </w:pPr>
      <w:r>
        <w:rPr>
          <w:rFonts w:hint="eastAsia" w:ascii="黑体" w:hAnsi="黑体" w:eastAsia="黑体" w:cs="黑体"/>
          <w:b/>
          <w:bCs/>
          <w:snapToGrid w:val="0"/>
          <w:color w:val="000000"/>
          <w:spacing w:val="-2"/>
          <w:kern w:val="0"/>
          <w:sz w:val="32"/>
          <w:szCs w:val="32"/>
          <w:lang w:eastAsia="zh-CN"/>
        </w:rPr>
        <w:t>二、机构设置</w:t>
      </w:r>
      <w:bookmarkEnd w:id="15"/>
      <w:bookmarkEnd w:id="16"/>
    </w:p>
    <w:p>
      <w:pPr>
        <w:spacing w:line="500" w:lineRule="exact"/>
        <w:ind w:firstLine="560" w:firstLineChars="200"/>
        <w:rPr>
          <w:rFonts w:hint="eastAsia" w:ascii="宋体" w:hAnsi="宋体" w:eastAsia="宋体" w:cs="宋体"/>
          <w:sz w:val="28"/>
          <w:szCs w:val="28"/>
          <w:lang w:eastAsia="zh-CN"/>
        </w:rPr>
      </w:pPr>
      <w:bookmarkStart w:id="17" w:name="_Toc15377204"/>
      <w:bookmarkStart w:id="18" w:name="_Toc15396602"/>
      <w:r>
        <w:rPr>
          <w:rFonts w:hint="eastAsia" w:ascii="宋体" w:hAnsi="宋体" w:eastAsia="宋体" w:cs="宋体"/>
          <w:sz w:val="28"/>
          <w:szCs w:val="28"/>
          <w:lang w:eastAsia="zh-CN"/>
        </w:rPr>
        <w:t>中国共产党剑阁县委员会党校无下属二级单位，其中行政单位0个，参照公务员法管理的事业单位1个（正科级），其他事业单位0个。纳入2022年度部门决算编制范围的预算单位包括：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1、中国共产党剑阁县委员会党校</w:t>
      </w: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pStyle w:val="3"/>
        <w:ind w:right="440"/>
        <w:jc w:val="center"/>
        <w:rPr>
          <w:rFonts w:hint="eastAsia" w:ascii="黑体" w:hAnsi="黑体" w:eastAsia="黑体"/>
          <w:b w:val="0"/>
        </w:rPr>
      </w:pP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方正大黑简体" w:hAnsi="方正大黑简体" w:eastAsia="方正大黑简体" w:cs="方正大黑简体"/>
          <w:b/>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eastAsia" w:ascii="方正大黑简体" w:hAnsi="方正大黑简体" w:eastAsia="方正大黑简体" w:cs="方正大黑简体"/>
          <w:b/>
          <w:bCs/>
          <w:spacing w:val="0"/>
          <w:sz w:val="32"/>
          <w:szCs w:val="32"/>
          <w:lang w:val="en-US" w:eastAsia="zh-CN"/>
        </w:rPr>
      </w:pPr>
    </w:p>
    <w:p>
      <w:pPr>
        <w:widowControl/>
        <w:kinsoku w:val="0"/>
        <w:autoSpaceDE w:val="0"/>
        <w:autoSpaceDN w:val="0"/>
        <w:adjustRightInd w:val="0"/>
        <w:snapToGrid w:val="0"/>
        <w:spacing w:before="136" w:line="225" w:lineRule="auto"/>
        <w:ind w:firstLine="436" w:firstLineChars="100"/>
        <w:jc w:val="left"/>
        <w:textAlignment w:val="baseline"/>
        <w:rPr>
          <w:rFonts w:hint="eastAsia" w:ascii="黑体" w:hAnsi="黑体" w:eastAsia="黑体" w:cs="黑体"/>
          <w:snapToGrid w:val="0"/>
          <w:color w:val="000000"/>
          <w:spacing w:val="8"/>
          <w:kern w:val="0"/>
          <w:sz w:val="42"/>
          <w:szCs w:val="42"/>
          <w:lang w:val="en-US" w:eastAsia="zh-CN"/>
        </w:rPr>
      </w:pPr>
      <w:r>
        <w:rPr>
          <w:rFonts w:hint="eastAsia" w:ascii="黑体" w:hAnsi="黑体" w:eastAsia="黑体" w:cs="黑体"/>
          <w:snapToGrid w:val="0"/>
          <w:color w:val="000000"/>
          <w:spacing w:val="8"/>
          <w:kern w:val="0"/>
          <w:sz w:val="42"/>
          <w:szCs w:val="42"/>
          <w:lang w:val="en-US" w:eastAsia="zh-CN"/>
        </w:rPr>
        <w:t>第二部分 2022年度部门决算情况说明</w:t>
      </w:r>
      <w:bookmarkEnd w:id="17"/>
      <w:bookmarkEnd w:id="18"/>
    </w:p>
    <w:p/>
    <w:p>
      <w:pPr>
        <w:pStyle w:val="30"/>
        <w:numPr>
          <w:ilvl w:val="0"/>
          <w:numId w:val="1"/>
        </w:numPr>
        <w:spacing w:line="600" w:lineRule="exact"/>
        <w:ind w:firstLineChars="0"/>
        <w:outlineLvl w:val="1"/>
        <w:rPr>
          <w:rStyle w:val="32"/>
          <w:rFonts w:ascii="黑体" w:hAnsi="黑体" w:eastAsia="黑体"/>
          <w:b w:val="0"/>
        </w:rPr>
      </w:pPr>
      <w:bookmarkStart w:id="19" w:name="_Toc15377205"/>
      <w:bookmarkStart w:id="20"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19"/>
      <w:bookmarkEnd w:id="20"/>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2022年度收、支总计为219.33万元。与</w:t>
      </w:r>
      <w:r>
        <w:rPr>
          <w:rFonts w:hint="eastAsia" w:eastAsia="Times New Roman" w:cs="Times New Roman"/>
          <w:snapToGrid w:val="0"/>
          <w:color w:val="000000"/>
          <w:spacing w:val="10"/>
          <w:kern w:val="0"/>
          <w:sz w:val="30"/>
          <w:szCs w:val="30"/>
          <w:lang w:val="en-US" w:eastAsia="zh-CN" w:bidi="ar-SA"/>
        </w:rPr>
        <w:t>2022</w:t>
      </w:r>
      <w:r>
        <w:rPr>
          <w:rFonts w:hint="eastAsia" w:ascii="Times New Roman" w:hAnsi="Times New Roman" w:eastAsia="Times New Roman" w:cs="Times New Roman"/>
          <w:snapToGrid w:val="0"/>
          <w:color w:val="000000"/>
          <w:spacing w:val="10"/>
          <w:kern w:val="0"/>
          <w:sz w:val="30"/>
          <w:szCs w:val="30"/>
          <w:lang w:val="en-US" w:eastAsia="zh-CN" w:bidi="ar-SA"/>
        </w:rPr>
        <w:t>年相比，收、支总计增加11.45万元，增长5.51%。主要变动原因是2022年人员增加，基本支出增加。项目经费也增加，收支总额增加。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（图1：收、支决算总计变动情况图）（柱状图）</w:t>
      </w:r>
    </w:p>
    <w:p>
      <w:pPr>
        <w:pStyle w:val="2"/>
        <w:rPr>
          <w:rFonts w:hint="default" w:eastAsia="仿宋_GB2312"/>
          <w:lang w:val="en-US" w:eastAsia="zh-CN"/>
        </w:rPr>
      </w:pPr>
      <w:r>
        <w:rPr>
          <w:rFonts w:hint="eastAsia"/>
          <w:lang w:val="en-US" w:eastAsia="zh-CN"/>
        </w:rPr>
        <w:t xml:space="preserve">   </w:t>
      </w: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0"/>
        <w:numPr>
          <w:ilvl w:val="0"/>
          <w:numId w:val="0"/>
        </w:numPr>
        <w:spacing w:line="600" w:lineRule="exact"/>
        <w:ind w:left="640" w:leftChars="0"/>
        <w:outlineLvl w:val="1"/>
        <w:rPr>
          <w:rStyle w:val="32"/>
          <w:rFonts w:ascii="黑体" w:hAnsi="黑体" w:eastAsia="黑体"/>
          <w:b w:val="0"/>
        </w:rPr>
      </w:pPr>
      <w:bookmarkStart w:id="21" w:name="_Toc15396604"/>
      <w:bookmarkStart w:id="22" w:name="_Toc15377206"/>
      <w:r>
        <w:rPr>
          <w:rFonts w:hint="eastAsia" w:ascii="黑体" w:hAnsi="黑体" w:eastAsia="黑体"/>
          <w:sz w:val="32"/>
          <w:szCs w:val="32"/>
          <w:lang w:eastAsia="zh-CN"/>
        </w:rPr>
        <w:t>二、</w:t>
      </w:r>
      <w:r>
        <w:rPr>
          <w:rFonts w:hint="eastAsia" w:ascii="黑体" w:hAnsi="黑体" w:eastAsia="黑体"/>
          <w:sz w:val="32"/>
          <w:szCs w:val="32"/>
        </w:rPr>
        <w:t>收</w:t>
      </w:r>
      <w:r>
        <w:rPr>
          <w:rStyle w:val="32"/>
          <w:rFonts w:hint="eastAsia" w:ascii="黑体" w:hAnsi="黑体" w:eastAsia="黑体"/>
          <w:b w:val="0"/>
        </w:rPr>
        <w:t>入决算情况说明</w:t>
      </w:r>
      <w:bookmarkEnd w:id="21"/>
      <w:bookmarkEnd w:id="22"/>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baseline"/>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2022年本年收入合计219.33万元，其中：一般公共预算财政拨款收入219.33万元，占100%；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Times New Roman" w:hAnsi="Times New Roman" w:eastAsia="Times New Roman" w:cs="Times New Roman"/>
          <w:snapToGrid w:val="0"/>
          <w:color w:val="000000"/>
          <w:spacing w:val="10"/>
          <w:kern w:val="0"/>
          <w:sz w:val="30"/>
          <w:szCs w:val="30"/>
          <w:lang w:val="en-US" w:eastAsia="zh-CN" w:bidi="ar-SA"/>
        </w:rPr>
        <w:t>（图2：收入决算结构图）（饼状图）</w:t>
      </w:r>
    </w:p>
    <w:p>
      <w:pPr>
        <w:pStyle w:val="30"/>
        <w:numPr>
          <w:ilvl w:val="0"/>
          <w:numId w:val="0"/>
        </w:numPr>
        <w:spacing w:line="600" w:lineRule="exact"/>
        <w:ind w:left="640" w:leftChars="0"/>
        <w:outlineLvl w:val="1"/>
        <w:rPr>
          <w:rFonts w:hint="eastAsia" w:ascii="黑体" w:hAnsi="黑体" w:eastAsia="黑体"/>
          <w:sz w:val="32"/>
          <w:szCs w:val="32"/>
          <w:lang w:eastAsia="zh-CN"/>
        </w:rPr>
      </w:pPr>
      <w:bookmarkStart w:id="23" w:name="_Toc15377207"/>
      <w:bookmarkStart w:id="24" w:name="_Toc15396605"/>
      <w:r>
        <w:drawing>
          <wp:anchor distT="0" distB="0" distL="114300" distR="114300" simplePos="0" relativeHeight="251660288" behindDoc="0" locked="0" layoutInCell="1" allowOverlap="1">
            <wp:simplePos x="0" y="0"/>
            <wp:positionH relativeFrom="column">
              <wp:posOffset>506095</wp:posOffset>
            </wp:positionH>
            <wp:positionV relativeFrom="paragraph">
              <wp:posOffset>175895</wp:posOffset>
            </wp:positionV>
            <wp:extent cx="4572000" cy="2743200"/>
            <wp:effectExtent l="4445" t="4445" r="14605" b="1460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30"/>
        <w:numPr>
          <w:ilvl w:val="0"/>
          <w:numId w:val="0"/>
        </w:numPr>
        <w:spacing w:line="600" w:lineRule="exact"/>
        <w:ind w:left="640" w:leftChars="0"/>
        <w:outlineLvl w:val="1"/>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p>
    <w:p>
      <w:pPr>
        <w:pStyle w:val="30"/>
        <w:numPr>
          <w:ilvl w:val="0"/>
          <w:numId w:val="0"/>
        </w:numPr>
        <w:spacing w:line="600" w:lineRule="exact"/>
        <w:ind w:left="640" w:leftChars="0"/>
        <w:outlineLvl w:val="1"/>
        <w:rPr>
          <w:rFonts w:hint="eastAsia" w:ascii="黑体" w:hAnsi="黑体" w:eastAsia="黑体"/>
          <w:sz w:val="32"/>
          <w:szCs w:val="32"/>
          <w:lang w:val="en-US" w:eastAsia="zh-CN"/>
        </w:rPr>
      </w:pPr>
    </w:p>
    <w:p>
      <w:pPr>
        <w:pStyle w:val="30"/>
        <w:numPr>
          <w:ilvl w:val="0"/>
          <w:numId w:val="0"/>
        </w:numPr>
        <w:spacing w:line="600" w:lineRule="exact"/>
        <w:ind w:left="640" w:leftChars="0"/>
        <w:outlineLvl w:val="1"/>
        <w:rPr>
          <w:rFonts w:hint="eastAsia" w:ascii="黑体" w:hAnsi="黑体" w:eastAsia="黑体"/>
          <w:sz w:val="32"/>
          <w:szCs w:val="32"/>
          <w:lang w:val="en-US" w:eastAsia="zh-CN"/>
        </w:rPr>
      </w:pPr>
    </w:p>
    <w:p>
      <w:pPr>
        <w:pStyle w:val="30"/>
        <w:numPr>
          <w:ilvl w:val="0"/>
          <w:numId w:val="0"/>
        </w:numPr>
        <w:spacing w:line="600" w:lineRule="exact"/>
        <w:ind w:left="640" w:leftChars="0"/>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p>
    <w:p>
      <w:pPr>
        <w:pStyle w:val="30"/>
        <w:numPr>
          <w:ilvl w:val="0"/>
          <w:numId w:val="0"/>
        </w:numPr>
        <w:spacing w:line="600" w:lineRule="exact"/>
        <w:ind w:left="640" w:leftChars="0"/>
        <w:outlineLvl w:val="1"/>
        <w:rPr>
          <w:rFonts w:hint="eastAsia" w:ascii="黑体" w:hAnsi="黑体" w:eastAsia="黑体"/>
          <w:sz w:val="32"/>
          <w:szCs w:val="32"/>
          <w:lang w:eastAsia="zh-CN"/>
        </w:rPr>
      </w:pPr>
    </w:p>
    <w:p>
      <w:pPr>
        <w:pStyle w:val="30"/>
        <w:numPr>
          <w:ilvl w:val="0"/>
          <w:numId w:val="0"/>
        </w:numPr>
        <w:spacing w:line="600" w:lineRule="exact"/>
        <w:ind w:left="640" w:leftChars="0"/>
        <w:outlineLvl w:val="1"/>
        <w:rPr>
          <w:rFonts w:hint="eastAsia" w:ascii="黑体" w:hAnsi="黑体" w:eastAsia="黑体"/>
          <w:sz w:val="32"/>
          <w:szCs w:val="32"/>
          <w:lang w:eastAsia="zh-CN"/>
        </w:rPr>
      </w:pPr>
    </w:p>
    <w:p>
      <w:pPr>
        <w:pStyle w:val="30"/>
        <w:numPr>
          <w:ilvl w:val="0"/>
          <w:numId w:val="0"/>
        </w:numPr>
        <w:spacing w:line="600" w:lineRule="exact"/>
        <w:ind w:left="640" w:leftChars="0"/>
        <w:outlineLvl w:val="1"/>
        <w:rPr>
          <w:rFonts w:hint="eastAsia" w:ascii="黑体" w:hAnsi="黑体" w:eastAsia="黑体"/>
          <w:sz w:val="32"/>
          <w:szCs w:val="32"/>
          <w:lang w:eastAsia="zh-CN"/>
        </w:rPr>
      </w:pPr>
    </w:p>
    <w:p>
      <w:pPr>
        <w:pStyle w:val="30"/>
        <w:numPr>
          <w:ilvl w:val="0"/>
          <w:numId w:val="0"/>
        </w:numPr>
        <w:spacing w:line="240" w:lineRule="auto"/>
        <w:ind w:left="0" w:leftChars="0"/>
        <w:outlineLvl w:val="1"/>
        <w:rPr>
          <w:rStyle w:val="32"/>
          <w:rFonts w:ascii="黑体" w:hAnsi="黑体" w:eastAsia="黑体"/>
          <w:b w:val="0"/>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三、</w:t>
      </w:r>
      <w:r>
        <w:rPr>
          <w:rFonts w:hint="eastAsia" w:ascii="黑体" w:hAnsi="黑体" w:eastAsia="黑体"/>
          <w:sz w:val="32"/>
          <w:szCs w:val="32"/>
        </w:rPr>
        <w:t>支</w:t>
      </w:r>
      <w:r>
        <w:rPr>
          <w:rStyle w:val="32"/>
          <w:rFonts w:hint="eastAsia" w:ascii="黑体" w:hAnsi="黑体" w:eastAsia="黑体"/>
          <w:b w:val="0"/>
        </w:rPr>
        <w:t>出决算情况说明</w:t>
      </w:r>
      <w:bookmarkEnd w:id="23"/>
      <w:bookmarkEnd w:id="24"/>
    </w:p>
    <w:p>
      <w:pPr>
        <w:spacing w:line="600" w:lineRule="exact"/>
        <w:ind w:firstLine="640" w:firstLineChars="200"/>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2022年本年支出合计219.33万元，其中：基本支出202.33万元，占92.25%；项目支出17万元，占7.75%；上缴上级支出0万元，占0%；经营支出0万元，占0%；对附属单位补助支出0万元，占0%。</w:t>
      </w:r>
    </w:p>
    <w:p>
      <w:pPr>
        <w:spacing w:line="600" w:lineRule="exact"/>
        <w:ind w:firstLine="640" w:firstLineChars="200"/>
        <w:rPr>
          <w:rFonts w:hint="default"/>
          <w:sz w:val="32"/>
          <w:szCs w:val="32"/>
          <w:lang w:val="en-US" w:eastAsia="zh-CN"/>
        </w:rPr>
      </w:pPr>
      <w:r>
        <w:rPr>
          <w:rFonts w:hint="eastAsia" w:ascii="Times New Roman" w:hAnsi="Times New Roman" w:eastAsia="Times New Roman" w:cs="Times New Roman"/>
          <w:snapToGrid w:val="0"/>
          <w:color w:val="000000"/>
          <w:spacing w:val="10"/>
          <w:kern w:val="0"/>
          <w:sz w:val="30"/>
          <w:szCs w:val="30"/>
          <w:lang w:val="en-US" w:eastAsia="zh-CN" w:bidi="ar-SA"/>
        </w:rPr>
        <w:t>（图3：支出决算结构图）（饼状图）</w:t>
      </w:r>
      <w:r>
        <w:rPr>
          <w:rFonts w:hint="eastAsia"/>
          <w:sz w:val="32"/>
          <w:szCs w:val="32"/>
          <w:lang w:val="en-US" w:eastAsia="zh-CN"/>
        </w:rPr>
        <w:t xml:space="preserve">            </w:t>
      </w:r>
    </w:p>
    <w:p>
      <w:pPr>
        <w:pStyle w:val="2"/>
        <w:rPr>
          <w:rFonts w:hint="eastAsia"/>
          <w:sz w:val="32"/>
          <w:szCs w:val="32"/>
          <w:lang w:val="en-US" w:eastAsia="zh-CN"/>
        </w:rPr>
      </w:pPr>
    </w:p>
    <w:p>
      <w:pPr>
        <w:pStyle w:val="2"/>
        <w:rPr>
          <w:rFonts w:hint="eastAsia"/>
          <w:sz w:val="32"/>
          <w:szCs w:val="32"/>
          <w:lang w:val="en-US" w:eastAsia="zh-CN"/>
        </w:rPr>
      </w:pPr>
      <w:r>
        <w:drawing>
          <wp:anchor distT="0" distB="0" distL="114300" distR="114300" simplePos="0" relativeHeight="251662336" behindDoc="0" locked="0" layoutInCell="1" allowOverlap="1">
            <wp:simplePos x="0" y="0"/>
            <wp:positionH relativeFrom="column">
              <wp:posOffset>623570</wp:posOffset>
            </wp:positionH>
            <wp:positionV relativeFrom="paragraph">
              <wp:posOffset>221615</wp:posOffset>
            </wp:positionV>
            <wp:extent cx="4572000" cy="2743200"/>
            <wp:effectExtent l="4445" t="4445" r="1460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2"/>
        <w:rPr>
          <w:rFonts w:hint="default"/>
          <w:sz w:val="32"/>
          <w:szCs w:val="32"/>
          <w:lang w:val="en-US" w:eastAsia="zh-CN"/>
        </w:rPr>
      </w:pPr>
      <w:r>
        <w:rPr>
          <w:rFonts w:hint="eastAsia"/>
          <w:sz w:val="32"/>
          <w:szCs w:val="32"/>
          <w:lang w:val="en-US" w:eastAsia="zh-CN"/>
        </w:rPr>
        <w:t xml:space="preserve">     </w:t>
      </w:r>
    </w:p>
    <w:p>
      <w:pPr>
        <w:spacing w:line="600" w:lineRule="exact"/>
        <w:ind w:firstLine="640" w:firstLineChars="200"/>
        <w:outlineLvl w:val="1"/>
        <w:rPr>
          <w:rFonts w:hint="eastAsia" w:ascii="黑体" w:hAnsi="黑体" w:eastAsia="黑体"/>
          <w:sz w:val="32"/>
          <w:szCs w:val="32"/>
        </w:rPr>
      </w:pPr>
      <w:bookmarkStart w:id="25" w:name="_Toc15377208"/>
      <w:bookmarkStart w:id="26" w:name="_Toc15396606"/>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Style w:val="32"/>
          <w:rFonts w:ascii="黑体" w:hAnsi="黑体" w:eastAsia="黑体"/>
          <w:b w:val="0"/>
        </w:rPr>
      </w:pPr>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25"/>
      <w:bookmarkEnd w:id="26"/>
    </w:p>
    <w:p>
      <w:pPr>
        <w:spacing w:line="600" w:lineRule="exact"/>
        <w:ind w:firstLine="640" w:firstLineChars="200"/>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2022年财政拨款收、支总计219.33万元。与</w:t>
      </w:r>
      <w:r>
        <w:rPr>
          <w:rFonts w:hint="eastAsia" w:eastAsia="Times New Roman" w:cs="Times New Roman"/>
          <w:snapToGrid w:val="0"/>
          <w:color w:val="000000"/>
          <w:spacing w:val="10"/>
          <w:kern w:val="0"/>
          <w:sz w:val="30"/>
          <w:szCs w:val="30"/>
          <w:lang w:val="en-US" w:eastAsia="zh-CN" w:bidi="ar-SA"/>
        </w:rPr>
        <w:t>2022</w:t>
      </w:r>
      <w:r>
        <w:rPr>
          <w:rFonts w:hint="eastAsia" w:ascii="Times New Roman" w:hAnsi="Times New Roman" w:eastAsia="Times New Roman" w:cs="Times New Roman"/>
          <w:snapToGrid w:val="0"/>
          <w:color w:val="000000"/>
          <w:spacing w:val="10"/>
          <w:kern w:val="0"/>
          <w:sz w:val="30"/>
          <w:szCs w:val="30"/>
          <w:lang w:val="en-US" w:eastAsia="zh-CN" w:bidi="ar-SA"/>
        </w:rPr>
        <w:t>年相比，收、支总计增加11.45万元，增长5.51%。主要变动原因是2022年人员增加，基本支出增加。项目经费也增加，收支总额增加。</w:t>
      </w:r>
    </w:p>
    <w:p>
      <w:pPr>
        <w:spacing w:line="600" w:lineRule="exact"/>
        <w:ind w:firstLine="640" w:firstLineChars="200"/>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（图4：财政拨款收、支决算总计变动情况）（柱状图）</w:t>
      </w:r>
    </w:p>
    <w:p>
      <w:pPr>
        <w:pStyle w:val="2"/>
        <w:spacing w:beforeLines="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pStyle w:val="2"/>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drawing>
          <wp:inline distT="0" distB="0" distL="114300" distR="114300">
            <wp:extent cx="4572000" cy="3209925"/>
            <wp:effectExtent l="4445" t="4445" r="14605" b="508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outlineLvl w:val="1"/>
        <w:rPr>
          <w:rStyle w:val="32"/>
          <w:rFonts w:ascii="黑体" w:hAnsi="黑体" w:eastAsia="黑体"/>
          <w:b w:val="0"/>
        </w:rPr>
      </w:pPr>
      <w:bookmarkStart w:id="27" w:name="_Toc15377209"/>
      <w:bookmarkStart w:id="28"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27"/>
      <w:bookmarkEnd w:id="28"/>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eastAsia="zh-CN"/>
        </w:rPr>
      </w:pPr>
      <w:bookmarkStart w:id="29" w:name="_Toc15377210"/>
      <w:r>
        <w:rPr>
          <w:rFonts w:hint="eastAsia" w:ascii="楷体_GB2312" w:hAnsi="楷体_GB2312" w:eastAsia="楷体_GB2312" w:cs="楷体_GB2312"/>
          <w:b/>
          <w:bCs/>
          <w:snapToGrid w:val="0"/>
          <w:color w:val="000000"/>
          <w:kern w:val="0"/>
          <w:sz w:val="32"/>
          <w:szCs w:val="32"/>
          <w:lang w:eastAsia="zh-CN"/>
        </w:rPr>
        <w:t>（一）一般公共预算财政拨款支出决算总体情况</w:t>
      </w:r>
      <w:bookmarkEnd w:id="29"/>
    </w:p>
    <w:p>
      <w:pPr>
        <w:spacing w:line="600" w:lineRule="exact"/>
        <w:ind w:firstLine="640" w:firstLineChars="200"/>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2022年一般公共预算财政拨款支出219.33万元，占本年支出合计的100%。与</w:t>
      </w:r>
      <w:r>
        <w:rPr>
          <w:rFonts w:hint="eastAsia" w:eastAsia="Times New Roman" w:cs="Times New Roman"/>
          <w:snapToGrid w:val="0"/>
          <w:color w:val="000000"/>
          <w:spacing w:val="10"/>
          <w:kern w:val="0"/>
          <w:sz w:val="30"/>
          <w:szCs w:val="30"/>
          <w:lang w:val="en-US" w:eastAsia="zh-CN" w:bidi="ar-SA"/>
        </w:rPr>
        <w:t>2022</w:t>
      </w:r>
      <w:r>
        <w:rPr>
          <w:rFonts w:hint="eastAsia" w:ascii="Times New Roman" w:hAnsi="Times New Roman" w:eastAsia="Times New Roman" w:cs="Times New Roman"/>
          <w:snapToGrid w:val="0"/>
          <w:color w:val="000000"/>
          <w:spacing w:val="10"/>
          <w:kern w:val="0"/>
          <w:sz w:val="30"/>
          <w:szCs w:val="30"/>
          <w:lang w:val="en-US" w:eastAsia="zh-CN" w:bidi="ar-SA"/>
        </w:rPr>
        <w:t>年相比，一般公共预算财政拨款支出增加11.45万元，增长5.51%。主要变动原因是2022年人员增加，基本支出增加。项目经费也增加，收支总额增加。</w:t>
      </w:r>
    </w:p>
    <w:p>
      <w:pPr>
        <w:spacing w:line="600" w:lineRule="exact"/>
        <w:ind w:firstLine="640" w:firstLineChars="200"/>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（图5：一般公共预算财政拨款支出决算变动情况）（柱状图）</w:t>
      </w:r>
    </w:p>
    <w:p>
      <w:pPr>
        <w:pStyle w:val="2"/>
        <w:spacing w:beforeLines="0"/>
        <w:ind w:left="640" w:hanging="640" w:hanging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drawing>
          <wp:inline distT="0" distB="0" distL="114300" distR="114300">
            <wp:extent cx="4058285" cy="2609850"/>
            <wp:effectExtent l="4445" t="5080" r="13970" b="1397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eastAsia" w:ascii="仿宋" w:hAnsi="仿宋" w:eastAsia="仿宋"/>
          <w:sz w:val="32"/>
          <w:szCs w:val="32"/>
          <w:lang w:val="en-US" w:eastAsia="zh-CN"/>
        </w:rPr>
        <w:t xml:space="preserve">    </w:t>
      </w:r>
      <w:bookmarkStart w:id="30" w:name="_Toc15377211"/>
    </w:p>
    <w:p>
      <w:pPr>
        <w:pStyle w:val="2"/>
        <w:spacing w:beforeLines="0"/>
        <w:ind w:left="641" w:leftChars="153" w:hanging="320" w:hangingChars="100"/>
        <w:rPr>
          <w:rFonts w:hint="eastAsia" w:ascii="仿宋" w:hAnsi="仿宋" w:eastAsia="仿宋"/>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（二）一般公共预算财政拨款支出决算结构情况</w:t>
      </w:r>
      <w:bookmarkEnd w:id="30"/>
    </w:p>
    <w:p>
      <w:pPr>
        <w:pStyle w:val="2"/>
        <w:spacing w:before="145" w:line="304" w:lineRule="auto"/>
        <w:ind w:left="2" w:right="73" w:firstLine="921"/>
        <w:jc w:val="both"/>
        <w:rPr>
          <w:rFonts w:hint="eastAsia" w:ascii="Times New Roman" w:hAnsi="Times New Roman" w:eastAsia="Times New Roman" w:cs="Times New Roman"/>
          <w:snapToGrid w:val="0"/>
          <w:color w:val="000000"/>
          <w:spacing w:val="10"/>
          <w:kern w:val="0"/>
          <w:sz w:val="30"/>
          <w:szCs w:val="30"/>
          <w:lang w:val="en-US" w:eastAsia="zh-CN" w:bidi="ar-SA"/>
        </w:rPr>
      </w:pPr>
      <w:r>
        <w:rPr>
          <w:rFonts w:hint="eastAsia" w:ascii="Times New Roman" w:hAnsi="Times New Roman" w:eastAsia="Times New Roman" w:cs="Times New Roman"/>
          <w:snapToGrid w:val="0"/>
          <w:color w:val="000000"/>
          <w:spacing w:val="10"/>
          <w:kern w:val="0"/>
          <w:sz w:val="30"/>
          <w:szCs w:val="30"/>
          <w:lang w:val="en-US" w:eastAsia="zh-CN" w:bidi="ar-SA"/>
        </w:rPr>
        <w:t>2022年一般公共预算财政拨款支出219.33万元，主要用于以下方面:</w:t>
      </w:r>
      <w:r>
        <w:rPr>
          <w:rFonts w:hint="eastAsia" w:ascii="Times New Roman" w:hAnsi="Times New Roman" w:eastAsia="Times New Roman" w:cs="Times New Roman"/>
          <w:b/>
          <w:bCs/>
          <w:snapToGrid w:val="0"/>
          <w:color w:val="000000"/>
          <w:spacing w:val="10"/>
          <w:kern w:val="0"/>
          <w:sz w:val="30"/>
          <w:szCs w:val="30"/>
          <w:lang w:val="en-US" w:eastAsia="zh-CN" w:bidi="ar-SA"/>
        </w:rPr>
        <w:t>教育支出（类）</w:t>
      </w:r>
      <w:r>
        <w:rPr>
          <w:rFonts w:hint="eastAsia" w:ascii="Times New Roman" w:hAnsi="Times New Roman" w:eastAsia="Times New Roman" w:cs="Times New Roman"/>
          <w:snapToGrid w:val="0"/>
          <w:color w:val="000000"/>
          <w:spacing w:val="10"/>
          <w:kern w:val="0"/>
          <w:sz w:val="30"/>
          <w:szCs w:val="30"/>
          <w:lang w:val="en-US" w:eastAsia="zh-CN" w:bidi="ar-SA"/>
        </w:rPr>
        <w:t>支出 189.63 万元，占 86.46%；</w:t>
      </w:r>
      <w:r>
        <w:rPr>
          <w:rFonts w:hint="eastAsia" w:ascii="Times New Roman" w:hAnsi="Times New Roman" w:eastAsia="Times New Roman" w:cs="Times New Roman"/>
          <w:b/>
          <w:bCs/>
          <w:snapToGrid w:val="0"/>
          <w:color w:val="000000"/>
          <w:spacing w:val="10"/>
          <w:kern w:val="0"/>
          <w:sz w:val="30"/>
          <w:szCs w:val="30"/>
          <w:lang w:val="en-US" w:eastAsia="zh-CN" w:bidi="ar-SA"/>
        </w:rPr>
        <w:t>社会保障和就业（类）</w:t>
      </w:r>
      <w:r>
        <w:rPr>
          <w:rFonts w:hint="eastAsia" w:ascii="Times New Roman" w:hAnsi="Times New Roman" w:eastAsia="Times New Roman" w:cs="Times New Roman"/>
          <w:snapToGrid w:val="0"/>
          <w:color w:val="000000"/>
          <w:spacing w:val="10"/>
          <w:kern w:val="0"/>
          <w:sz w:val="30"/>
          <w:szCs w:val="30"/>
          <w:lang w:val="en-US" w:eastAsia="zh-CN" w:bidi="ar-SA"/>
        </w:rPr>
        <w:t>支出13.7 万元， 占 6.24%；</w:t>
      </w:r>
      <w:r>
        <w:rPr>
          <w:rFonts w:hint="eastAsia" w:ascii="Times New Roman" w:hAnsi="Times New Roman" w:eastAsia="Times New Roman" w:cs="Times New Roman"/>
          <w:b/>
          <w:bCs/>
          <w:snapToGrid w:val="0"/>
          <w:color w:val="000000"/>
          <w:spacing w:val="10"/>
          <w:kern w:val="0"/>
          <w:sz w:val="30"/>
          <w:szCs w:val="30"/>
          <w:lang w:val="en-US" w:eastAsia="zh-CN" w:bidi="ar-SA"/>
        </w:rPr>
        <w:t>卫生健康（类）</w:t>
      </w:r>
      <w:r>
        <w:rPr>
          <w:rFonts w:hint="eastAsia" w:ascii="Times New Roman" w:hAnsi="Times New Roman" w:eastAsia="Times New Roman" w:cs="Times New Roman"/>
          <w:snapToGrid w:val="0"/>
          <w:color w:val="000000"/>
          <w:spacing w:val="10"/>
          <w:kern w:val="0"/>
          <w:sz w:val="30"/>
          <w:szCs w:val="30"/>
          <w:lang w:val="en-US" w:eastAsia="zh-CN" w:bidi="ar-SA"/>
        </w:rPr>
        <w:t>支出7.56 万元， 占 3.45%；</w:t>
      </w:r>
      <w:r>
        <w:rPr>
          <w:rFonts w:hint="eastAsia" w:ascii="Times New Roman" w:hAnsi="Times New Roman" w:eastAsia="Times New Roman" w:cs="Times New Roman"/>
          <w:b/>
          <w:bCs/>
          <w:snapToGrid w:val="0"/>
          <w:color w:val="000000"/>
          <w:spacing w:val="10"/>
          <w:kern w:val="0"/>
          <w:sz w:val="30"/>
          <w:szCs w:val="30"/>
          <w:lang w:val="en-US" w:eastAsia="zh-CN" w:bidi="ar-SA"/>
        </w:rPr>
        <w:t>住房保障（类）</w:t>
      </w:r>
      <w:r>
        <w:rPr>
          <w:rFonts w:hint="eastAsia" w:ascii="Times New Roman" w:hAnsi="Times New Roman" w:eastAsia="Times New Roman" w:cs="Times New Roman"/>
          <w:snapToGrid w:val="0"/>
          <w:color w:val="000000"/>
          <w:spacing w:val="10"/>
          <w:kern w:val="0"/>
          <w:sz w:val="30"/>
          <w:szCs w:val="30"/>
          <w:lang w:val="en-US" w:eastAsia="zh-CN" w:bidi="ar-SA"/>
        </w:rPr>
        <w:t>支出8.44 万元， 占 3.85%。</w:t>
      </w:r>
    </w:p>
    <w:p>
      <w:pPr>
        <w:pStyle w:val="2"/>
        <w:spacing w:before="145" w:line="304" w:lineRule="auto"/>
        <w:ind w:left="2" w:right="73" w:firstLine="921"/>
        <w:jc w:val="both"/>
        <w:rPr>
          <w:rFonts w:hint="eastAsia" w:ascii="仿宋" w:hAnsi="仿宋" w:eastAsia="仿宋"/>
          <w:b/>
          <w:sz w:val="32"/>
          <w:szCs w:val="32"/>
        </w:rPr>
      </w:pPr>
      <w:r>
        <w:rPr>
          <w:rFonts w:hint="eastAsia" w:ascii="Times New Roman" w:hAnsi="Times New Roman" w:eastAsia="Times New Roman" w:cs="Times New Roman"/>
          <w:snapToGrid w:val="0"/>
          <w:color w:val="000000"/>
          <w:spacing w:val="10"/>
          <w:kern w:val="0"/>
          <w:sz w:val="30"/>
          <w:szCs w:val="30"/>
          <w:lang w:val="en-US" w:eastAsia="zh-CN" w:bidi="ar-SA"/>
        </w:rPr>
        <w:t>图6：一般公共预算财政拨款支出决算结构）（饼状图）</w:t>
      </w:r>
      <w:r>
        <w:rPr>
          <w:rFonts w:hint="eastAsia" w:ascii="仿宋" w:hAnsi="仿宋" w:eastAsia="仿宋"/>
          <w:sz w:val="32"/>
          <w:szCs w:val="32"/>
          <w:lang w:val="en-US" w:eastAsia="zh-CN"/>
        </w:rPr>
        <w:t xml:space="preserve">   </w:t>
      </w:r>
      <w:bookmarkStart w:id="31" w:name="_Toc15377212"/>
    </w:p>
    <w:p>
      <w:pPr>
        <w:spacing w:line="240" w:lineRule="auto"/>
        <w:ind w:firstLine="0" w:firstLineChars="0"/>
        <w:outlineLvl w:val="2"/>
        <w:rPr>
          <w:rFonts w:hint="eastAsia" w:ascii="仿宋" w:hAnsi="仿宋" w:eastAsia="仿宋"/>
          <w:b/>
          <w:sz w:val="32"/>
          <w:szCs w:val="32"/>
        </w:rPr>
      </w:pPr>
      <w:r>
        <w:drawing>
          <wp:anchor distT="0" distB="0" distL="114300" distR="114300" simplePos="0" relativeHeight="251661312" behindDoc="0" locked="0" layoutInCell="1" allowOverlap="1">
            <wp:simplePos x="0" y="0"/>
            <wp:positionH relativeFrom="column">
              <wp:posOffset>516255</wp:posOffset>
            </wp:positionH>
            <wp:positionV relativeFrom="paragraph">
              <wp:posOffset>58420</wp:posOffset>
            </wp:positionV>
            <wp:extent cx="4238625" cy="2534285"/>
            <wp:effectExtent l="4445" t="5080" r="5080" b="13335"/>
            <wp:wrapSquare wrapText="bothSides"/>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（三）一般公共预算财政拨款支出决算具体情况</w:t>
      </w:r>
      <w:bookmarkEnd w:id="31"/>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val="en-US" w:eastAsia="zh-CN"/>
        </w:rPr>
      </w:pPr>
      <w:bookmarkStart w:id="32" w:name="_Toc15378460"/>
      <w:bookmarkStart w:id="33" w:name="_Toc15377213"/>
      <w:bookmarkStart w:id="34" w:name="_Toc15377444"/>
      <w:r>
        <w:rPr>
          <w:rFonts w:hint="eastAsia" w:ascii="楷体_GB2312" w:hAnsi="楷体_GB2312" w:eastAsia="楷体_GB2312" w:cs="楷体_GB2312"/>
          <w:b/>
          <w:bCs/>
          <w:snapToGrid w:val="0"/>
          <w:color w:val="000000"/>
          <w:kern w:val="0"/>
          <w:sz w:val="32"/>
          <w:szCs w:val="32"/>
          <w:lang w:val="en-US" w:eastAsia="zh-CN"/>
        </w:rPr>
        <w:t>2022年一般公共预算支出决算数为219.33万元，完成预算100%。其中：</w:t>
      </w:r>
      <w:bookmarkEnd w:id="32"/>
      <w:bookmarkEnd w:id="33"/>
      <w:bookmarkEnd w:id="34"/>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bCs/>
          <w:snapToGrid w:val="0"/>
          <w:color w:val="000000"/>
          <w:spacing w:val="10"/>
          <w:kern w:val="0"/>
          <w:sz w:val="30"/>
          <w:szCs w:val="30"/>
          <w:lang w:val="en-US" w:eastAsia="zh-CN" w:bidi="ar-SA"/>
        </w:rPr>
        <w:t xml:space="preserve">1.教育支出（类）进修及培训（款）干部教育（项）: </w:t>
      </w:r>
      <w:r>
        <w:rPr>
          <w:rFonts w:hint="eastAsia" w:ascii="Times New Roman" w:hAnsi="Times New Roman" w:eastAsia="Times New Roman" w:cs="Times New Roman"/>
          <w:b w:val="0"/>
          <w:bCs w:val="0"/>
          <w:snapToGrid w:val="0"/>
          <w:color w:val="000000"/>
          <w:spacing w:val="10"/>
          <w:kern w:val="0"/>
          <w:sz w:val="30"/>
          <w:szCs w:val="30"/>
          <w:lang w:val="en-US" w:eastAsia="zh-CN" w:bidi="ar-SA"/>
        </w:rPr>
        <w:t>支出决算为189.6</w:t>
      </w:r>
      <w:r>
        <w:rPr>
          <w:rFonts w:hint="eastAsia" w:eastAsia="Times New Roman" w:cs="Times New Roman"/>
          <w:b w:val="0"/>
          <w:bCs w:val="0"/>
          <w:snapToGrid w:val="0"/>
          <w:color w:val="000000"/>
          <w:spacing w:val="10"/>
          <w:kern w:val="0"/>
          <w:sz w:val="30"/>
          <w:szCs w:val="30"/>
          <w:lang w:val="en-US" w:eastAsia="zh-CN" w:bidi="ar-SA"/>
        </w:rPr>
        <w:t>4</w:t>
      </w:r>
      <w:r>
        <w:rPr>
          <w:rFonts w:hint="eastAsia" w:ascii="Times New Roman" w:hAnsi="Times New Roman" w:eastAsia="Times New Roman" w:cs="Times New Roman"/>
          <w:b w:val="0"/>
          <w:bCs w:val="0"/>
          <w:snapToGrid w:val="0"/>
          <w:color w:val="000000"/>
          <w:spacing w:val="10"/>
          <w:kern w:val="0"/>
          <w:sz w:val="30"/>
          <w:szCs w:val="30"/>
          <w:lang w:val="en-US" w:eastAsia="zh-CN" w:bidi="ar-SA"/>
        </w:rPr>
        <w:t>万元，完成预算100%。</w:t>
      </w:r>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bCs/>
          <w:snapToGrid w:val="0"/>
          <w:color w:val="000000"/>
          <w:spacing w:val="10"/>
          <w:kern w:val="0"/>
          <w:sz w:val="30"/>
          <w:szCs w:val="30"/>
          <w:lang w:val="en-US" w:eastAsia="zh-CN" w:bidi="ar-SA"/>
        </w:rPr>
        <w:t xml:space="preserve">2.社会保障和就业支出（类）行政事业单位养老支出（款）机关事业单位基本养老保险缴费支出（项）: </w:t>
      </w:r>
      <w:r>
        <w:rPr>
          <w:rFonts w:hint="eastAsia" w:ascii="Times New Roman" w:hAnsi="Times New Roman" w:eastAsia="Times New Roman" w:cs="Times New Roman"/>
          <w:b w:val="0"/>
          <w:bCs w:val="0"/>
          <w:snapToGrid w:val="0"/>
          <w:color w:val="000000"/>
          <w:spacing w:val="10"/>
          <w:kern w:val="0"/>
          <w:sz w:val="30"/>
          <w:szCs w:val="30"/>
          <w:lang w:val="en-US" w:eastAsia="zh-CN" w:bidi="ar-SA"/>
        </w:rPr>
        <w:t>支出决算为13.7万元，完成预算100%。</w:t>
      </w:r>
    </w:p>
    <w:p>
      <w:pPr>
        <w:spacing w:line="600" w:lineRule="exact"/>
        <w:ind w:firstLine="640" w:firstLineChars="200"/>
        <w:rPr>
          <w:rFonts w:ascii="仿宋" w:hAnsi="仿宋" w:eastAsia="仿宋"/>
          <w:b/>
          <w:sz w:val="32"/>
          <w:szCs w:val="32"/>
        </w:rPr>
      </w:pPr>
      <w:r>
        <w:rPr>
          <w:rFonts w:hint="eastAsia" w:ascii="Times New Roman" w:hAnsi="Times New Roman" w:eastAsia="Times New Roman" w:cs="Times New Roman"/>
          <w:b/>
          <w:bCs/>
          <w:snapToGrid w:val="0"/>
          <w:color w:val="000000"/>
          <w:spacing w:val="10"/>
          <w:kern w:val="0"/>
          <w:sz w:val="30"/>
          <w:szCs w:val="30"/>
          <w:lang w:val="en-US" w:eastAsia="zh-CN" w:bidi="ar-SA"/>
        </w:rPr>
        <w:t>3.卫生健康支出（类）行政事业单位医疗（款）行政单位医疗（项）:</w:t>
      </w:r>
      <w:r>
        <w:rPr>
          <w:rFonts w:hint="eastAsia" w:ascii="Times New Roman" w:hAnsi="Times New Roman" w:eastAsia="Times New Roman" w:cs="Times New Roman"/>
          <w:b w:val="0"/>
          <w:bCs w:val="0"/>
          <w:snapToGrid w:val="0"/>
          <w:color w:val="000000"/>
          <w:spacing w:val="10"/>
          <w:kern w:val="0"/>
          <w:sz w:val="30"/>
          <w:szCs w:val="30"/>
          <w:lang w:val="en-US" w:eastAsia="zh-CN" w:bidi="ar-SA"/>
        </w:rPr>
        <w:t>支出决算为7.56万元，完成预算100%。</w:t>
      </w:r>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bCs/>
          <w:snapToGrid w:val="0"/>
          <w:color w:val="000000"/>
          <w:spacing w:val="10"/>
          <w:kern w:val="0"/>
          <w:sz w:val="30"/>
          <w:szCs w:val="30"/>
          <w:lang w:val="en-US" w:eastAsia="zh-CN" w:bidi="ar-SA"/>
        </w:rPr>
        <w:t>4.住房保障支出（类）住房改革支出（款）住房公积金（项）:</w:t>
      </w:r>
      <w:r>
        <w:rPr>
          <w:rFonts w:hint="eastAsia" w:ascii="Times New Roman" w:hAnsi="Times New Roman" w:eastAsia="Times New Roman" w:cs="Times New Roman"/>
          <w:b w:val="0"/>
          <w:bCs w:val="0"/>
          <w:snapToGrid w:val="0"/>
          <w:color w:val="000000"/>
          <w:spacing w:val="10"/>
          <w:kern w:val="0"/>
          <w:sz w:val="30"/>
          <w:szCs w:val="30"/>
          <w:lang w:val="en-US" w:eastAsia="zh-CN" w:bidi="ar-SA"/>
        </w:rPr>
        <w:t>支出决算为8.44万元，完成预算100%。</w:t>
      </w:r>
    </w:p>
    <w:p>
      <w:pPr>
        <w:tabs>
          <w:tab w:val="right" w:pos="8306"/>
        </w:tabs>
        <w:spacing w:line="600" w:lineRule="exact"/>
        <w:ind w:firstLine="640"/>
        <w:outlineLvl w:val="1"/>
        <w:rPr>
          <w:rStyle w:val="32"/>
        </w:rPr>
      </w:pPr>
      <w:bookmarkStart w:id="35" w:name="_Toc15396608"/>
      <w:bookmarkStart w:id="36"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35"/>
      <w:bookmarkEnd w:id="36"/>
      <w:r>
        <w:rPr>
          <w:rStyle w:val="32"/>
          <w:rFonts w:ascii="黑体" w:hAnsi="黑体" w:eastAsia="黑体"/>
          <w:b w:val="0"/>
        </w:rPr>
        <w:tab/>
      </w:r>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ascii="仿宋" w:hAnsi="仿宋" w:eastAsia="仿宋"/>
          <w:sz w:val="32"/>
          <w:szCs w:val="32"/>
        </w:rPr>
        <w:t>2</w:t>
      </w:r>
      <w:r>
        <w:rPr>
          <w:rFonts w:hint="eastAsia" w:ascii="Times New Roman" w:hAnsi="Times New Roman" w:eastAsia="Times New Roman" w:cs="Times New Roman"/>
          <w:b w:val="0"/>
          <w:bCs w:val="0"/>
          <w:snapToGrid w:val="0"/>
          <w:color w:val="000000"/>
          <w:spacing w:val="10"/>
          <w:kern w:val="0"/>
          <w:sz w:val="30"/>
          <w:szCs w:val="30"/>
          <w:lang w:val="en-US" w:eastAsia="zh-CN" w:bidi="ar-SA"/>
        </w:rPr>
        <w:t>022年一般公共预算财政拨款基本支出219.33万元，其中：</w:t>
      </w:r>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人员经费186.63万元，主要包括：基本工资、津贴补贴、奖金、绩效工资、机关事业单位基本养老保险缴费、职工基工医疗保险缴费、其他社会保障缴费、生活补助、住房公积金等。</w:t>
      </w:r>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公用经费15.7万元，主要包括：办公费、印刷费、水费、电费、邮电费、物业管理费、差旅费、维修（护）费、</w:t>
      </w:r>
      <w:r>
        <w:rPr>
          <w:rFonts w:hint="eastAsia" w:eastAsia="Times New Roman" w:cs="Times New Roman"/>
          <w:b w:val="0"/>
          <w:bCs w:val="0"/>
          <w:snapToGrid w:val="0"/>
          <w:color w:val="000000"/>
          <w:spacing w:val="10"/>
          <w:kern w:val="0"/>
          <w:sz w:val="30"/>
          <w:szCs w:val="30"/>
          <w:lang w:val="en-US" w:eastAsia="zh-CN" w:bidi="ar-SA"/>
        </w:rPr>
        <w:t>培训费、</w:t>
      </w:r>
      <w:r>
        <w:rPr>
          <w:rFonts w:hint="eastAsia" w:ascii="Times New Roman" w:hAnsi="Times New Roman" w:eastAsia="Times New Roman" w:cs="Times New Roman"/>
          <w:b w:val="0"/>
          <w:bCs w:val="0"/>
          <w:snapToGrid w:val="0"/>
          <w:color w:val="000000"/>
          <w:spacing w:val="10"/>
          <w:kern w:val="0"/>
          <w:sz w:val="30"/>
          <w:szCs w:val="30"/>
          <w:lang w:val="en-US" w:eastAsia="zh-CN" w:bidi="ar-SA"/>
        </w:rPr>
        <w:t>公务接待费、工会经费、福利费、其他交通费。</w:t>
      </w:r>
    </w:p>
    <w:p>
      <w:pPr>
        <w:spacing w:line="600" w:lineRule="exact"/>
        <w:ind w:firstLine="640"/>
        <w:outlineLvl w:val="1"/>
        <w:rPr>
          <w:rFonts w:hint="eastAsia" w:ascii="黑体" w:eastAsia="黑体"/>
          <w:sz w:val="32"/>
          <w:szCs w:val="32"/>
        </w:rPr>
      </w:pPr>
      <w:bookmarkStart w:id="37" w:name="_Toc15396609"/>
      <w:bookmarkStart w:id="38" w:name="_Toc15377215"/>
    </w:p>
    <w:p>
      <w:pPr>
        <w:spacing w:line="600" w:lineRule="exact"/>
        <w:ind w:firstLine="640"/>
        <w:outlineLvl w:val="1"/>
        <w:rPr>
          <w:rStyle w:val="32"/>
          <w:rFonts w:ascii="黑体" w:hAnsi="黑体" w:eastAsia="黑体"/>
          <w:b w:val="0"/>
        </w:rPr>
      </w:pPr>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37"/>
      <w:bookmarkEnd w:id="38"/>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val="en-US" w:eastAsia="zh-CN"/>
        </w:rPr>
      </w:pPr>
      <w:bookmarkStart w:id="39" w:name="_Toc15377216"/>
      <w:r>
        <w:rPr>
          <w:rFonts w:hint="eastAsia" w:ascii="楷体_GB2312" w:hAnsi="楷体_GB2312" w:eastAsia="楷体_GB2312" w:cs="楷体_GB2312"/>
          <w:b/>
          <w:bCs/>
          <w:snapToGrid w:val="0"/>
          <w:color w:val="000000"/>
          <w:kern w:val="0"/>
          <w:sz w:val="32"/>
          <w:szCs w:val="32"/>
          <w:lang w:val="en-US" w:eastAsia="zh-CN"/>
        </w:rPr>
        <w:t>（一）“三公”经费财政拨款支出决算总体情况说明</w:t>
      </w:r>
      <w:bookmarkEnd w:id="39"/>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2022年“三公”经费财政拨款支出决算为0.76万元，完成预算100%，较上年减少0.19万元，下降20%。决算数与预算数持平。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val="en-US" w:eastAsia="zh-CN"/>
        </w:rPr>
      </w:pPr>
      <w:bookmarkStart w:id="40" w:name="_Toc15377217"/>
      <w:r>
        <w:rPr>
          <w:rFonts w:hint="eastAsia" w:ascii="楷体_GB2312" w:hAnsi="楷体_GB2312" w:eastAsia="楷体_GB2312" w:cs="楷体_GB2312"/>
          <w:b/>
          <w:bCs/>
          <w:snapToGrid w:val="0"/>
          <w:color w:val="000000"/>
          <w:kern w:val="0"/>
          <w:sz w:val="32"/>
          <w:szCs w:val="32"/>
          <w:lang w:val="en-US" w:eastAsia="zh-CN"/>
        </w:rPr>
        <w:t>（二）“三公”经费财政拨款支出决算具体情况说明</w:t>
      </w:r>
      <w:bookmarkEnd w:id="40"/>
    </w:p>
    <w:p>
      <w:pPr>
        <w:spacing w:line="600" w:lineRule="exact"/>
        <w:ind w:firstLine="640" w:firstLineChars="200"/>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2022年“三公”经费财政拨款支出决算中，因公出国（境）费支出决算0万元，占0%；公务用车购置及运行维护费支出决算0万元，占0%；公务接待费支出决算0.76万元，占100%。具体情况如下：</w:t>
      </w:r>
    </w:p>
    <w:p>
      <w:pPr>
        <w:spacing w:line="600" w:lineRule="exact"/>
        <w:ind w:firstLine="640" w:firstLineChars="200"/>
        <w:rPr>
          <w:rFonts w:ascii="仿宋" w:hAnsi="仿宋" w:eastAsia="仿宋"/>
          <w:sz w:val="32"/>
          <w:szCs w:val="32"/>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（图7：“三公”经费财政拨款支出结构）（饼状图）</w:t>
      </w:r>
    </w:p>
    <w:p>
      <w:pPr>
        <w:pStyle w:val="2"/>
        <w:spacing w:beforeLines="0"/>
        <w:rPr>
          <w:rFonts w:hint="eastAsia"/>
          <w:b/>
          <w:sz w:val="32"/>
          <w:szCs w:val="32"/>
          <w:lang w:val="en-US" w:eastAsia="zh-CN"/>
        </w:rPr>
      </w:pPr>
      <w:r>
        <w:rPr>
          <w:rFonts w:hint="eastAsia"/>
          <w:b/>
          <w:sz w:val="32"/>
          <w:szCs w:val="32"/>
          <w:lang w:val="en-US" w:eastAsia="zh-CN"/>
        </w:rPr>
        <w:t xml:space="preserve">      </w:t>
      </w:r>
    </w:p>
    <w:p>
      <w:pPr>
        <w:pStyle w:val="2"/>
        <w:rPr>
          <w:rFonts w:hint="default"/>
          <w:b/>
          <w:sz w:val="32"/>
          <w:szCs w:val="32"/>
          <w:lang w:val="en-US" w:eastAsia="zh-CN"/>
        </w:rPr>
      </w:pPr>
      <w:r>
        <w:rPr>
          <w:rFonts w:hint="eastAsia"/>
          <w:b/>
          <w:sz w:val="32"/>
          <w:szCs w:val="32"/>
          <w:lang w:val="en-US" w:eastAsia="zh-CN"/>
        </w:rPr>
        <w:t xml:space="preserve">      </w:t>
      </w:r>
      <w:r>
        <w:drawing>
          <wp:inline distT="0" distB="0" distL="114300" distR="114300">
            <wp:extent cx="4561840" cy="2524125"/>
            <wp:effectExtent l="4445" t="5080" r="5715" b="444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rPr>
          <w:rFonts w:ascii="仿宋" w:hAnsi="仿宋" w:eastAsia="仿宋"/>
          <w:sz w:val="32"/>
          <w:szCs w:val="32"/>
        </w:rPr>
      </w:pPr>
      <w:r>
        <w:rPr>
          <w:rFonts w:hint="eastAsia" w:ascii="Times New Roman" w:hAnsi="Times New Roman" w:eastAsia="Times New Roman" w:cs="Times New Roman"/>
          <w:b/>
          <w:bCs/>
          <w:snapToGrid w:val="0"/>
          <w:color w:val="000000"/>
          <w:spacing w:val="10"/>
          <w:kern w:val="0"/>
          <w:sz w:val="30"/>
          <w:szCs w:val="30"/>
          <w:lang w:val="en-US" w:eastAsia="zh-CN" w:bidi="ar-SA"/>
        </w:rPr>
        <w:t>1.因公出国（境）经费支出</w:t>
      </w:r>
      <w:r>
        <w:rPr>
          <w:rFonts w:hint="eastAsia" w:eastAsia="Times New Roman" w:cs="Times New Roman"/>
          <w:b/>
          <w:bCs/>
          <w:snapToGrid w:val="0"/>
          <w:color w:val="000000"/>
          <w:spacing w:val="10"/>
          <w:kern w:val="0"/>
          <w:sz w:val="30"/>
          <w:szCs w:val="30"/>
          <w:lang w:val="en-US" w:eastAsia="zh-CN" w:bidi="ar-SA"/>
        </w:rPr>
        <w:t>：</w:t>
      </w:r>
      <w:r>
        <w:rPr>
          <w:rFonts w:hint="eastAsia" w:ascii="Times New Roman" w:hAnsi="Times New Roman" w:eastAsia="Times New Roman" w:cs="Times New Roman"/>
          <w:b w:val="0"/>
          <w:bCs w:val="0"/>
          <w:snapToGrid w:val="0"/>
          <w:color w:val="000000"/>
          <w:spacing w:val="10"/>
          <w:kern w:val="0"/>
          <w:sz w:val="30"/>
          <w:szCs w:val="30"/>
          <w:lang w:val="en-US" w:eastAsia="zh-CN" w:bidi="ar-SA"/>
        </w:rPr>
        <w:t>0万元，完成预算0%。2022年未安排国公出国(境)经费预算，无相应支出，较上年无变化。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bCs/>
          <w:snapToGrid w:val="0"/>
          <w:color w:val="000000"/>
          <w:spacing w:val="10"/>
          <w:kern w:val="0"/>
          <w:sz w:val="30"/>
          <w:szCs w:val="30"/>
          <w:lang w:val="en-US" w:eastAsia="zh-CN" w:bidi="ar-SA"/>
        </w:rPr>
        <w:t>2.公务用车购置及运行维护费支出</w:t>
      </w:r>
      <w:r>
        <w:rPr>
          <w:rFonts w:hint="eastAsia" w:eastAsia="Times New Roman" w:cs="Times New Roman"/>
          <w:b/>
          <w:bCs/>
          <w:snapToGrid w:val="0"/>
          <w:color w:val="000000"/>
          <w:spacing w:val="10"/>
          <w:kern w:val="0"/>
          <w:sz w:val="30"/>
          <w:szCs w:val="30"/>
          <w:lang w:val="en-US" w:eastAsia="zh-CN" w:bidi="ar-SA"/>
        </w:rPr>
        <w:t>：</w:t>
      </w:r>
      <w:r>
        <w:rPr>
          <w:rFonts w:hint="eastAsia" w:ascii="Times New Roman" w:hAnsi="Times New Roman" w:eastAsia="Times New Roman" w:cs="Times New Roman"/>
          <w:b w:val="0"/>
          <w:bCs w:val="0"/>
          <w:snapToGrid w:val="0"/>
          <w:color w:val="000000"/>
          <w:spacing w:val="10"/>
          <w:kern w:val="0"/>
          <w:sz w:val="30"/>
          <w:szCs w:val="30"/>
          <w:lang w:val="en-US" w:eastAsia="zh-CN" w:bidi="ar-SA"/>
        </w:rPr>
        <w:t>0万元,完成预算0%。2022年本单位无公务用车，未安排公务用车购置及运行维护费预算，无相应支出，较上年无变化；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bCs/>
          <w:snapToGrid w:val="0"/>
          <w:color w:val="000000"/>
          <w:spacing w:val="10"/>
          <w:kern w:val="0"/>
          <w:sz w:val="30"/>
          <w:szCs w:val="30"/>
          <w:lang w:val="en-US" w:eastAsia="zh-CN" w:bidi="ar-SA"/>
        </w:rPr>
        <w:t>3.公务接待费支出</w:t>
      </w:r>
      <w:r>
        <w:rPr>
          <w:rFonts w:hint="eastAsia" w:eastAsia="Times New Roman" w:cs="Times New Roman"/>
          <w:b/>
          <w:bCs/>
          <w:snapToGrid w:val="0"/>
          <w:color w:val="000000"/>
          <w:spacing w:val="10"/>
          <w:kern w:val="0"/>
          <w:sz w:val="30"/>
          <w:szCs w:val="30"/>
          <w:lang w:val="en-US" w:eastAsia="zh-CN" w:bidi="ar-SA"/>
        </w:rPr>
        <w:t>：</w:t>
      </w:r>
      <w:r>
        <w:rPr>
          <w:rFonts w:hint="eastAsia" w:ascii="Times New Roman" w:hAnsi="Times New Roman" w:eastAsia="Times New Roman" w:cs="Times New Roman"/>
          <w:b w:val="0"/>
          <w:bCs w:val="0"/>
          <w:snapToGrid w:val="0"/>
          <w:color w:val="000000"/>
          <w:spacing w:val="10"/>
          <w:kern w:val="0"/>
          <w:sz w:val="30"/>
          <w:szCs w:val="30"/>
          <w:lang w:val="en-US" w:eastAsia="zh-CN" w:bidi="ar-SA"/>
        </w:rPr>
        <w:t>0.76万元，完成预算100%。公务接待费支出决算比</w:t>
      </w:r>
      <w:r>
        <w:rPr>
          <w:rFonts w:hint="eastAsia" w:eastAsia="Times New Roman" w:cs="Times New Roman"/>
          <w:b w:val="0"/>
          <w:bCs w:val="0"/>
          <w:snapToGrid w:val="0"/>
          <w:color w:val="000000"/>
          <w:spacing w:val="10"/>
          <w:kern w:val="0"/>
          <w:sz w:val="30"/>
          <w:szCs w:val="30"/>
          <w:lang w:val="en-US" w:eastAsia="zh-CN" w:bidi="ar-SA"/>
        </w:rPr>
        <w:t>2022</w:t>
      </w:r>
      <w:r>
        <w:rPr>
          <w:rFonts w:hint="eastAsia" w:ascii="Times New Roman" w:hAnsi="Times New Roman" w:eastAsia="Times New Roman" w:cs="Times New Roman"/>
          <w:b w:val="0"/>
          <w:bCs w:val="0"/>
          <w:snapToGrid w:val="0"/>
          <w:color w:val="000000"/>
          <w:spacing w:val="10"/>
          <w:kern w:val="0"/>
          <w:sz w:val="30"/>
          <w:szCs w:val="30"/>
          <w:lang w:val="en-US" w:eastAsia="zh-CN" w:bidi="ar-SA"/>
        </w:rPr>
        <w:t>年减少0.19万元，下降20%。是认真贯彻落实"党政机关要坚持过紧日子”的要求，厉行节约，从严控制“三公”经费开支。其中：</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bCs/>
          <w:snapToGrid w:val="0"/>
          <w:color w:val="000000"/>
          <w:spacing w:val="10"/>
          <w:kern w:val="0"/>
          <w:sz w:val="30"/>
          <w:szCs w:val="30"/>
          <w:lang w:val="en-US" w:eastAsia="zh-CN" w:bidi="ar-SA"/>
        </w:rPr>
        <w:t>国内公务接待支出</w:t>
      </w:r>
      <w:r>
        <w:rPr>
          <w:rFonts w:hint="eastAsia" w:eastAsia="Times New Roman" w:cs="Times New Roman"/>
          <w:b/>
          <w:bCs/>
          <w:snapToGrid w:val="0"/>
          <w:color w:val="000000"/>
          <w:spacing w:val="10"/>
          <w:kern w:val="0"/>
          <w:sz w:val="30"/>
          <w:szCs w:val="30"/>
          <w:lang w:val="en-US" w:eastAsia="zh-CN" w:bidi="ar-SA"/>
        </w:rPr>
        <w:t>：</w:t>
      </w:r>
      <w:r>
        <w:rPr>
          <w:rFonts w:hint="eastAsia" w:ascii="Times New Roman" w:hAnsi="Times New Roman" w:eastAsia="Times New Roman" w:cs="Times New Roman"/>
          <w:b w:val="0"/>
          <w:bCs w:val="0"/>
          <w:snapToGrid w:val="0"/>
          <w:color w:val="000000"/>
          <w:spacing w:val="10"/>
          <w:kern w:val="0"/>
          <w:sz w:val="30"/>
          <w:szCs w:val="30"/>
          <w:lang w:val="en-US" w:eastAsia="zh-CN" w:bidi="ar-SA"/>
        </w:rPr>
        <w:t>0.76万元，主要用于执行公务、开展业务活动开支的用餐费等。国内公务接待8批次，64人次。无外事接待支出。</w:t>
      </w:r>
    </w:p>
    <w:p>
      <w:pPr>
        <w:spacing w:line="600" w:lineRule="exact"/>
        <w:ind w:firstLine="640"/>
        <w:outlineLvl w:val="1"/>
        <w:rPr>
          <w:rStyle w:val="32"/>
          <w:rFonts w:ascii="黑体" w:hAnsi="黑体" w:eastAsia="黑体"/>
        </w:rPr>
      </w:pPr>
      <w:bookmarkStart w:id="41" w:name="_Toc15377218"/>
      <w:bookmarkStart w:id="42" w:name="_Toc15396610"/>
      <w:r>
        <w:rPr>
          <w:rFonts w:hint="eastAsia" w:ascii="黑体" w:eastAsia="黑体"/>
          <w:sz w:val="32"/>
          <w:szCs w:val="32"/>
        </w:rPr>
        <w:t>八、</w:t>
      </w:r>
      <w:r>
        <w:rPr>
          <w:rStyle w:val="32"/>
          <w:rFonts w:hint="eastAsia" w:ascii="黑体" w:hAnsi="黑体" w:eastAsia="黑体"/>
          <w:b w:val="0"/>
        </w:rPr>
        <w:t>政府性基金预算支出决算情况说明</w:t>
      </w:r>
      <w:bookmarkEnd w:id="41"/>
      <w:bookmarkEnd w:id="42"/>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县委党校2022年无政府性基金预算财政拨款支出。</w:t>
      </w:r>
    </w:p>
    <w:p>
      <w:pPr>
        <w:numPr>
          <w:ilvl w:val="0"/>
          <w:numId w:val="2"/>
        </w:numPr>
        <w:spacing w:line="600" w:lineRule="exact"/>
        <w:ind w:firstLine="640"/>
        <w:outlineLvl w:val="1"/>
        <w:rPr>
          <w:rStyle w:val="32"/>
          <w:rFonts w:ascii="黑体" w:hAnsi="黑体" w:eastAsia="黑体"/>
          <w:b w:val="0"/>
        </w:rPr>
      </w:pPr>
      <w:bookmarkStart w:id="43" w:name="_Toc15377219"/>
      <w:bookmarkStart w:id="44" w:name="_Toc15396611"/>
      <w:r>
        <w:rPr>
          <w:rStyle w:val="32"/>
          <w:rFonts w:hint="eastAsia" w:ascii="黑体" w:hAnsi="黑体" w:eastAsia="黑体"/>
          <w:b w:val="0"/>
        </w:rPr>
        <w:t>国有资本经营预算支出决算情况说明</w:t>
      </w:r>
      <w:bookmarkEnd w:id="43"/>
      <w:bookmarkEnd w:id="44"/>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县委党校2022年无国有资本经营预算财政拨款支出。</w:t>
      </w:r>
    </w:p>
    <w:p>
      <w:pPr>
        <w:numPr>
          <w:ilvl w:val="0"/>
          <w:numId w:val="2"/>
        </w:numPr>
        <w:spacing w:line="600" w:lineRule="exact"/>
        <w:ind w:firstLine="640"/>
        <w:outlineLvl w:val="1"/>
        <w:rPr>
          <w:rStyle w:val="32"/>
          <w:rFonts w:ascii="黑体" w:hAnsi="黑体" w:eastAsia="黑体"/>
          <w:b w:val="0"/>
        </w:rPr>
      </w:pPr>
      <w:bookmarkStart w:id="45" w:name="_Toc15377221"/>
      <w:bookmarkStart w:id="46" w:name="_Toc15396612"/>
      <w:r>
        <w:rPr>
          <w:rStyle w:val="32"/>
          <w:rFonts w:hint="eastAsia" w:ascii="黑体" w:hAnsi="黑体" w:eastAsia="黑体"/>
          <w:b w:val="0"/>
        </w:rPr>
        <w:t>其他重要事项的情况说明</w:t>
      </w:r>
      <w:bookmarkEnd w:id="45"/>
      <w:bookmarkEnd w:id="46"/>
    </w:p>
    <w:p>
      <w:pPr>
        <w:spacing w:line="600" w:lineRule="exact"/>
        <w:ind w:firstLine="640"/>
        <w:outlineLvl w:val="1"/>
        <w:rPr>
          <w:rStyle w:val="32"/>
          <w:rFonts w:hint="eastAsia" w:ascii="黑体" w:hAnsi="黑体" w:eastAsia="黑体"/>
          <w:b w:val="0"/>
        </w:rPr>
      </w:pPr>
      <w:bookmarkStart w:id="47" w:name="_Toc15377222"/>
      <w:r>
        <w:rPr>
          <w:rStyle w:val="32"/>
          <w:rFonts w:hint="eastAsia" w:ascii="黑体" w:hAnsi="黑体" w:eastAsia="黑体"/>
          <w:b w:val="0"/>
        </w:rPr>
        <w:t>（一）机关运行经费支出情况</w:t>
      </w:r>
      <w:bookmarkEnd w:id="47"/>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2022年，县委党校机关运行经费支出15.7万元，比</w:t>
      </w:r>
      <w:r>
        <w:rPr>
          <w:rFonts w:hint="eastAsia" w:eastAsia="Times New Roman" w:cs="Times New Roman"/>
          <w:b w:val="0"/>
          <w:bCs w:val="0"/>
          <w:snapToGrid w:val="0"/>
          <w:color w:val="000000"/>
          <w:spacing w:val="10"/>
          <w:kern w:val="0"/>
          <w:sz w:val="30"/>
          <w:szCs w:val="30"/>
          <w:lang w:val="en-US" w:eastAsia="zh-CN" w:bidi="ar-SA"/>
        </w:rPr>
        <w:t>2022</w:t>
      </w:r>
      <w:r>
        <w:rPr>
          <w:rFonts w:hint="eastAsia" w:ascii="Times New Roman" w:hAnsi="Times New Roman" w:eastAsia="Times New Roman" w:cs="Times New Roman"/>
          <w:b w:val="0"/>
          <w:bCs w:val="0"/>
          <w:snapToGrid w:val="0"/>
          <w:color w:val="000000"/>
          <w:spacing w:val="10"/>
          <w:kern w:val="0"/>
          <w:sz w:val="30"/>
          <w:szCs w:val="30"/>
          <w:lang w:val="en-US" w:eastAsia="zh-CN" w:bidi="ar-SA"/>
        </w:rPr>
        <w:t>年减少15.03万元，下降48.91%。主要原因是认真贯彻落实“党政机关要坚持过紧日子”的要求，厉行节约。</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3"/>
      <w:r>
        <w:rPr>
          <w:rFonts w:hint="eastAsia" w:ascii="仿宋" w:hAnsi="仿宋" w:eastAsia="仿宋"/>
          <w:b/>
          <w:sz w:val="32"/>
          <w:szCs w:val="32"/>
        </w:rPr>
        <w:t>（二）政府采购支出情况</w:t>
      </w:r>
      <w:bookmarkEnd w:id="48"/>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2022年，县委党校政府采购支出总额0万元，其中：政府采购货物支出0万元、政府采购工程支出0万元、政府采购服务支出0万元。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截至2022年12月31日，县委党校共有车辆0辆。</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根据预算绩效管理要求，本部门在2022年度预算编制阶段，组织对培训费1个项目开展了预算事前绩效评估，对该项目编制了绩效目标，预算执行过程中，开展了绩效监控。</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组织对2022年度一般公共预算资金全面开展绩效自评，形成部门整体（含部门预算项目）绩效自评报告、培训费专项预算项目绩效自评报告，其中，部门整体（含部门预算项目）绩效自评得分为92分，2022年单位预算项目绩效目标自评表见附件(第四部分)。</w:t>
      </w:r>
    </w:p>
    <w:p>
      <w:pPr>
        <w:widowControl/>
        <w:ind w:firstLine="642" w:firstLineChars="200"/>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1"/>
          <w:rFonts w:ascii="黑体" w:hAnsi="黑体" w:eastAsia="黑体"/>
          <w:b w:val="0"/>
        </w:rPr>
      </w:pPr>
      <w:bookmarkStart w:id="50" w:name="_Toc15396613"/>
      <w:bookmarkStart w:id="51" w:name="_Toc15377225"/>
      <w:r>
        <w:rPr>
          <w:rFonts w:hint="eastAsia" w:ascii="黑体" w:hAnsi="黑体" w:eastAsia="黑体"/>
          <w:sz w:val="44"/>
          <w:szCs w:val="44"/>
        </w:rPr>
        <w:t>名</w:t>
      </w:r>
      <w:r>
        <w:rPr>
          <w:rStyle w:val="31"/>
          <w:rFonts w:hint="eastAsia" w:ascii="黑体" w:hAnsi="黑体" w:eastAsia="黑体"/>
          <w:b w:val="0"/>
        </w:rPr>
        <w:t>词解释</w:t>
      </w:r>
      <w:bookmarkEnd w:id="50"/>
      <w:bookmarkEnd w:id="51"/>
    </w:p>
    <w:p>
      <w:pPr>
        <w:spacing w:line="600" w:lineRule="exact"/>
        <w:jc w:val="left"/>
        <w:rPr>
          <w:rFonts w:ascii="宋体"/>
          <w:b/>
          <w:sz w:val="44"/>
          <w:szCs w:val="44"/>
        </w:rPr>
      </w:pPr>
    </w:p>
    <w:p>
      <w:pPr>
        <w:spacing w:line="421" w:lineRule="auto"/>
        <w:rPr>
          <w:rFonts w:ascii="Arial"/>
          <w:sz w:val="21"/>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1.财政拨款收入：指单位从同级财政部门取得的财政预算。</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2.教育支出（类）进修及培训（款） 干部教育（项）：指反映各级党校、行政学院、社会主义学院、国家会计学院的支出。包括机构运转、招聘师资、举办各类培训班的支出等。</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3. 社会保障和就业支出（类）行政事业单位养老支出（款）机 关事业单位基本养老保险缴费支出（项）: 指反映机关事业单位实施养老保险制度由单位缴纳的基本养老保险费支出。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4. 卫生健康支出（类）行政事业单位医疗（款）行政单位医疗（项）：指行政单位用于缴纳单位基本医疗保险支出。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5.住房保障支出（类）住房改革支出（款）住房公积金（项）：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6.基本支出：指为保障机构正常运转、完成日常工作任务而发生的人员支出和公用支出。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7.项目支出：指在基本支出之外为完成特定行政任务和事业发展目标所发生的支出。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8.“三公”经费：指单位用财政拨款安排的因公出国（境）费、公务用车购置及运行费和公务接待费。其中，因公出国（境） 费反映单位公务出国（境）的国际旅费、国外城市间交通费、住 宿费、伙食费、培训费、公杂费等支出；公务用车购置及运行费 反映单位公务用车车辆购置支出（含车辆购置税）及租用费、燃 料费、维修费、过路过桥费、保险费等支出；公务接待费反映单位按规定开支的各类公务接待（含外宾接待）支出。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pPr>
      <w:r>
        <w:rPr>
          <w:rFonts w:hint="eastAsia" w:ascii="Times New Roman" w:hAnsi="Times New Roman" w:eastAsia="Times New Roman" w:cs="Times New Roman"/>
          <w:b w:val="0"/>
          <w:bCs w:val="0"/>
          <w:snapToGrid w:val="0"/>
          <w:color w:val="000000"/>
          <w:spacing w:val="10"/>
          <w:kern w:val="0"/>
          <w:sz w:val="30"/>
          <w:szCs w:val="30"/>
          <w:lang w:val="en-US" w:eastAsia="zh-CN" w:bidi="ar-SA"/>
        </w:rPr>
        <w:t>9.机关运行经费：为保障行政单位（含参照公务员法管理的事业单位）运行用于购买货物和服务的各项资金，包括办公及 印刷费、邮电费、差旅费、会议费、福利费、 日常维修费、办公 用房水电费、办公用房物业管理费、公务用车运行维护费以及其他费用。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Times New Roman" w:hAnsi="Times New Roman" w:eastAsia="Times New Roman" w:cs="Times New Roman"/>
          <w:b w:val="0"/>
          <w:bCs w:val="0"/>
          <w:snapToGrid w:val="0"/>
          <w:color w:val="000000"/>
          <w:spacing w:val="10"/>
          <w:kern w:val="0"/>
          <w:sz w:val="30"/>
          <w:szCs w:val="30"/>
          <w:lang w:val="en-US" w:eastAsia="zh-CN" w:bidi="ar-SA"/>
        </w:rPr>
        <w:sectPr>
          <w:footerReference r:id="rId5" w:type="default"/>
          <w:pgSz w:w="11900" w:h="16820"/>
          <w:pgMar w:top="1429" w:right="1401" w:bottom="1865" w:left="1546" w:header="0" w:footer="1701" w:gutter="0"/>
          <w:pgNumType w:fmt="decimal" w:start="1"/>
          <w:cols w:space="720" w:num="1"/>
        </w:sectPr>
      </w:pPr>
    </w:p>
    <w:p>
      <w:pPr>
        <w:spacing w:before="140" w:line="225" w:lineRule="auto"/>
        <w:ind w:left="2994"/>
        <w:outlineLvl w:val="0"/>
        <w:rPr>
          <w:rFonts w:ascii="黑体" w:hAnsi="黑体" w:eastAsia="黑体" w:cs="黑体"/>
          <w:sz w:val="43"/>
          <w:szCs w:val="43"/>
        </w:rPr>
      </w:pPr>
      <w:bookmarkStart w:id="52" w:name="bookmark14"/>
      <w:bookmarkEnd w:id="52"/>
      <w:bookmarkStart w:id="53" w:name="_Toc15396614"/>
      <w:bookmarkStart w:id="54" w:name="_Toc15377226"/>
      <w:r>
        <w:rPr>
          <w:rFonts w:ascii="黑体" w:hAnsi="黑体" w:eastAsia="黑体" w:cs="黑体"/>
          <w:sz w:val="43"/>
          <w:szCs w:val="43"/>
        </w:rPr>
        <w:t>第四部分</w:t>
      </w:r>
      <w:r>
        <w:rPr>
          <w:rFonts w:ascii="黑体" w:hAnsi="黑体" w:eastAsia="黑体" w:cs="黑体"/>
          <w:spacing w:val="45"/>
          <w:sz w:val="43"/>
          <w:szCs w:val="43"/>
        </w:rPr>
        <w:t xml:space="preserve"> </w:t>
      </w:r>
      <w:r>
        <w:rPr>
          <w:rFonts w:ascii="黑体" w:hAnsi="黑体" w:eastAsia="黑体" w:cs="黑体"/>
          <w:sz w:val="43"/>
          <w:szCs w:val="43"/>
        </w:rPr>
        <w:t>附件</w:t>
      </w:r>
    </w:p>
    <w:p>
      <w:pPr>
        <w:spacing w:before="59" w:line="222" w:lineRule="auto"/>
        <w:ind w:left="3064"/>
        <w:rPr>
          <w:rFonts w:ascii="黑体" w:hAnsi="黑体" w:eastAsia="黑体" w:cs="黑体"/>
          <w:spacing w:val="-6"/>
          <w:sz w:val="40"/>
          <w:szCs w:val="40"/>
        </w:rPr>
      </w:pPr>
    </w:p>
    <w:p>
      <w:pPr>
        <w:spacing w:before="59" w:line="222" w:lineRule="auto"/>
        <w:ind w:left="3064"/>
        <w:rPr>
          <w:rFonts w:ascii="黑体" w:hAnsi="黑体" w:eastAsia="黑体" w:cs="黑体"/>
          <w:sz w:val="40"/>
          <w:szCs w:val="40"/>
        </w:rPr>
      </w:pPr>
      <w:r>
        <w:rPr>
          <w:rFonts w:ascii="黑体" w:hAnsi="黑体" w:eastAsia="黑体" w:cs="黑体"/>
          <w:spacing w:val="-6"/>
          <w:sz w:val="40"/>
          <w:szCs w:val="40"/>
        </w:rPr>
        <w:t>中共剑阁县委党校</w:t>
      </w:r>
    </w:p>
    <w:p>
      <w:pPr>
        <w:spacing w:before="93" w:line="221" w:lineRule="auto"/>
        <w:ind w:left="1770"/>
        <w:rPr>
          <w:rFonts w:ascii="黑体" w:hAnsi="黑体" w:eastAsia="黑体" w:cs="黑体"/>
          <w:sz w:val="40"/>
          <w:szCs w:val="40"/>
        </w:rPr>
      </w:pPr>
      <w:r>
        <w:rPr>
          <w:rFonts w:ascii="黑体" w:hAnsi="黑体" w:eastAsia="黑体" w:cs="黑体"/>
          <w:spacing w:val="-2"/>
          <w:sz w:val="40"/>
          <w:szCs w:val="40"/>
        </w:rPr>
        <w:t>202</w:t>
      </w:r>
      <w:r>
        <w:rPr>
          <w:rFonts w:hint="eastAsia" w:ascii="黑体" w:hAnsi="黑体" w:eastAsia="黑体" w:cs="黑体"/>
          <w:spacing w:val="-2"/>
          <w:sz w:val="40"/>
          <w:szCs w:val="40"/>
          <w:lang w:val="en-US" w:eastAsia="zh-CN"/>
        </w:rPr>
        <w:t>2</w:t>
      </w:r>
      <w:r>
        <w:rPr>
          <w:rFonts w:ascii="黑体" w:hAnsi="黑体" w:eastAsia="黑体" w:cs="黑体"/>
          <w:spacing w:val="-2"/>
          <w:sz w:val="40"/>
          <w:szCs w:val="40"/>
        </w:rPr>
        <w:t>年部门整体绩效评价报告</w:t>
      </w:r>
    </w:p>
    <w:p>
      <w:pPr>
        <w:spacing w:before="164" w:line="437" w:lineRule="exact"/>
        <w:ind w:left="647"/>
        <w:rPr>
          <w:rFonts w:ascii="黑体" w:hAnsi="黑体" w:eastAsia="黑体" w:cs="黑体"/>
          <w:sz w:val="31"/>
          <w:szCs w:val="31"/>
        </w:rPr>
      </w:pPr>
      <w:r>
        <w:rPr>
          <w:rFonts w:ascii="黑体" w:hAnsi="黑体" w:eastAsia="黑体" w:cs="黑体"/>
          <w:spacing w:val="6"/>
          <w:position w:val="8"/>
          <w:sz w:val="31"/>
          <w:szCs w:val="31"/>
        </w:rPr>
        <w:t>一、部门概况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（一）机构组成。</w:t>
      </w:r>
    </w:p>
    <w:p>
      <w:pPr>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中国共产党剑阁县委员会党校无下属二级单位，其中行政单位0个，参照公务员法管理的事业单位1个（正科级），其他事业单位0个。纳入2022年度部门决算编制范围的预算单位包括：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1、中国共产党剑阁县委员会党校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楷体_GB2312" w:hAnsi="楷体_GB2312" w:eastAsia="楷体_GB2312" w:cs="楷体_GB2312"/>
          <w:b/>
          <w:bCs/>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（二）机构职能。</w:t>
      </w:r>
    </w:p>
    <w:p>
      <w:pPr>
        <w:spacing w:line="500" w:lineRule="exact"/>
        <w:ind w:firstLine="560" w:firstLineChars="200"/>
      </w:pPr>
      <w:r>
        <w:rPr>
          <w:rFonts w:hint="eastAsia" w:ascii="宋体" w:hAnsi="宋体" w:eastAsia="宋体" w:cs="宋体"/>
          <w:sz w:val="28"/>
          <w:szCs w:val="28"/>
          <w:lang w:eastAsia="zh-CN"/>
        </w:rPr>
        <w:t>1</w:t>
      </w:r>
      <w:r>
        <w:rPr>
          <w:rFonts w:hint="eastAsia" w:ascii="宋体" w:hAnsi="宋体" w:cs="宋体"/>
          <w:sz w:val="28"/>
          <w:szCs w:val="28"/>
          <w:lang w:val="en-US" w:eastAsia="zh-CN"/>
        </w:rPr>
        <w:t>.</w:t>
      </w:r>
      <w:r>
        <w:rPr>
          <w:rFonts w:hint="eastAsia" w:ascii="宋体" w:hAnsi="宋体" w:eastAsia="宋体" w:cs="宋体"/>
          <w:sz w:val="28"/>
          <w:szCs w:val="28"/>
          <w:lang w:eastAsia="zh-CN"/>
        </w:rPr>
        <w:t>根据中共中央 21 世纪干部队伍建设的要求和县委的具体安 排，有计划地轮(培)训正、副科级领导干部、科员、办事员、企事 业单位和群团组织领导干部、宣传理论骨干、农村党支部书记村主 任及县级机关和乡镇一般干部、党员、入党积极分子，协同组织人 事部门对学员在党校学习期间的表现情况进行考核，提出使用建议。</w:t>
      </w:r>
    </w:p>
    <w:p>
      <w:pPr>
        <w:pStyle w:val="2"/>
        <w:spacing w:before="173" w:line="332" w:lineRule="auto"/>
        <w:ind w:left="30" w:right="2" w:firstLine="385"/>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2.研究、宣传马列主义、毛泽东思想和邓小平理论，围绕党的 中心任务和县委、县政府的部署，对全县重大现实问题开展理论研</w:t>
      </w:r>
    </w:p>
    <w:p>
      <w:pPr>
        <w:pStyle w:val="2"/>
        <w:spacing w:line="225" w:lineRule="auto"/>
        <w:ind w:left="1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究，为教学和党的建设、经济工作服务。</w:t>
      </w:r>
    </w:p>
    <w:p>
      <w:pPr>
        <w:pStyle w:val="2"/>
        <w:spacing w:before="173" w:line="332" w:lineRule="auto"/>
        <w:ind w:left="30" w:right="2" w:firstLine="385"/>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3.受县委委托举办领导干部研讨班，研讨县委提出的重大理论和方针政策问题。</w:t>
      </w:r>
    </w:p>
    <w:p>
      <w:pPr>
        <w:pStyle w:val="2"/>
        <w:spacing w:before="173" w:line="242" w:lineRule="auto"/>
        <w:ind w:left="453" w:right="874" w:hanging="3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4.承办县委、县政府及省、市委党校交办的其它事项。</w:t>
      </w:r>
    </w:p>
    <w:p>
      <w:pPr>
        <w:pStyle w:val="2"/>
        <w:spacing w:before="173" w:line="242" w:lineRule="auto"/>
        <w:ind w:left="453" w:right="874" w:hanging="39"/>
      </w:pPr>
      <w:r>
        <w:t xml:space="preserve"> </w:t>
      </w:r>
      <w:r>
        <w:rPr>
          <w:rFonts w:hint="eastAsia" w:ascii="楷体_GB2312" w:hAnsi="楷体_GB2312" w:eastAsia="楷体_GB2312" w:cs="楷体_GB2312"/>
          <w:b/>
          <w:bCs/>
          <w:snapToGrid w:val="0"/>
          <w:color w:val="000000"/>
          <w:kern w:val="0"/>
          <w:sz w:val="32"/>
          <w:szCs w:val="32"/>
          <w:lang w:val="en-US" w:eastAsia="zh-CN" w:bidi="ar-SA"/>
        </w:rPr>
        <w:t>（三）人员概况</w:t>
      </w:r>
    </w:p>
    <w:p>
      <w:pPr>
        <w:pStyle w:val="2"/>
        <w:spacing w:before="173" w:line="332" w:lineRule="auto"/>
        <w:ind w:left="30" w:right="2" w:firstLine="792" w:firstLineChars="283"/>
        <w:jc w:val="both"/>
        <w:rPr>
          <w:color w:val="auto"/>
          <w:highlight w:val="none"/>
        </w:rPr>
      </w:pPr>
      <w:r>
        <w:rPr>
          <w:rFonts w:hint="eastAsia" w:ascii="宋体" w:hAnsi="宋体" w:eastAsia="宋体" w:cs="宋体"/>
          <w:color w:val="auto"/>
          <w:kern w:val="2"/>
          <w:sz w:val="28"/>
          <w:szCs w:val="28"/>
          <w:highlight w:val="none"/>
          <w:lang w:val="en-US" w:eastAsia="zh-CN" w:bidi="ar-SA"/>
        </w:rPr>
        <w:t>人员情况：中共剑阁县委党校事业编制共13个。年末在编实有人员20人：行政人员8人,机关工勤人员1人、事业人员11人。</w:t>
      </w:r>
    </w:p>
    <w:p>
      <w:pPr>
        <w:spacing w:line="240" w:lineRule="auto"/>
      </w:pPr>
    </w:p>
    <w:p>
      <w:pPr>
        <w:spacing w:before="100" w:line="555" w:lineRule="exact"/>
        <w:ind w:left="647"/>
        <w:rPr>
          <w:rFonts w:ascii="黑体" w:hAnsi="黑体" w:eastAsia="黑体" w:cs="黑体"/>
          <w:sz w:val="31"/>
          <w:szCs w:val="31"/>
        </w:rPr>
      </w:pPr>
      <w:r>
        <w:rPr>
          <w:rFonts w:ascii="黑体" w:hAnsi="黑体" w:eastAsia="黑体" w:cs="黑体"/>
          <w:spacing w:val="8"/>
          <w:position w:val="17"/>
          <w:sz w:val="31"/>
          <w:szCs w:val="31"/>
        </w:rPr>
        <w:t>二、部门财政资金收支情况</w:t>
      </w:r>
    </w:p>
    <w:p>
      <w:pPr>
        <w:pStyle w:val="2"/>
        <w:spacing w:before="173" w:line="242" w:lineRule="auto"/>
        <w:ind w:left="453" w:right="874" w:hanging="39"/>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（一）部门财政资金收入情况。</w:t>
      </w:r>
    </w:p>
    <w:p>
      <w:pPr>
        <w:pStyle w:val="2"/>
        <w:spacing w:before="173" w:line="332" w:lineRule="auto"/>
        <w:ind w:left="30" w:right="2" w:firstLine="792" w:firstLineChars="283"/>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 年中共剑阁县委党校本年收入合计 219.33万元，其中：一</w:t>
      </w:r>
    </w:p>
    <w:p>
      <w:pPr>
        <w:pStyle w:val="2"/>
        <w:spacing w:before="173" w:line="332" w:lineRule="auto"/>
        <w:ind w:left="30" w:right="2" w:firstLine="385"/>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般公共预算财政拨款收入 219.33 万元， 占 100%；无其他收入。</w:t>
      </w:r>
    </w:p>
    <w:p>
      <w:pPr>
        <w:pStyle w:val="2"/>
        <w:spacing w:before="173" w:line="242" w:lineRule="auto"/>
        <w:ind w:left="453" w:right="874" w:hanging="39"/>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（二）部门财政资金支出情况。</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 年中共剑阁县委党校本年支出合计 219.33万元，其中：基本支出 202.33 万元，占 92.25%；项目支出17 万元，占7.75%。</w:t>
      </w:r>
    </w:p>
    <w:p>
      <w:pPr>
        <w:spacing w:before="195" w:line="555" w:lineRule="exact"/>
        <w:ind w:left="648"/>
        <w:rPr>
          <w:rFonts w:ascii="黑体" w:hAnsi="黑体" w:eastAsia="黑体" w:cs="黑体"/>
          <w:sz w:val="31"/>
          <w:szCs w:val="31"/>
        </w:rPr>
      </w:pPr>
      <w:r>
        <w:rPr>
          <w:rFonts w:ascii="黑体" w:hAnsi="黑体" w:eastAsia="黑体" w:cs="黑体"/>
          <w:spacing w:val="8"/>
          <w:position w:val="17"/>
          <w:sz w:val="31"/>
          <w:szCs w:val="31"/>
        </w:rPr>
        <w:t>三、部门整体预算绩效管理情况</w:t>
      </w:r>
    </w:p>
    <w:p>
      <w:pPr>
        <w:pStyle w:val="2"/>
        <w:spacing w:before="173" w:line="242" w:lineRule="auto"/>
        <w:ind w:left="453" w:right="874" w:hanging="39"/>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（一）部门预算管理</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进一步加强制度建设，提升自评质量，预算绩效管理取得新成效。一是抓好绩效目标编制，及时报送绩效目标。二是探索绩效跟踪监控，加强目标绩效监控。三是深入开展财政支出绩效评价，对专项资金实施绩效自评和项目核查，在此基础上形成自评报告。四是强化评价结果应用，组织绩效自评和绩效跟踪监控，对发现的问 题现场反馈并要求改进。五是健全绩效管理工作机制，明确职责分工，组织专题培训，提高单位绩效管理工作水平。</w:t>
      </w:r>
    </w:p>
    <w:p>
      <w:pPr>
        <w:pStyle w:val="2"/>
        <w:spacing w:before="173" w:line="242" w:lineRule="auto"/>
        <w:ind w:left="453" w:right="874" w:hanging="39"/>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（二）结果应用情况</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 年县委党校绩效自评渗透到预算管理的事前、事中、事后各个环节。一方面，对预算执行结果开展监督审查。审查资金是否符合规定支出范围。另一方面，加强财政支出绩效评价。</w:t>
      </w:r>
    </w:p>
    <w:p>
      <w:pPr>
        <w:pStyle w:val="2"/>
        <w:spacing w:before="173" w:line="242" w:lineRule="auto"/>
        <w:ind w:left="453" w:right="874" w:hanging="39"/>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（三） 自评质量</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 年县委党校整体支出自评准确。</w:t>
      </w:r>
    </w:p>
    <w:p>
      <w:pPr>
        <w:spacing w:line="242" w:lineRule="auto"/>
        <w:rPr>
          <w:rFonts w:ascii="Arial"/>
          <w:sz w:val="21"/>
        </w:rPr>
      </w:pPr>
    </w:p>
    <w:p>
      <w:pPr>
        <w:spacing w:line="242" w:lineRule="auto"/>
        <w:rPr>
          <w:rFonts w:ascii="Arial"/>
          <w:sz w:val="21"/>
        </w:rPr>
      </w:pPr>
    </w:p>
    <w:p>
      <w:pPr>
        <w:spacing w:before="101" w:line="227" w:lineRule="auto"/>
        <w:ind w:left="659" w:firstLine="322" w:firstLineChars="100"/>
        <w:rPr>
          <w:rFonts w:ascii="黑体" w:hAnsi="黑体" w:eastAsia="黑体" w:cs="黑体"/>
          <w:sz w:val="31"/>
          <w:szCs w:val="31"/>
        </w:rPr>
      </w:pPr>
      <w:bookmarkStart w:id="55" w:name="bookmark15"/>
      <w:bookmarkEnd w:id="55"/>
      <w:r>
        <w:rPr>
          <w:rFonts w:ascii="黑体" w:hAnsi="黑体" w:eastAsia="黑体" w:cs="黑体"/>
          <w:spacing w:val="6"/>
          <w:sz w:val="31"/>
          <w:szCs w:val="31"/>
        </w:rPr>
        <w:t>四、评价结论及建议</w:t>
      </w:r>
    </w:p>
    <w:p>
      <w:pPr>
        <w:pStyle w:val="2"/>
        <w:spacing w:before="173" w:line="242" w:lineRule="auto"/>
        <w:ind w:left="578" w:leftChars="275" w:right="874" w:firstLine="260" w:firstLineChars="81"/>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（一）评价结论。</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 年中共剑阁县委党校绩效评价整体良好。</w:t>
      </w:r>
    </w:p>
    <w:p>
      <w:pPr>
        <w:pStyle w:val="2"/>
        <w:spacing w:before="173" w:line="242" w:lineRule="auto"/>
        <w:ind w:left="578" w:leftChars="275" w:right="874" w:firstLine="260" w:firstLineChars="81"/>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（二）存在问题。</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预算编制与实际支出项目有的仍存在一些差异。</w:t>
      </w:r>
    </w:p>
    <w:p>
      <w:pPr>
        <w:pStyle w:val="2"/>
        <w:spacing w:before="173" w:line="242" w:lineRule="auto"/>
        <w:ind w:left="578" w:leftChars="275" w:right="874" w:firstLine="260" w:firstLineChars="81"/>
        <w:rPr>
          <w:rFonts w:hint="eastAsia" w:ascii="楷体_GB2312" w:hAnsi="楷体_GB2312" w:eastAsia="楷体_GB2312" w:cs="楷体_GB2312"/>
          <w:b/>
          <w:bCs/>
          <w:snapToGrid w:val="0"/>
          <w:color w:val="000000"/>
          <w:kern w:val="0"/>
          <w:sz w:val="32"/>
          <w:szCs w:val="32"/>
          <w:lang w:val="en-US" w:eastAsia="zh-CN" w:bidi="ar-SA"/>
        </w:rPr>
      </w:pPr>
      <w:r>
        <w:rPr>
          <w:rFonts w:hint="eastAsia" w:ascii="楷体_GB2312" w:hAnsi="楷体_GB2312" w:eastAsia="楷体_GB2312" w:cs="楷体_GB2312"/>
          <w:b/>
          <w:bCs/>
          <w:snapToGrid w:val="0"/>
          <w:color w:val="000000"/>
          <w:kern w:val="0"/>
          <w:sz w:val="32"/>
          <w:szCs w:val="32"/>
          <w:lang w:val="en-US" w:eastAsia="zh-CN" w:bidi="ar-SA"/>
        </w:rPr>
        <w:t>（三）改进建议。</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加强绩效评价相关文件和知识的学习，提升绩效自评能力，结合单位实际和项目资金实际科学合理设置绩效目标，尽可能细化、量化。</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sectPr>
          <w:footerReference r:id="rId6" w:type="default"/>
          <w:pgSz w:w="11900" w:h="16820"/>
          <w:pgMar w:top="1429" w:right="1427" w:bottom="1865" w:left="1543" w:header="0" w:footer="1701" w:gutter="0"/>
          <w:pgNumType w:fmt="decimal"/>
          <w:cols w:space="720" w:num="1"/>
        </w:sectPr>
      </w:pPr>
    </w:p>
    <w:p>
      <w:pPr>
        <w:spacing w:line="277" w:lineRule="auto"/>
        <w:rPr>
          <w:rFonts w:ascii="Arial"/>
          <w:sz w:val="21"/>
        </w:rPr>
      </w:pPr>
    </w:p>
    <w:p>
      <w:pPr>
        <w:spacing w:line="278" w:lineRule="auto"/>
        <w:rPr>
          <w:rFonts w:ascii="Arial"/>
          <w:sz w:val="21"/>
        </w:rPr>
      </w:pPr>
    </w:p>
    <w:p>
      <w:pPr>
        <w:spacing w:before="130" w:line="222" w:lineRule="auto"/>
        <w:ind w:left="2853"/>
        <w:rPr>
          <w:rFonts w:ascii="黑体" w:hAnsi="黑体" w:eastAsia="黑体" w:cs="黑体"/>
          <w:sz w:val="40"/>
          <w:szCs w:val="40"/>
        </w:rPr>
      </w:pPr>
      <w:r>
        <w:rPr>
          <w:rFonts w:ascii="黑体" w:hAnsi="黑体" w:eastAsia="黑体" w:cs="黑体"/>
          <w:spacing w:val="-6"/>
          <w:sz w:val="40"/>
          <w:szCs w:val="40"/>
        </w:rPr>
        <w:t>中共剑阁县委党校</w:t>
      </w:r>
    </w:p>
    <w:p>
      <w:pPr>
        <w:spacing w:before="119" w:line="221" w:lineRule="auto"/>
        <w:ind w:left="1770"/>
        <w:rPr>
          <w:rFonts w:ascii="黑体" w:hAnsi="黑体" w:eastAsia="黑体" w:cs="黑体"/>
          <w:sz w:val="40"/>
          <w:szCs w:val="40"/>
        </w:rPr>
      </w:pPr>
      <w:r>
        <w:rPr>
          <w:rFonts w:ascii="黑体" w:hAnsi="黑体" w:eastAsia="黑体" w:cs="黑体"/>
          <w:spacing w:val="-2"/>
          <w:sz w:val="40"/>
          <w:szCs w:val="40"/>
        </w:rPr>
        <w:t>202</w:t>
      </w:r>
      <w:r>
        <w:rPr>
          <w:rFonts w:hint="eastAsia" w:ascii="黑体" w:hAnsi="黑体" w:eastAsia="黑体" w:cs="黑体"/>
          <w:spacing w:val="-2"/>
          <w:sz w:val="40"/>
          <w:szCs w:val="40"/>
          <w:lang w:val="en-US" w:eastAsia="zh-CN"/>
        </w:rPr>
        <w:t>2</w:t>
      </w:r>
      <w:r>
        <w:rPr>
          <w:rFonts w:ascii="黑体" w:hAnsi="黑体" w:eastAsia="黑体" w:cs="黑体"/>
          <w:spacing w:val="-2"/>
          <w:sz w:val="40"/>
          <w:szCs w:val="40"/>
        </w:rPr>
        <w:t>年项目支出绩效自评报告</w:t>
      </w:r>
    </w:p>
    <w:p>
      <w:pPr>
        <w:spacing w:before="160" w:line="226" w:lineRule="auto"/>
        <w:ind w:left="726"/>
        <w:rPr>
          <w:rFonts w:ascii="黑体" w:hAnsi="黑体" w:eastAsia="黑体" w:cs="黑体"/>
          <w:sz w:val="31"/>
          <w:szCs w:val="31"/>
        </w:rPr>
      </w:pPr>
      <w:r>
        <w:rPr>
          <w:rFonts w:ascii="黑体" w:hAnsi="黑体" w:eastAsia="黑体" w:cs="黑体"/>
          <w:spacing w:val="7"/>
          <w:sz w:val="31"/>
          <w:szCs w:val="31"/>
          <w14:textOutline w14:w="5793" w14:cap="sq" w14:cmpd="sng">
            <w14:solidFill>
              <w14:srgbClr w14:val="000000"/>
            </w14:solidFill>
            <w14:prstDash w14:val="solid"/>
            <w14:bevel/>
          </w14:textOutline>
        </w:rPr>
        <w:t>一、项目概况</w:t>
      </w:r>
    </w:p>
    <w:p>
      <w:pPr>
        <w:keepNext w:val="0"/>
        <w:keepLines w:val="0"/>
        <w:widowControl w:val="0"/>
        <w:suppressLineNumbers w:val="0"/>
        <w:autoSpaceDE w:val="0"/>
        <w:autoSpaceDN/>
        <w:adjustRightInd w:val="0"/>
        <w:snapToGrid w:val="0"/>
        <w:spacing w:before="0" w:beforeAutospacing="0" w:after="0" w:afterAutospacing="0" w:line="576" w:lineRule="exact"/>
        <w:ind w:left="0" w:right="0" w:firstLine="652" w:firstLineChars="200"/>
        <w:jc w:val="both"/>
        <w:textAlignment w:val="baseline"/>
        <w:rPr>
          <w:color w:val="000000"/>
          <w:spacing w:val="10"/>
          <w:kern w:val="0"/>
          <w:sz w:val="30"/>
          <w:szCs w:val="30"/>
          <w:vertAlign w:val="baseline"/>
          <w:lang w:val="en-US"/>
        </w:rPr>
      </w:pPr>
      <w:r>
        <w:rPr>
          <w:rFonts w:ascii="楷体" w:hAnsi="楷体" w:eastAsia="楷体" w:cs="楷体"/>
          <w:spacing w:val="8"/>
          <w:sz w:val="31"/>
          <w:szCs w:val="31"/>
          <w14:textOutline w14:w="5793" w14:cap="sq" w14:cmpd="sng">
            <w14:solidFill>
              <w14:srgbClr w14:val="000000"/>
            </w14:solidFill>
            <w14:prstDash w14:val="solid"/>
            <w14:bevel/>
          </w14:textOutline>
        </w:rPr>
        <w:t>（一）项目资金申报及批复情况。</w:t>
      </w:r>
      <w:r>
        <w:rPr>
          <w:rFonts w:hint="eastAsia" w:ascii="宋体" w:hAnsi="宋体" w:eastAsia="宋体" w:cs="宋体"/>
          <w:kern w:val="2"/>
          <w:sz w:val="28"/>
          <w:szCs w:val="28"/>
          <w:lang w:val="en-US" w:eastAsia="zh-CN" w:bidi="ar-SA"/>
        </w:rPr>
        <w:t>决策依据：根据</w:t>
      </w:r>
      <w:r>
        <w:rPr>
          <w:rFonts w:hint="eastAsia" w:ascii="Times New Roman" w:hAnsi="Times New Roman" w:eastAsia="宋体" w:cs="宋体"/>
          <w:color w:val="000000"/>
          <w:spacing w:val="10"/>
          <w:kern w:val="0"/>
          <w:sz w:val="30"/>
          <w:szCs w:val="30"/>
          <w:vertAlign w:val="baseline"/>
          <w:lang w:val="en-US" w:eastAsia="zh-CN" w:bidi="ar"/>
        </w:rPr>
        <w:t>全年举办主体班</w:t>
      </w:r>
      <w:r>
        <w:rPr>
          <w:rFonts w:hint="default" w:ascii="Times New Roman" w:hAnsi="Times New Roman" w:eastAsia="宋体" w:cs="Times New Roman"/>
          <w:color w:val="000000"/>
          <w:spacing w:val="10"/>
          <w:kern w:val="0"/>
          <w:sz w:val="30"/>
          <w:szCs w:val="30"/>
          <w:vertAlign w:val="baseline"/>
          <w:lang w:val="en-US" w:eastAsia="zh-CN" w:bidi="ar"/>
        </w:rPr>
        <w:t>10</w:t>
      </w:r>
      <w:r>
        <w:rPr>
          <w:rFonts w:hint="eastAsia" w:ascii="Times New Roman" w:hAnsi="Times New Roman" w:eastAsia="宋体" w:cs="宋体"/>
          <w:color w:val="000000"/>
          <w:spacing w:val="10"/>
          <w:kern w:val="0"/>
          <w:sz w:val="30"/>
          <w:szCs w:val="30"/>
          <w:vertAlign w:val="baseline"/>
          <w:lang w:val="en-US" w:eastAsia="zh-CN" w:bidi="ar"/>
        </w:rPr>
        <w:t>期，参训学员</w:t>
      </w:r>
      <w:r>
        <w:rPr>
          <w:rFonts w:hint="default" w:ascii="Times New Roman" w:hAnsi="Times New Roman" w:eastAsia="宋体" w:cs="Times New Roman"/>
          <w:color w:val="000000"/>
          <w:spacing w:val="10"/>
          <w:kern w:val="0"/>
          <w:sz w:val="30"/>
          <w:szCs w:val="30"/>
          <w:vertAlign w:val="baseline"/>
          <w:lang w:val="en-US" w:eastAsia="zh-CN" w:bidi="ar"/>
        </w:rPr>
        <w:t>1115</w:t>
      </w:r>
      <w:r>
        <w:rPr>
          <w:rFonts w:hint="eastAsia" w:ascii="Times New Roman" w:hAnsi="Times New Roman" w:eastAsia="宋体" w:cs="宋体"/>
          <w:color w:val="000000"/>
          <w:spacing w:val="10"/>
          <w:kern w:val="0"/>
          <w:sz w:val="30"/>
          <w:szCs w:val="30"/>
          <w:vertAlign w:val="baseline"/>
          <w:lang w:val="en-US" w:eastAsia="zh-CN" w:bidi="ar"/>
        </w:rPr>
        <w:t>人，外培班</w:t>
      </w:r>
      <w:r>
        <w:rPr>
          <w:rFonts w:hint="default" w:ascii="Times New Roman" w:hAnsi="Times New Roman" w:eastAsia="宋体" w:cs="Times New Roman"/>
          <w:color w:val="000000"/>
          <w:spacing w:val="10"/>
          <w:kern w:val="0"/>
          <w:sz w:val="30"/>
          <w:szCs w:val="30"/>
          <w:vertAlign w:val="baseline"/>
          <w:lang w:val="en-US" w:eastAsia="zh-CN" w:bidi="ar"/>
        </w:rPr>
        <w:t>14</w:t>
      </w:r>
      <w:r>
        <w:rPr>
          <w:rFonts w:hint="eastAsia" w:ascii="Times New Roman" w:hAnsi="Times New Roman" w:eastAsia="宋体" w:cs="宋体"/>
          <w:color w:val="000000"/>
          <w:spacing w:val="10"/>
          <w:kern w:val="0"/>
          <w:sz w:val="30"/>
          <w:szCs w:val="30"/>
          <w:vertAlign w:val="baseline"/>
          <w:lang w:val="en-US" w:eastAsia="zh-CN" w:bidi="ar"/>
        </w:rPr>
        <w:t>期，参训学员</w:t>
      </w:r>
      <w:r>
        <w:rPr>
          <w:rFonts w:hint="default" w:ascii="Times New Roman" w:hAnsi="Times New Roman" w:eastAsia="宋体" w:cs="Times New Roman"/>
          <w:color w:val="000000"/>
          <w:spacing w:val="10"/>
          <w:kern w:val="0"/>
          <w:sz w:val="30"/>
          <w:szCs w:val="30"/>
          <w:vertAlign w:val="baseline"/>
          <w:lang w:val="en-US" w:eastAsia="zh-CN" w:bidi="ar"/>
        </w:rPr>
        <w:t>800</w:t>
      </w:r>
      <w:r>
        <w:rPr>
          <w:rFonts w:hint="eastAsia" w:ascii="Times New Roman" w:hAnsi="Times New Roman" w:eastAsia="宋体" w:cs="宋体"/>
          <w:color w:val="000000"/>
          <w:spacing w:val="10"/>
          <w:kern w:val="0"/>
          <w:sz w:val="30"/>
          <w:szCs w:val="30"/>
          <w:vertAlign w:val="baseline"/>
          <w:lang w:val="en-US" w:eastAsia="zh-CN" w:bidi="ar"/>
        </w:rPr>
        <w:t>余人，</w:t>
      </w:r>
    </w:p>
    <w:p>
      <w:pPr>
        <w:pStyle w:val="2"/>
        <w:spacing w:before="173" w:line="332" w:lineRule="auto"/>
        <w:ind w:right="2"/>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编制年初预算方案。编制干部教育经费工作经费 17 万元，县财政预算到本单位。</w:t>
      </w:r>
    </w:p>
    <w:p>
      <w:pPr>
        <w:spacing w:before="180" w:line="232" w:lineRule="auto"/>
        <w:ind w:left="747"/>
        <w:rPr>
          <w:rFonts w:ascii="楷体" w:hAnsi="楷体" w:eastAsia="楷体" w:cs="楷体"/>
          <w:sz w:val="31"/>
          <w:szCs w:val="31"/>
        </w:rPr>
      </w:pPr>
      <w:r>
        <w:rPr>
          <w:rFonts w:ascii="楷体" w:hAnsi="楷体" w:eastAsia="楷体" w:cs="楷体"/>
          <w:spacing w:val="6"/>
          <w:sz w:val="31"/>
          <w:szCs w:val="31"/>
          <w14:textOutline w14:w="5793" w14:cap="sq" w14:cmpd="sng">
            <w14:solidFill>
              <w14:srgbClr w14:val="000000"/>
            </w14:solidFill>
            <w14:prstDash w14:val="solid"/>
            <w14:bevel/>
          </w14:textOutline>
        </w:rPr>
        <w:t>（二）项目绩效目标。</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坚持“党校姓党” ，充分发挥干部教育主阵地优势，以习近平新时代中国特色社会主义思想、十九届四中全会、十九届五中、六 中全会、党建党史、党风廉政建设、依法治国、国家安全教育、爱 国主义教育为主要内容，同时加强扫黑除恶、禁毒、综治、维稳、 信访、保密、重疾、防邪等业务知识培训，提高参训学员综合业务能力水平。</w:t>
      </w:r>
    </w:p>
    <w:p>
      <w:pPr>
        <w:pStyle w:val="2"/>
        <w:spacing w:before="173" w:line="332" w:lineRule="auto"/>
        <w:ind w:right="2" w:firstLine="640" w:firstLineChars="200"/>
        <w:jc w:val="both"/>
        <w:rPr>
          <w:rFonts w:ascii="楷体" w:hAnsi="楷体" w:eastAsia="楷体" w:cs="楷体"/>
          <w:spacing w:val="5"/>
          <w:position w:val="18"/>
          <w:sz w:val="31"/>
          <w:szCs w:val="31"/>
          <w14:textOutline w14:w="5793" w14:cap="sq" w14:cmpd="sng">
            <w14:solidFill>
              <w14:srgbClr w14:val="000000"/>
            </w14:solidFill>
            <w14:prstDash w14:val="solid"/>
            <w14:bevel/>
          </w14:textOutline>
        </w:rPr>
      </w:pPr>
      <w:r>
        <w:rPr>
          <w:rFonts w:ascii="楷体" w:hAnsi="楷体" w:eastAsia="楷体" w:cs="楷体"/>
          <w:spacing w:val="5"/>
          <w:position w:val="18"/>
          <w:sz w:val="31"/>
          <w:szCs w:val="31"/>
          <w14:textOutline w14:w="5793" w14:cap="sq" w14:cmpd="sng">
            <w14:solidFill>
              <w14:srgbClr w14:val="000000"/>
            </w14:solidFill>
            <w14:prstDash w14:val="solid"/>
            <w14:bevel/>
          </w14:textOutline>
        </w:rPr>
        <w:t>（三）项目资金申报相符性。</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项目申报内容与具体实施内容相符、申报目标合理可行。</w:t>
      </w:r>
    </w:p>
    <w:p>
      <w:pPr>
        <w:spacing w:before="187" w:line="227" w:lineRule="auto"/>
        <w:ind w:left="726"/>
        <w:rPr>
          <w:rFonts w:ascii="黑体" w:hAnsi="黑体" w:eastAsia="黑体" w:cs="黑体"/>
          <w:sz w:val="31"/>
          <w:szCs w:val="31"/>
        </w:rPr>
      </w:pPr>
      <w:r>
        <w:rPr>
          <w:rFonts w:ascii="黑体" w:hAnsi="黑体" w:eastAsia="黑体" w:cs="黑体"/>
          <w:spacing w:val="9"/>
          <w:sz w:val="31"/>
          <w:szCs w:val="31"/>
          <w14:textOutline w14:w="5793" w14:cap="sq" w14:cmpd="sng">
            <w14:solidFill>
              <w14:srgbClr w14:val="000000"/>
            </w14:solidFill>
            <w14:prstDash w14:val="solid"/>
            <w14:bevel/>
          </w14:textOutline>
        </w:rPr>
        <w:t>二、项目实施及管理情况</w:t>
      </w:r>
    </w:p>
    <w:p>
      <w:pPr>
        <w:spacing w:before="178" w:line="231" w:lineRule="auto"/>
        <w:ind w:left="1027"/>
        <w:rPr>
          <w:rFonts w:ascii="楷体" w:hAnsi="楷体" w:eastAsia="楷体" w:cs="楷体"/>
          <w:sz w:val="31"/>
          <w:szCs w:val="31"/>
        </w:rPr>
      </w:pPr>
      <w:r>
        <w:rPr>
          <w:rFonts w:ascii="楷体" w:hAnsi="楷体" w:eastAsia="楷体" w:cs="楷体"/>
          <w:spacing w:val="8"/>
          <w:sz w:val="31"/>
          <w:szCs w:val="31"/>
          <w14:textOutline w14:w="5793" w14:cap="sq" w14:cmpd="sng">
            <w14:solidFill>
              <w14:srgbClr w14:val="000000"/>
            </w14:solidFill>
            <w14:prstDash w14:val="solid"/>
            <w14:bevel/>
          </w14:textOutline>
        </w:rPr>
        <w:t>（一）资金计划、到位及使用情况。</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1.资金计划及到位。培训工作经费年初预算资金 17 万元。在实施过程中，申请并批复资金共计 17万元。</w:t>
      </w:r>
    </w:p>
    <w:p>
      <w:pPr>
        <w:pStyle w:val="2"/>
        <w:spacing w:before="173" w:line="332" w:lineRule="auto"/>
        <w:ind w:right="2" w:firstLine="560" w:firstLineChars="200"/>
        <w:jc w:val="both"/>
      </w:pPr>
      <w:r>
        <w:rPr>
          <w:rFonts w:hint="eastAsia" w:ascii="宋体" w:hAnsi="宋体" w:eastAsia="宋体" w:cs="宋体"/>
          <w:kern w:val="2"/>
          <w:sz w:val="28"/>
          <w:szCs w:val="28"/>
          <w:lang w:val="en-US" w:eastAsia="zh-CN" w:bidi="ar-SA"/>
        </w:rPr>
        <w:t>2.资金使用。截止 2022 年 12 月底，培训工作经费已全部支出，共计17万元，主要用于：培训费。</w:t>
      </w:r>
    </w:p>
    <w:p>
      <w:pPr>
        <w:spacing w:before="185" w:line="229" w:lineRule="auto"/>
        <w:ind w:left="747"/>
        <w:rPr>
          <w:rFonts w:ascii="楷体" w:hAnsi="楷体" w:eastAsia="楷体" w:cs="楷体"/>
          <w:sz w:val="31"/>
          <w:szCs w:val="31"/>
        </w:rPr>
      </w:pPr>
      <w:r>
        <w:rPr>
          <w:rFonts w:ascii="楷体" w:hAnsi="楷体" w:eastAsia="楷体" w:cs="楷体"/>
          <w:spacing w:val="7"/>
          <w:sz w:val="31"/>
          <w:szCs w:val="31"/>
          <w14:textOutline w14:w="5793" w14:cap="sq" w14:cmpd="sng">
            <w14:solidFill>
              <w14:srgbClr w14:val="000000"/>
            </w14:solidFill>
            <w14:prstDash w14:val="solid"/>
            <w14:bevel/>
          </w14:textOutline>
        </w:rPr>
        <w:t>（二）项目财务管理情况。</w:t>
      </w:r>
    </w:p>
    <w:p>
      <w:pPr>
        <w:spacing w:line="333" w:lineRule="auto"/>
        <w:rPr>
          <w:rFonts w:ascii="Arial"/>
          <w:sz w:val="21"/>
        </w:rPr>
      </w:pP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中共剑阁县委党校为切实规范专项资金管理，保障资金安全、高效运行，发挥资金使用效益 。严格执行项目资金批准的使用计划，不准挪用、挤占专项资金，做到了专款专用。</w:t>
      </w:r>
    </w:p>
    <w:p>
      <w:pPr>
        <w:spacing w:before="193" w:line="232" w:lineRule="auto"/>
        <w:ind w:left="667"/>
        <w:rPr>
          <w:rFonts w:ascii="楷体" w:hAnsi="楷体" w:eastAsia="楷体" w:cs="楷体"/>
          <w:sz w:val="31"/>
          <w:szCs w:val="31"/>
        </w:rPr>
      </w:pPr>
      <w:r>
        <w:rPr>
          <w:rFonts w:ascii="楷体" w:hAnsi="楷体" w:eastAsia="楷体" w:cs="楷体"/>
          <w:spacing w:val="6"/>
          <w:sz w:val="31"/>
          <w:szCs w:val="31"/>
          <w14:textOutline w14:w="5793" w14:cap="sq" w14:cmpd="sng">
            <w14:solidFill>
              <w14:srgbClr w14:val="000000"/>
            </w14:solidFill>
            <w14:prstDash w14:val="solid"/>
            <w14:bevel/>
          </w14:textOutline>
        </w:rPr>
        <w:t>（三）项目组织实施情况。</w:t>
      </w:r>
    </w:p>
    <w:p>
      <w:pPr>
        <w:keepNext w:val="0"/>
        <w:keepLines w:val="0"/>
        <w:widowControl w:val="0"/>
        <w:suppressLineNumbers w:val="0"/>
        <w:autoSpaceDE w:val="0"/>
        <w:autoSpaceDN/>
        <w:adjustRightInd w:val="0"/>
        <w:snapToGrid w:val="0"/>
        <w:spacing w:before="0" w:beforeAutospacing="0" w:after="0" w:afterAutospacing="0" w:line="576" w:lineRule="exact"/>
        <w:ind w:left="0" w:right="0" w:firstLine="640" w:firstLineChars="200"/>
        <w:jc w:val="both"/>
        <w:textAlignment w:val="baseline"/>
        <w:rPr>
          <w:color w:val="000000"/>
          <w:spacing w:val="10"/>
          <w:kern w:val="0"/>
          <w:sz w:val="30"/>
          <w:szCs w:val="30"/>
          <w:vertAlign w:val="baseline"/>
          <w:lang w:val="en-US"/>
        </w:rPr>
      </w:pPr>
      <w:r>
        <w:rPr>
          <w:rFonts w:hint="eastAsia" w:ascii="Times New Roman" w:hAnsi="Times New Roman" w:eastAsia="宋体" w:cs="宋体"/>
          <w:color w:val="000000"/>
          <w:spacing w:val="10"/>
          <w:kern w:val="0"/>
          <w:sz w:val="30"/>
          <w:szCs w:val="30"/>
          <w:vertAlign w:val="baseline"/>
          <w:lang w:val="en-US" w:eastAsia="zh-CN" w:bidi="ar"/>
        </w:rPr>
        <w:t>坚持党校姓党原则，充分发挥干部教育主阵地优势，学习宣传贯彻党的二十大精神、习近平新时代中国特色社会主义思想、十九届六中全会、党建党史、党风廉政建设、依法治国、意识形态、国家安全教育、爱国主义教育为主要内容，同时加强扫黑除恶、禁毒、综治、维稳、信访、保密、重疾、防邪等业务知识培训，提高参训学员综合业务能力水平。综合运用课堂理论学习、现场教学、影音教学、情景模拟式教学等方式，提高学员学习热情，提升学习成效。</w:t>
      </w:r>
      <w:r>
        <w:rPr>
          <w:rFonts w:hint="default" w:ascii="Times New Roman" w:hAnsi="Times New Roman" w:eastAsia="宋体" w:cs="Times New Roman"/>
          <w:color w:val="000000"/>
          <w:spacing w:val="10"/>
          <w:kern w:val="0"/>
          <w:sz w:val="30"/>
          <w:szCs w:val="30"/>
          <w:vertAlign w:val="baseline"/>
          <w:lang w:val="en-US" w:eastAsia="zh-CN" w:bidi="ar"/>
        </w:rPr>
        <w:t>2022</w:t>
      </w:r>
      <w:r>
        <w:rPr>
          <w:rFonts w:hint="eastAsia" w:ascii="Times New Roman" w:hAnsi="Times New Roman" w:eastAsia="宋体" w:cs="宋体"/>
          <w:color w:val="000000"/>
          <w:spacing w:val="10"/>
          <w:kern w:val="0"/>
          <w:sz w:val="30"/>
          <w:szCs w:val="30"/>
          <w:vertAlign w:val="baseline"/>
          <w:lang w:val="en-US" w:eastAsia="zh-CN" w:bidi="ar"/>
        </w:rPr>
        <w:t>年县委书记进行讲课</w:t>
      </w:r>
      <w:r>
        <w:rPr>
          <w:rFonts w:hint="default" w:ascii="Times New Roman" w:hAnsi="Times New Roman" w:eastAsia="宋体" w:cs="Times New Roman"/>
          <w:color w:val="000000"/>
          <w:spacing w:val="10"/>
          <w:kern w:val="0"/>
          <w:sz w:val="30"/>
          <w:szCs w:val="30"/>
          <w:vertAlign w:val="baseline"/>
          <w:lang w:val="en-US" w:eastAsia="zh-CN" w:bidi="ar"/>
        </w:rPr>
        <w:t>1</w:t>
      </w:r>
      <w:r>
        <w:rPr>
          <w:rFonts w:hint="eastAsia" w:ascii="Times New Roman" w:hAnsi="Times New Roman" w:eastAsia="宋体" w:cs="宋体"/>
          <w:color w:val="000000"/>
          <w:spacing w:val="10"/>
          <w:kern w:val="0"/>
          <w:sz w:val="30"/>
          <w:szCs w:val="30"/>
          <w:vertAlign w:val="baseline"/>
          <w:lang w:val="en-US" w:eastAsia="zh-CN" w:bidi="ar"/>
        </w:rPr>
        <w:t>次，严格落实《关于在干部教育培训中推行领导干部上讲台制度的意见》（川组通〔</w:t>
      </w:r>
      <w:r>
        <w:rPr>
          <w:rFonts w:hint="default" w:ascii="Times New Roman" w:hAnsi="Times New Roman" w:eastAsia="宋体" w:cs="Times New Roman"/>
          <w:color w:val="000000"/>
          <w:spacing w:val="10"/>
          <w:kern w:val="0"/>
          <w:sz w:val="30"/>
          <w:szCs w:val="30"/>
          <w:vertAlign w:val="baseline"/>
          <w:lang w:val="en-US" w:eastAsia="zh-CN" w:bidi="ar"/>
        </w:rPr>
        <w:t>2020</w:t>
      </w:r>
      <w:r>
        <w:rPr>
          <w:rFonts w:hint="eastAsia" w:ascii="Times New Roman" w:hAnsi="Times New Roman" w:eastAsia="宋体" w:cs="宋体"/>
          <w:color w:val="000000"/>
          <w:spacing w:val="10"/>
          <w:kern w:val="0"/>
          <w:sz w:val="30"/>
          <w:szCs w:val="30"/>
          <w:vertAlign w:val="baseline"/>
          <w:lang w:val="en-US" w:eastAsia="zh-CN" w:bidi="ar"/>
        </w:rPr>
        <w:t>〕</w:t>
      </w:r>
      <w:r>
        <w:rPr>
          <w:rFonts w:hint="default" w:ascii="Times New Roman" w:hAnsi="Times New Roman" w:eastAsia="宋体" w:cs="Times New Roman"/>
          <w:color w:val="000000"/>
          <w:spacing w:val="10"/>
          <w:kern w:val="0"/>
          <w:sz w:val="30"/>
          <w:szCs w:val="30"/>
          <w:vertAlign w:val="baseline"/>
          <w:lang w:val="en-US" w:eastAsia="zh-CN" w:bidi="ar"/>
        </w:rPr>
        <w:t>8</w:t>
      </w:r>
      <w:r>
        <w:rPr>
          <w:rFonts w:hint="eastAsia" w:ascii="Times New Roman" w:hAnsi="Times New Roman" w:eastAsia="宋体" w:cs="宋体"/>
          <w:color w:val="000000"/>
          <w:spacing w:val="10"/>
          <w:kern w:val="0"/>
          <w:sz w:val="30"/>
          <w:szCs w:val="30"/>
          <w:vertAlign w:val="baseline"/>
          <w:lang w:val="en-US" w:eastAsia="zh-CN" w:bidi="ar"/>
        </w:rPr>
        <w:t>号）文件精神，我校领导干部上讲台授课占比达到</w:t>
      </w:r>
      <w:r>
        <w:rPr>
          <w:rFonts w:hint="default" w:ascii="Times New Roman" w:hAnsi="Times New Roman" w:eastAsia="宋体" w:cs="Times New Roman"/>
          <w:color w:val="000000"/>
          <w:spacing w:val="10"/>
          <w:kern w:val="0"/>
          <w:sz w:val="30"/>
          <w:szCs w:val="30"/>
          <w:vertAlign w:val="baseline"/>
          <w:lang w:val="en-US" w:eastAsia="zh-CN" w:bidi="ar"/>
        </w:rPr>
        <w:t>33%</w:t>
      </w:r>
      <w:r>
        <w:rPr>
          <w:rFonts w:hint="eastAsia" w:ascii="Times New Roman" w:hAnsi="Times New Roman" w:eastAsia="宋体" w:cs="宋体"/>
          <w:color w:val="000000"/>
          <w:spacing w:val="10"/>
          <w:kern w:val="0"/>
          <w:sz w:val="30"/>
          <w:szCs w:val="30"/>
          <w:vertAlign w:val="baseline"/>
          <w:lang w:val="en-US" w:eastAsia="zh-CN" w:bidi="ar"/>
        </w:rPr>
        <w:t>。全年举办主体班</w:t>
      </w:r>
      <w:r>
        <w:rPr>
          <w:rFonts w:hint="default" w:ascii="Times New Roman" w:hAnsi="Times New Roman" w:eastAsia="宋体" w:cs="Times New Roman"/>
          <w:color w:val="000000"/>
          <w:spacing w:val="10"/>
          <w:kern w:val="0"/>
          <w:sz w:val="30"/>
          <w:szCs w:val="30"/>
          <w:vertAlign w:val="baseline"/>
          <w:lang w:val="en-US" w:eastAsia="zh-CN" w:bidi="ar"/>
        </w:rPr>
        <w:t>10</w:t>
      </w:r>
      <w:r>
        <w:rPr>
          <w:rFonts w:hint="eastAsia" w:ascii="Times New Roman" w:hAnsi="Times New Roman" w:eastAsia="宋体" w:cs="宋体"/>
          <w:color w:val="000000"/>
          <w:spacing w:val="10"/>
          <w:kern w:val="0"/>
          <w:sz w:val="30"/>
          <w:szCs w:val="30"/>
          <w:vertAlign w:val="baseline"/>
          <w:lang w:val="en-US" w:eastAsia="zh-CN" w:bidi="ar"/>
        </w:rPr>
        <w:t>期，参训学员</w:t>
      </w:r>
      <w:r>
        <w:rPr>
          <w:rFonts w:hint="default" w:ascii="Times New Roman" w:hAnsi="Times New Roman" w:eastAsia="宋体" w:cs="Times New Roman"/>
          <w:color w:val="000000"/>
          <w:spacing w:val="10"/>
          <w:kern w:val="0"/>
          <w:sz w:val="30"/>
          <w:szCs w:val="30"/>
          <w:vertAlign w:val="baseline"/>
          <w:lang w:val="en-US" w:eastAsia="zh-CN" w:bidi="ar"/>
        </w:rPr>
        <w:t>1115</w:t>
      </w:r>
      <w:r>
        <w:rPr>
          <w:rFonts w:hint="eastAsia" w:ascii="Times New Roman" w:hAnsi="Times New Roman" w:eastAsia="宋体" w:cs="宋体"/>
          <w:color w:val="000000"/>
          <w:spacing w:val="10"/>
          <w:kern w:val="0"/>
          <w:sz w:val="30"/>
          <w:szCs w:val="30"/>
          <w:vertAlign w:val="baseline"/>
          <w:lang w:val="en-US" w:eastAsia="zh-CN" w:bidi="ar"/>
        </w:rPr>
        <w:t>人，外培班</w:t>
      </w:r>
      <w:r>
        <w:rPr>
          <w:rFonts w:hint="default" w:ascii="Times New Roman" w:hAnsi="Times New Roman" w:eastAsia="宋体" w:cs="Times New Roman"/>
          <w:color w:val="000000"/>
          <w:spacing w:val="10"/>
          <w:kern w:val="0"/>
          <w:sz w:val="30"/>
          <w:szCs w:val="30"/>
          <w:vertAlign w:val="baseline"/>
          <w:lang w:val="en-US" w:eastAsia="zh-CN" w:bidi="ar"/>
        </w:rPr>
        <w:t>14</w:t>
      </w:r>
      <w:r>
        <w:rPr>
          <w:rFonts w:hint="eastAsia" w:ascii="Times New Roman" w:hAnsi="Times New Roman" w:eastAsia="宋体" w:cs="宋体"/>
          <w:color w:val="000000"/>
          <w:spacing w:val="10"/>
          <w:kern w:val="0"/>
          <w:sz w:val="30"/>
          <w:szCs w:val="30"/>
          <w:vertAlign w:val="baseline"/>
          <w:lang w:val="en-US" w:eastAsia="zh-CN" w:bidi="ar"/>
        </w:rPr>
        <w:t>期，参训学员</w:t>
      </w:r>
      <w:r>
        <w:rPr>
          <w:rFonts w:hint="default" w:ascii="Times New Roman" w:hAnsi="Times New Roman" w:eastAsia="宋体" w:cs="Times New Roman"/>
          <w:color w:val="000000"/>
          <w:spacing w:val="10"/>
          <w:kern w:val="0"/>
          <w:sz w:val="30"/>
          <w:szCs w:val="30"/>
          <w:vertAlign w:val="baseline"/>
          <w:lang w:val="en-US" w:eastAsia="zh-CN" w:bidi="ar"/>
        </w:rPr>
        <w:t>800</w:t>
      </w:r>
      <w:r>
        <w:rPr>
          <w:rFonts w:hint="eastAsia" w:ascii="Times New Roman" w:hAnsi="Times New Roman" w:eastAsia="宋体" w:cs="宋体"/>
          <w:color w:val="000000"/>
          <w:spacing w:val="10"/>
          <w:kern w:val="0"/>
          <w:sz w:val="30"/>
          <w:szCs w:val="30"/>
          <w:vertAlign w:val="baseline"/>
          <w:lang w:val="en-US" w:eastAsia="zh-CN" w:bidi="ar"/>
        </w:rPr>
        <w:t>余人，学员满意度达</w:t>
      </w:r>
      <w:r>
        <w:rPr>
          <w:rFonts w:hint="default" w:ascii="Times New Roman" w:hAnsi="Times New Roman" w:eastAsia="宋体" w:cs="Times New Roman"/>
          <w:color w:val="000000"/>
          <w:spacing w:val="10"/>
          <w:kern w:val="0"/>
          <w:sz w:val="30"/>
          <w:szCs w:val="30"/>
          <w:vertAlign w:val="baseline"/>
          <w:lang w:val="en-US" w:eastAsia="zh-CN" w:bidi="ar"/>
        </w:rPr>
        <w:t>99%</w:t>
      </w:r>
      <w:r>
        <w:rPr>
          <w:rFonts w:hint="eastAsia" w:ascii="Times New Roman" w:hAnsi="Times New Roman" w:eastAsia="宋体" w:cs="宋体"/>
          <w:color w:val="000000"/>
          <w:spacing w:val="10"/>
          <w:kern w:val="0"/>
          <w:sz w:val="30"/>
          <w:szCs w:val="30"/>
          <w:vertAlign w:val="baseline"/>
          <w:lang w:val="en-US" w:eastAsia="zh-CN" w:bidi="ar"/>
        </w:rPr>
        <w:t>以上。参训学员在党校学习后，思想受熏陶、理论水平有提升，工作实践中也取得了较好的效果。</w:t>
      </w:r>
    </w:p>
    <w:p>
      <w:pPr>
        <w:spacing w:before="195" w:line="226" w:lineRule="auto"/>
        <w:ind w:left="729"/>
        <w:rPr>
          <w:rFonts w:ascii="黑体" w:hAnsi="黑体" w:eastAsia="黑体" w:cs="黑体"/>
          <w:sz w:val="31"/>
          <w:szCs w:val="31"/>
        </w:rPr>
      </w:pPr>
      <w:r>
        <w:rPr>
          <w:rFonts w:ascii="黑体" w:hAnsi="黑体" w:eastAsia="黑体" w:cs="黑体"/>
          <w:spacing w:val="8"/>
          <w:sz w:val="31"/>
          <w:szCs w:val="31"/>
          <w14:textOutline w14:w="5793" w14:cap="sq" w14:cmpd="sng">
            <w14:solidFill>
              <w14:srgbClr w14:val="000000"/>
            </w14:solidFill>
            <w14:prstDash w14:val="solid"/>
            <w14:bevel/>
          </w14:textOutline>
        </w:rPr>
        <w:t>三、目标完成情况</w:t>
      </w:r>
    </w:p>
    <w:p>
      <w:pPr>
        <w:spacing w:before="181" w:line="231" w:lineRule="auto"/>
        <w:ind w:left="748"/>
        <w:rPr>
          <w:rFonts w:ascii="楷体" w:hAnsi="楷体" w:eastAsia="楷体" w:cs="楷体"/>
          <w:sz w:val="31"/>
          <w:szCs w:val="31"/>
        </w:rPr>
      </w:pPr>
      <w:r>
        <w:rPr>
          <w:rFonts w:ascii="楷体" w:hAnsi="楷体" w:eastAsia="楷体" w:cs="楷体"/>
          <w:sz w:val="31"/>
          <w:szCs w:val="31"/>
          <w14:textOutline w14:w="5793" w14:cap="sq" w14:cmpd="sng">
            <w14:solidFill>
              <w14:srgbClr w14:val="000000"/>
            </w14:solidFill>
            <w14:prstDash w14:val="solid"/>
            <w14:bevel/>
          </w14:textOutline>
        </w:rPr>
        <w:t>（一）</w:t>
      </w:r>
      <w:r>
        <w:rPr>
          <w:rFonts w:ascii="楷体" w:hAnsi="楷体" w:eastAsia="楷体" w:cs="楷体"/>
          <w:spacing w:val="-63"/>
          <w:sz w:val="31"/>
          <w:szCs w:val="31"/>
        </w:rPr>
        <w:t xml:space="preserve"> </w:t>
      </w:r>
      <w:r>
        <w:rPr>
          <w:rFonts w:ascii="楷体" w:hAnsi="楷体" w:eastAsia="楷体" w:cs="楷体"/>
          <w:sz w:val="31"/>
          <w:szCs w:val="31"/>
          <w14:textOutline w14:w="5793" w14:cap="sq" w14:cmpd="sng">
            <w14:solidFill>
              <w14:srgbClr w14:val="000000"/>
            </w14:solidFill>
            <w14:prstDash w14:val="solid"/>
            <w14:bevel/>
          </w14:textOutline>
        </w:rPr>
        <w:t>目标任务量完成情况。</w:t>
      </w:r>
    </w:p>
    <w:p>
      <w:pPr>
        <w:keepNext w:val="0"/>
        <w:keepLines w:val="0"/>
        <w:widowControl w:val="0"/>
        <w:suppressLineNumbers w:val="0"/>
        <w:autoSpaceDE w:val="0"/>
        <w:autoSpaceDN/>
        <w:adjustRightInd w:val="0"/>
        <w:snapToGrid w:val="0"/>
        <w:spacing w:before="0" w:beforeAutospacing="0" w:after="0" w:afterAutospacing="0" w:line="576" w:lineRule="exact"/>
        <w:ind w:left="0" w:right="0" w:firstLine="640" w:firstLineChars="200"/>
        <w:jc w:val="both"/>
        <w:textAlignment w:val="baseline"/>
        <w:rPr>
          <w:color w:val="000000"/>
          <w:spacing w:val="10"/>
          <w:kern w:val="0"/>
          <w:sz w:val="30"/>
          <w:szCs w:val="30"/>
          <w:vertAlign w:val="baseline"/>
          <w:lang w:val="en-US"/>
        </w:rPr>
      </w:pPr>
      <w:r>
        <w:rPr>
          <w:rFonts w:hint="default" w:ascii="Times New Roman" w:hAnsi="Times New Roman" w:eastAsia="宋体" w:cs="Times New Roman"/>
          <w:color w:val="000000"/>
          <w:spacing w:val="10"/>
          <w:kern w:val="0"/>
          <w:sz w:val="30"/>
          <w:szCs w:val="30"/>
          <w:vertAlign w:val="baseline"/>
          <w:lang w:val="en-US" w:eastAsia="zh-CN" w:bidi="ar"/>
        </w:rPr>
        <w:t>2022</w:t>
      </w:r>
      <w:r>
        <w:rPr>
          <w:rFonts w:hint="eastAsia" w:ascii="Times New Roman" w:hAnsi="Times New Roman" w:eastAsia="宋体" w:cs="宋体"/>
          <w:color w:val="000000"/>
          <w:spacing w:val="10"/>
          <w:kern w:val="0"/>
          <w:sz w:val="30"/>
          <w:szCs w:val="30"/>
          <w:vertAlign w:val="baseline"/>
          <w:lang w:val="en-US" w:eastAsia="zh-CN" w:bidi="ar"/>
        </w:rPr>
        <w:t>年省委党校结项</w:t>
      </w:r>
      <w:r>
        <w:rPr>
          <w:rFonts w:hint="default" w:ascii="Times New Roman" w:hAnsi="Times New Roman" w:eastAsia="宋体" w:cs="Times New Roman"/>
          <w:color w:val="000000"/>
          <w:spacing w:val="10"/>
          <w:kern w:val="0"/>
          <w:sz w:val="30"/>
          <w:szCs w:val="30"/>
          <w:vertAlign w:val="baseline"/>
          <w:lang w:val="en-US" w:eastAsia="zh-CN" w:bidi="ar"/>
        </w:rPr>
        <w:t>2</w:t>
      </w:r>
      <w:r>
        <w:rPr>
          <w:rFonts w:hint="eastAsia" w:ascii="Times New Roman" w:hAnsi="Times New Roman" w:eastAsia="宋体" w:cs="宋体"/>
          <w:color w:val="000000"/>
          <w:spacing w:val="10"/>
          <w:kern w:val="0"/>
          <w:sz w:val="30"/>
          <w:szCs w:val="30"/>
          <w:vertAlign w:val="baseline"/>
          <w:lang w:val="en-US" w:eastAsia="zh-CN" w:bidi="ar"/>
        </w:rPr>
        <w:t>篇课题；市级课题立项</w:t>
      </w:r>
      <w:r>
        <w:rPr>
          <w:rFonts w:hint="default" w:ascii="Times New Roman" w:hAnsi="Times New Roman" w:eastAsia="宋体" w:cs="Times New Roman"/>
          <w:color w:val="000000"/>
          <w:spacing w:val="10"/>
          <w:kern w:val="0"/>
          <w:sz w:val="30"/>
          <w:szCs w:val="30"/>
          <w:vertAlign w:val="baseline"/>
          <w:lang w:val="en-US" w:eastAsia="zh-CN" w:bidi="ar"/>
        </w:rPr>
        <w:t>1</w:t>
      </w:r>
      <w:r>
        <w:rPr>
          <w:rFonts w:hint="eastAsia" w:ascii="Times New Roman" w:hAnsi="Times New Roman" w:eastAsia="宋体" w:cs="宋体"/>
          <w:color w:val="000000"/>
          <w:spacing w:val="10"/>
          <w:kern w:val="0"/>
          <w:sz w:val="30"/>
          <w:szCs w:val="30"/>
          <w:vertAlign w:val="baseline"/>
          <w:lang w:val="en-US" w:eastAsia="zh-CN" w:bidi="ar"/>
        </w:rPr>
        <w:t>篇；调研课题《红军长征在剑阁》已结项。积极撰写理论文章，在广元日报发表</w:t>
      </w:r>
      <w:r>
        <w:rPr>
          <w:rFonts w:hint="default" w:ascii="Times New Roman" w:hAnsi="Times New Roman" w:eastAsia="宋体" w:cs="Times New Roman"/>
          <w:color w:val="000000"/>
          <w:spacing w:val="10"/>
          <w:kern w:val="0"/>
          <w:sz w:val="30"/>
          <w:szCs w:val="30"/>
          <w:vertAlign w:val="baseline"/>
          <w:lang w:val="en-US" w:eastAsia="zh-CN" w:bidi="ar"/>
        </w:rPr>
        <w:t>2</w:t>
      </w:r>
      <w:r>
        <w:rPr>
          <w:rFonts w:hint="eastAsia" w:ascii="Times New Roman" w:hAnsi="Times New Roman" w:eastAsia="宋体" w:cs="宋体"/>
          <w:color w:val="000000"/>
          <w:spacing w:val="10"/>
          <w:kern w:val="0"/>
          <w:sz w:val="30"/>
          <w:szCs w:val="30"/>
          <w:vertAlign w:val="baseline"/>
          <w:lang w:val="en-US" w:eastAsia="zh-CN" w:bidi="ar"/>
        </w:rPr>
        <w:t>篇，市级以上内部刊物发表</w:t>
      </w:r>
      <w:r>
        <w:rPr>
          <w:rFonts w:hint="default" w:ascii="Times New Roman" w:hAnsi="Times New Roman" w:eastAsia="宋体" w:cs="Times New Roman"/>
          <w:color w:val="000000"/>
          <w:spacing w:val="10"/>
          <w:kern w:val="0"/>
          <w:sz w:val="30"/>
          <w:szCs w:val="30"/>
          <w:vertAlign w:val="baseline"/>
          <w:lang w:val="en-US" w:eastAsia="zh-CN" w:bidi="ar"/>
        </w:rPr>
        <w:t>2</w:t>
      </w:r>
      <w:r>
        <w:rPr>
          <w:rFonts w:hint="eastAsia" w:ascii="Times New Roman" w:hAnsi="Times New Roman" w:eastAsia="宋体" w:cs="宋体"/>
          <w:color w:val="000000"/>
          <w:spacing w:val="10"/>
          <w:kern w:val="0"/>
          <w:sz w:val="30"/>
          <w:szCs w:val="30"/>
          <w:vertAlign w:val="baseline"/>
          <w:lang w:val="en-US" w:eastAsia="zh-CN" w:bidi="ar"/>
        </w:rPr>
        <w:t>篇；调研报告获得党委政府主要领导肯定性签批</w:t>
      </w:r>
      <w:r>
        <w:rPr>
          <w:rFonts w:hint="default" w:ascii="Times New Roman" w:hAnsi="Times New Roman" w:eastAsia="宋体" w:cs="Times New Roman"/>
          <w:color w:val="000000"/>
          <w:spacing w:val="10"/>
          <w:kern w:val="0"/>
          <w:sz w:val="30"/>
          <w:szCs w:val="30"/>
          <w:vertAlign w:val="baseline"/>
          <w:lang w:val="en-US" w:eastAsia="zh-CN" w:bidi="ar"/>
        </w:rPr>
        <w:t>3</w:t>
      </w:r>
      <w:r>
        <w:rPr>
          <w:rFonts w:hint="eastAsia" w:ascii="Times New Roman" w:hAnsi="Times New Roman" w:eastAsia="宋体" w:cs="宋体"/>
          <w:color w:val="000000"/>
          <w:spacing w:val="10"/>
          <w:kern w:val="0"/>
          <w:sz w:val="30"/>
          <w:szCs w:val="30"/>
          <w:vertAlign w:val="baseline"/>
          <w:lang w:val="en-US" w:eastAsia="zh-CN" w:bidi="ar"/>
        </w:rPr>
        <w:t>篇；参加</w:t>
      </w:r>
      <w:r>
        <w:rPr>
          <w:rFonts w:hint="default" w:ascii="Times New Roman" w:hAnsi="Times New Roman" w:eastAsia="宋体" w:cs="Times New Roman"/>
          <w:color w:val="000000"/>
          <w:spacing w:val="10"/>
          <w:kern w:val="0"/>
          <w:sz w:val="30"/>
          <w:szCs w:val="30"/>
          <w:vertAlign w:val="baseline"/>
          <w:lang w:val="en-US" w:eastAsia="zh-CN" w:bidi="ar"/>
        </w:rPr>
        <w:t>2022</w:t>
      </w:r>
      <w:r>
        <w:rPr>
          <w:rFonts w:hint="eastAsia" w:ascii="Times New Roman" w:hAnsi="Times New Roman" w:eastAsia="宋体" w:cs="宋体"/>
          <w:color w:val="000000"/>
          <w:spacing w:val="10"/>
          <w:kern w:val="0"/>
          <w:sz w:val="30"/>
          <w:szCs w:val="30"/>
          <w:vertAlign w:val="baseline"/>
          <w:lang w:val="en-US" w:eastAsia="zh-CN" w:bidi="ar"/>
        </w:rPr>
        <w:t>年度全市党校系统现场教学课程竞赛获得优秀奖；积极参与各类研讨会征文活动获得优秀奖</w:t>
      </w:r>
      <w:r>
        <w:rPr>
          <w:rFonts w:hint="default" w:ascii="Times New Roman" w:hAnsi="Times New Roman" w:eastAsia="宋体" w:cs="Times New Roman"/>
          <w:color w:val="000000"/>
          <w:spacing w:val="10"/>
          <w:kern w:val="0"/>
          <w:sz w:val="30"/>
          <w:szCs w:val="30"/>
          <w:vertAlign w:val="baseline"/>
          <w:lang w:val="en-US" w:eastAsia="zh-CN" w:bidi="ar"/>
        </w:rPr>
        <w:t>1</w:t>
      </w:r>
      <w:r>
        <w:rPr>
          <w:rFonts w:hint="eastAsia" w:ascii="Times New Roman" w:hAnsi="Times New Roman" w:eastAsia="宋体" w:cs="宋体"/>
          <w:color w:val="000000"/>
          <w:spacing w:val="10"/>
          <w:kern w:val="0"/>
          <w:sz w:val="30"/>
          <w:szCs w:val="30"/>
          <w:vertAlign w:val="baseline"/>
          <w:lang w:val="en-US" w:eastAsia="zh-CN" w:bidi="ar"/>
        </w:rPr>
        <w:t>篇。</w:t>
      </w:r>
    </w:p>
    <w:p>
      <w:pPr>
        <w:numPr>
          <w:ilvl w:val="0"/>
          <w:numId w:val="4"/>
        </w:numPr>
        <w:spacing w:before="195" w:line="232" w:lineRule="auto"/>
        <w:ind w:left="748"/>
        <w:rPr>
          <w:rFonts w:ascii="楷体" w:hAnsi="楷体" w:eastAsia="楷体" w:cs="楷体"/>
          <w:spacing w:val="-1"/>
          <w:sz w:val="31"/>
          <w:szCs w:val="31"/>
          <w14:textOutline w14:w="5793" w14:cap="sq" w14:cmpd="sng">
            <w14:solidFill>
              <w14:srgbClr w14:val="000000"/>
            </w14:solidFill>
            <w14:prstDash w14:val="solid"/>
            <w14:bevel/>
          </w14:textOutline>
        </w:rPr>
      </w:pPr>
      <w:r>
        <w:rPr>
          <w:rFonts w:ascii="楷体" w:hAnsi="楷体" w:eastAsia="楷体" w:cs="楷体"/>
          <w:spacing w:val="-1"/>
          <w:sz w:val="31"/>
          <w:szCs w:val="31"/>
          <w14:textOutline w14:w="5793" w14:cap="sq" w14:cmpd="sng">
            <w14:solidFill>
              <w14:srgbClr w14:val="000000"/>
            </w14:solidFill>
            <w14:prstDash w14:val="solid"/>
            <w14:bevel/>
          </w14:textOutline>
        </w:rPr>
        <w:t>目标质量完成情况。</w:t>
      </w:r>
    </w:p>
    <w:p>
      <w:pPr>
        <w:keepNext w:val="0"/>
        <w:keepLines w:val="0"/>
        <w:widowControl w:val="0"/>
        <w:suppressLineNumbers w:val="0"/>
        <w:autoSpaceDE w:val="0"/>
        <w:autoSpaceDN/>
        <w:adjustRightInd w:val="0"/>
        <w:snapToGrid w:val="0"/>
        <w:spacing w:before="0" w:beforeAutospacing="0" w:after="0" w:afterAutospacing="0" w:line="576" w:lineRule="exact"/>
        <w:ind w:left="0" w:right="0" w:firstLine="420" w:firstLineChars="200"/>
        <w:jc w:val="both"/>
        <w:textAlignment w:val="baseline"/>
        <w:rPr>
          <w:color w:val="000000"/>
          <w:spacing w:val="10"/>
          <w:kern w:val="0"/>
          <w:sz w:val="30"/>
          <w:szCs w:val="30"/>
          <w:vertAlign w:val="baseline"/>
          <w:lang w:val="en-US"/>
        </w:rPr>
      </w:pPr>
      <w:r>
        <w:rPr>
          <w:rFonts w:hint="eastAsia"/>
          <w:lang w:val="en-US" w:eastAsia="zh-CN"/>
        </w:rPr>
        <w:t xml:space="preserve">    </w:t>
      </w:r>
      <w:r>
        <w:rPr>
          <w:rFonts w:hint="default" w:ascii="Times New Roman" w:hAnsi="Times New Roman" w:eastAsia="宋体" w:cs="Times New Roman"/>
          <w:color w:val="000000"/>
          <w:spacing w:val="10"/>
          <w:kern w:val="0"/>
          <w:sz w:val="30"/>
          <w:szCs w:val="30"/>
          <w:vertAlign w:val="baseline"/>
          <w:lang w:val="en-US" w:eastAsia="zh-CN" w:bidi="ar"/>
        </w:rPr>
        <w:t>2022</w:t>
      </w:r>
      <w:r>
        <w:rPr>
          <w:rFonts w:hint="eastAsia" w:ascii="Times New Roman" w:hAnsi="Times New Roman" w:eastAsia="宋体" w:cs="宋体"/>
          <w:color w:val="000000"/>
          <w:spacing w:val="10"/>
          <w:kern w:val="0"/>
          <w:sz w:val="30"/>
          <w:szCs w:val="30"/>
          <w:vertAlign w:val="baseline"/>
          <w:lang w:val="en-US" w:eastAsia="zh-CN" w:bidi="ar"/>
        </w:rPr>
        <w:t>年县委主要领导专题研究党校工作</w:t>
      </w:r>
      <w:r>
        <w:rPr>
          <w:rFonts w:hint="default" w:ascii="Times New Roman" w:hAnsi="Times New Roman" w:eastAsia="宋体" w:cs="Times New Roman"/>
          <w:color w:val="000000"/>
          <w:spacing w:val="10"/>
          <w:kern w:val="0"/>
          <w:sz w:val="30"/>
          <w:szCs w:val="30"/>
          <w:vertAlign w:val="baseline"/>
          <w:lang w:val="en-US" w:eastAsia="zh-CN" w:bidi="ar"/>
        </w:rPr>
        <w:t>5</w:t>
      </w:r>
      <w:r>
        <w:rPr>
          <w:rFonts w:hint="eastAsia" w:ascii="Times New Roman" w:hAnsi="Times New Roman" w:eastAsia="宋体" w:cs="宋体"/>
          <w:color w:val="000000"/>
          <w:spacing w:val="10"/>
          <w:kern w:val="0"/>
          <w:sz w:val="30"/>
          <w:szCs w:val="30"/>
          <w:vertAlign w:val="baseline"/>
          <w:lang w:val="en-US" w:eastAsia="zh-CN" w:bidi="ar"/>
        </w:rPr>
        <w:t>次，现场调研</w:t>
      </w:r>
      <w:r>
        <w:rPr>
          <w:rFonts w:hint="default" w:ascii="Times New Roman" w:hAnsi="Times New Roman" w:eastAsia="宋体" w:cs="Times New Roman"/>
          <w:color w:val="000000"/>
          <w:spacing w:val="10"/>
          <w:kern w:val="0"/>
          <w:sz w:val="30"/>
          <w:szCs w:val="30"/>
          <w:vertAlign w:val="baseline"/>
          <w:lang w:val="en-US" w:eastAsia="zh-CN" w:bidi="ar"/>
        </w:rPr>
        <w:t>3</w:t>
      </w:r>
      <w:r>
        <w:rPr>
          <w:rFonts w:hint="eastAsia" w:ascii="Times New Roman" w:hAnsi="Times New Roman" w:eastAsia="宋体" w:cs="宋体"/>
          <w:color w:val="000000"/>
          <w:spacing w:val="10"/>
          <w:kern w:val="0"/>
          <w:sz w:val="30"/>
          <w:szCs w:val="30"/>
          <w:vertAlign w:val="baseline"/>
          <w:lang w:val="en-US" w:eastAsia="zh-CN" w:bidi="ar"/>
        </w:rPr>
        <w:t>次，其中县委常委会专题研究部署</w:t>
      </w:r>
      <w:r>
        <w:rPr>
          <w:rFonts w:hint="default" w:ascii="Times New Roman" w:hAnsi="Times New Roman" w:eastAsia="宋体" w:cs="Times New Roman"/>
          <w:color w:val="000000"/>
          <w:spacing w:val="10"/>
          <w:kern w:val="0"/>
          <w:sz w:val="30"/>
          <w:szCs w:val="30"/>
          <w:vertAlign w:val="baseline"/>
          <w:lang w:val="en-US" w:eastAsia="zh-CN" w:bidi="ar"/>
        </w:rPr>
        <w:t>3</w:t>
      </w:r>
      <w:r>
        <w:rPr>
          <w:rFonts w:hint="eastAsia" w:ascii="Times New Roman" w:hAnsi="Times New Roman" w:eastAsia="宋体" w:cs="宋体"/>
          <w:color w:val="000000"/>
          <w:spacing w:val="10"/>
          <w:kern w:val="0"/>
          <w:sz w:val="30"/>
          <w:szCs w:val="30"/>
          <w:vertAlign w:val="baseline"/>
          <w:lang w:val="en-US" w:eastAsia="zh-CN" w:bidi="ar"/>
        </w:rPr>
        <w:t>次，其他县领导多次进行专题研究党校工作，调整党校重点项目工作专班，及时研究解决党校分类建设中存在的问题和困难，按照建设进度于</w:t>
      </w:r>
      <w:r>
        <w:rPr>
          <w:rFonts w:hint="default" w:ascii="Times New Roman" w:hAnsi="Times New Roman" w:eastAsia="宋体" w:cs="Times New Roman"/>
          <w:color w:val="000000"/>
          <w:spacing w:val="10"/>
          <w:kern w:val="0"/>
          <w:sz w:val="30"/>
          <w:szCs w:val="30"/>
          <w:vertAlign w:val="baseline"/>
          <w:lang w:val="en-US" w:eastAsia="zh-CN" w:bidi="ar"/>
        </w:rPr>
        <w:t>2022</w:t>
      </w:r>
      <w:r>
        <w:rPr>
          <w:rFonts w:hint="eastAsia" w:ascii="Times New Roman" w:hAnsi="Times New Roman" w:eastAsia="宋体" w:cs="宋体"/>
          <w:color w:val="000000"/>
          <w:spacing w:val="10"/>
          <w:kern w:val="0"/>
          <w:sz w:val="30"/>
          <w:szCs w:val="30"/>
          <w:vertAlign w:val="baseline"/>
          <w:lang w:val="en-US" w:eastAsia="zh-CN" w:bidi="ar"/>
        </w:rPr>
        <w:t>年</w:t>
      </w:r>
      <w:r>
        <w:rPr>
          <w:rFonts w:hint="default" w:ascii="Times New Roman" w:hAnsi="Times New Roman" w:eastAsia="宋体" w:cs="Times New Roman"/>
          <w:color w:val="000000"/>
          <w:spacing w:val="10"/>
          <w:kern w:val="0"/>
          <w:sz w:val="30"/>
          <w:szCs w:val="30"/>
          <w:vertAlign w:val="baseline"/>
          <w:lang w:val="en-US" w:eastAsia="zh-CN" w:bidi="ar"/>
        </w:rPr>
        <w:t>12</w:t>
      </w:r>
      <w:r>
        <w:rPr>
          <w:rFonts w:hint="eastAsia" w:ascii="Times New Roman" w:hAnsi="Times New Roman" w:eastAsia="宋体" w:cs="宋体"/>
          <w:color w:val="000000"/>
          <w:spacing w:val="10"/>
          <w:kern w:val="0"/>
          <w:sz w:val="30"/>
          <w:szCs w:val="30"/>
          <w:vertAlign w:val="baseline"/>
          <w:lang w:val="en-US" w:eastAsia="zh-CN" w:bidi="ar"/>
        </w:rPr>
        <w:t>月底完成施工，改造工程质量合格，未出现安全事故，符合《市县级党校基础设施建设规范（试行）》规定，满足</w:t>
      </w:r>
      <w:r>
        <w:rPr>
          <w:rFonts w:hint="default" w:ascii="Times New Roman" w:hAnsi="Times New Roman" w:eastAsia="宋体" w:cs="Times New Roman"/>
          <w:color w:val="000000"/>
          <w:spacing w:val="10"/>
          <w:kern w:val="0"/>
          <w:sz w:val="30"/>
          <w:szCs w:val="30"/>
          <w:vertAlign w:val="baseline"/>
          <w:lang w:val="en-US" w:eastAsia="zh-CN" w:bidi="ar"/>
        </w:rPr>
        <w:t>“</w:t>
      </w:r>
      <w:r>
        <w:rPr>
          <w:rFonts w:hint="eastAsia" w:ascii="Times New Roman" w:hAnsi="Times New Roman" w:eastAsia="宋体" w:cs="宋体"/>
          <w:color w:val="000000"/>
          <w:spacing w:val="10"/>
          <w:kern w:val="0"/>
          <w:sz w:val="30"/>
          <w:szCs w:val="30"/>
          <w:vertAlign w:val="baseline"/>
          <w:lang w:val="en-US" w:eastAsia="zh-CN" w:bidi="ar"/>
        </w:rPr>
        <w:t>六有</w:t>
      </w:r>
      <w:r>
        <w:rPr>
          <w:rFonts w:hint="default" w:ascii="Times New Roman" w:hAnsi="Times New Roman" w:eastAsia="宋体" w:cs="Times New Roman"/>
          <w:color w:val="000000"/>
          <w:spacing w:val="10"/>
          <w:kern w:val="0"/>
          <w:sz w:val="30"/>
          <w:szCs w:val="30"/>
          <w:vertAlign w:val="baseline"/>
          <w:lang w:val="en-US" w:eastAsia="zh-CN" w:bidi="ar"/>
        </w:rPr>
        <w:t>”</w:t>
      </w:r>
      <w:r>
        <w:rPr>
          <w:rFonts w:hint="eastAsia" w:ascii="Times New Roman" w:hAnsi="Times New Roman" w:eastAsia="宋体" w:cs="宋体"/>
          <w:color w:val="000000"/>
          <w:spacing w:val="10"/>
          <w:kern w:val="0"/>
          <w:sz w:val="30"/>
          <w:szCs w:val="30"/>
          <w:vertAlign w:val="baseline"/>
          <w:lang w:val="en-US" w:eastAsia="zh-CN" w:bidi="ar"/>
        </w:rPr>
        <w:t>办学功能。</w:t>
      </w:r>
    </w:p>
    <w:p>
      <w:pPr>
        <w:spacing w:before="193" w:line="232" w:lineRule="auto"/>
        <w:ind w:left="748"/>
        <w:rPr>
          <w:rFonts w:ascii="楷体" w:hAnsi="楷体" w:eastAsia="楷体" w:cs="楷体"/>
          <w:sz w:val="31"/>
          <w:szCs w:val="31"/>
        </w:rPr>
      </w:pPr>
      <w:r>
        <w:rPr>
          <w:rFonts w:ascii="楷体" w:hAnsi="楷体" w:eastAsia="楷体" w:cs="楷体"/>
          <w:spacing w:val="-1"/>
          <w:sz w:val="31"/>
          <w:szCs w:val="31"/>
          <w14:textOutline w14:w="5793" w14:cap="sq" w14:cmpd="sng">
            <w14:solidFill>
              <w14:srgbClr w14:val="000000"/>
            </w14:solidFill>
            <w14:prstDash w14:val="solid"/>
            <w14:bevel/>
          </w14:textOutline>
        </w:rPr>
        <w:t>（三）</w:t>
      </w:r>
      <w:r>
        <w:rPr>
          <w:rFonts w:ascii="楷体" w:hAnsi="楷体" w:eastAsia="楷体" w:cs="楷体"/>
          <w:spacing w:val="-59"/>
          <w:sz w:val="31"/>
          <w:szCs w:val="31"/>
        </w:rPr>
        <w:t xml:space="preserve"> </w:t>
      </w:r>
      <w:r>
        <w:rPr>
          <w:rFonts w:ascii="楷体" w:hAnsi="楷体" w:eastAsia="楷体" w:cs="楷体"/>
          <w:spacing w:val="-1"/>
          <w:sz w:val="31"/>
          <w:szCs w:val="31"/>
          <w14:textOutline w14:w="5793" w14:cap="sq" w14:cmpd="sng">
            <w14:solidFill>
              <w14:srgbClr w14:val="000000"/>
            </w14:solidFill>
            <w14:prstDash w14:val="solid"/>
            <w14:bevel/>
          </w14:textOutline>
        </w:rPr>
        <w:t>目标进度完成情况。</w:t>
      </w:r>
    </w:p>
    <w:p>
      <w:pPr>
        <w:pStyle w:val="2"/>
        <w:spacing w:before="177" w:line="220" w:lineRule="auto"/>
        <w:ind w:left="776"/>
        <w:rPr>
          <w:rFonts w:ascii="仿宋" w:hAnsi="仿宋" w:eastAsia="仿宋" w:cs="仿宋"/>
          <w:sz w:val="31"/>
          <w:szCs w:val="31"/>
        </w:rPr>
      </w:pPr>
      <w:r>
        <w:rPr>
          <w:rFonts w:hint="eastAsia" w:ascii="宋体" w:hAnsi="宋体" w:eastAsia="宋体" w:cs="宋体"/>
          <w:kern w:val="2"/>
          <w:sz w:val="28"/>
          <w:szCs w:val="28"/>
          <w:lang w:val="en-US" w:eastAsia="zh-CN" w:bidi="ar-SA"/>
        </w:rPr>
        <w:t>截止 2022 年 12 月底，全面完成了干部培训工作。</w:t>
      </w:r>
    </w:p>
    <w:p>
      <w:pPr>
        <w:spacing w:before="185" w:line="226" w:lineRule="auto"/>
        <w:ind w:left="741"/>
        <w:rPr>
          <w:rFonts w:ascii="黑体" w:hAnsi="黑体" w:eastAsia="黑体" w:cs="黑体"/>
          <w:sz w:val="31"/>
          <w:szCs w:val="31"/>
        </w:rPr>
      </w:pPr>
      <w:r>
        <w:rPr>
          <w:rFonts w:ascii="黑体" w:hAnsi="黑体" w:eastAsia="黑体" w:cs="黑体"/>
          <w:spacing w:val="7"/>
          <w:sz w:val="31"/>
          <w:szCs w:val="31"/>
          <w14:textOutline w14:w="5793" w14:cap="sq" w14:cmpd="sng">
            <w14:solidFill>
              <w14:srgbClr w14:val="000000"/>
            </w14:solidFill>
            <w14:prstDash w14:val="solid"/>
            <w14:bevel/>
          </w14:textOutline>
        </w:rPr>
        <w:t>四、项目效益情况</w:t>
      </w:r>
    </w:p>
    <w:p>
      <w:pPr>
        <w:keepNext w:val="0"/>
        <w:keepLines w:val="0"/>
        <w:widowControl w:val="0"/>
        <w:suppressLineNumbers w:val="0"/>
        <w:autoSpaceDE w:val="0"/>
        <w:autoSpaceDN/>
        <w:adjustRightInd w:val="0"/>
        <w:snapToGrid w:val="0"/>
        <w:spacing w:before="0" w:beforeAutospacing="0" w:after="0" w:afterAutospacing="0" w:line="576" w:lineRule="exact"/>
        <w:ind w:left="0" w:right="0" w:firstLine="420" w:firstLineChars="200"/>
        <w:jc w:val="both"/>
        <w:textAlignment w:val="baseline"/>
        <w:rPr>
          <w:color w:val="000000"/>
          <w:spacing w:val="10"/>
          <w:kern w:val="0"/>
          <w:sz w:val="30"/>
          <w:szCs w:val="30"/>
          <w:vertAlign w:val="baseline"/>
          <w:lang w:val="en-US"/>
        </w:rPr>
      </w:pPr>
      <w:r>
        <w:rPr>
          <w:rFonts w:hint="eastAsia"/>
          <w:lang w:val="en-US" w:eastAsia="zh-CN"/>
        </w:rPr>
        <w:t xml:space="preserve">  </w:t>
      </w:r>
      <w:r>
        <w:rPr>
          <w:rFonts w:hint="eastAsia" w:ascii="Times New Roman" w:hAnsi="Times New Roman" w:eastAsia="宋体" w:cs="宋体"/>
          <w:color w:val="000000"/>
          <w:spacing w:val="10"/>
          <w:kern w:val="0"/>
          <w:sz w:val="30"/>
          <w:szCs w:val="30"/>
          <w:vertAlign w:val="baseline"/>
          <w:lang w:val="en-US" w:eastAsia="zh-CN" w:bidi="ar"/>
        </w:rPr>
        <w:t>全年举办主体班</w:t>
      </w:r>
      <w:r>
        <w:rPr>
          <w:rFonts w:hint="default" w:ascii="Times New Roman" w:hAnsi="Times New Roman" w:eastAsia="宋体" w:cs="Times New Roman"/>
          <w:color w:val="000000"/>
          <w:spacing w:val="10"/>
          <w:kern w:val="0"/>
          <w:sz w:val="30"/>
          <w:szCs w:val="30"/>
          <w:vertAlign w:val="baseline"/>
          <w:lang w:val="en-US" w:eastAsia="zh-CN" w:bidi="ar"/>
        </w:rPr>
        <w:t>10</w:t>
      </w:r>
      <w:r>
        <w:rPr>
          <w:rFonts w:hint="eastAsia" w:ascii="Times New Roman" w:hAnsi="Times New Roman" w:eastAsia="宋体" w:cs="宋体"/>
          <w:color w:val="000000"/>
          <w:spacing w:val="10"/>
          <w:kern w:val="0"/>
          <w:sz w:val="30"/>
          <w:szCs w:val="30"/>
          <w:vertAlign w:val="baseline"/>
          <w:lang w:val="en-US" w:eastAsia="zh-CN" w:bidi="ar"/>
        </w:rPr>
        <w:t>期，参训学员</w:t>
      </w:r>
      <w:r>
        <w:rPr>
          <w:rFonts w:hint="default" w:ascii="Times New Roman" w:hAnsi="Times New Roman" w:eastAsia="宋体" w:cs="Times New Roman"/>
          <w:color w:val="000000"/>
          <w:spacing w:val="10"/>
          <w:kern w:val="0"/>
          <w:sz w:val="30"/>
          <w:szCs w:val="30"/>
          <w:vertAlign w:val="baseline"/>
          <w:lang w:val="en-US" w:eastAsia="zh-CN" w:bidi="ar"/>
        </w:rPr>
        <w:t>1115</w:t>
      </w:r>
      <w:r>
        <w:rPr>
          <w:rFonts w:hint="eastAsia" w:ascii="Times New Roman" w:hAnsi="Times New Roman" w:eastAsia="宋体" w:cs="宋体"/>
          <w:color w:val="000000"/>
          <w:spacing w:val="10"/>
          <w:kern w:val="0"/>
          <w:sz w:val="30"/>
          <w:szCs w:val="30"/>
          <w:vertAlign w:val="baseline"/>
          <w:lang w:val="en-US" w:eastAsia="zh-CN" w:bidi="ar"/>
        </w:rPr>
        <w:t>人，外培班</w:t>
      </w:r>
      <w:r>
        <w:rPr>
          <w:rFonts w:hint="default" w:ascii="Times New Roman" w:hAnsi="Times New Roman" w:eastAsia="宋体" w:cs="Times New Roman"/>
          <w:color w:val="000000"/>
          <w:spacing w:val="10"/>
          <w:kern w:val="0"/>
          <w:sz w:val="30"/>
          <w:szCs w:val="30"/>
          <w:vertAlign w:val="baseline"/>
          <w:lang w:val="en-US" w:eastAsia="zh-CN" w:bidi="ar"/>
        </w:rPr>
        <w:t>14</w:t>
      </w:r>
      <w:r>
        <w:rPr>
          <w:rFonts w:hint="eastAsia" w:ascii="Times New Roman" w:hAnsi="Times New Roman" w:eastAsia="宋体" w:cs="宋体"/>
          <w:color w:val="000000"/>
          <w:spacing w:val="10"/>
          <w:kern w:val="0"/>
          <w:sz w:val="30"/>
          <w:szCs w:val="30"/>
          <w:vertAlign w:val="baseline"/>
          <w:lang w:val="en-US" w:eastAsia="zh-CN" w:bidi="ar"/>
        </w:rPr>
        <w:t>期，参训学员</w:t>
      </w:r>
      <w:r>
        <w:rPr>
          <w:rFonts w:hint="default" w:ascii="Times New Roman" w:hAnsi="Times New Roman" w:eastAsia="宋体" w:cs="Times New Roman"/>
          <w:color w:val="000000"/>
          <w:spacing w:val="10"/>
          <w:kern w:val="0"/>
          <w:sz w:val="30"/>
          <w:szCs w:val="30"/>
          <w:vertAlign w:val="baseline"/>
          <w:lang w:val="en-US" w:eastAsia="zh-CN" w:bidi="ar"/>
        </w:rPr>
        <w:t>800</w:t>
      </w:r>
      <w:r>
        <w:rPr>
          <w:rFonts w:hint="eastAsia" w:ascii="Times New Roman" w:hAnsi="Times New Roman" w:eastAsia="宋体" w:cs="宋体"/>
          <w:color w:val="000000"/>
          <w:spacing w:val="10"/>
          <w:kern w:val="0"/>
          <w:sz w:val="30"/>
          <w:szCs w:val="30"/>
          <w:vertAlign w:val="baseline"/>
          <w:lang w:val="en-US" w:eastAsia="zh-CN" w:bidi="ar"/>
        </w:rPr>
        <w:t>余人，学员满意度达</w:t>
      </w:r>
      <w:r>
        <w:rPr>
          <w:rFonts w:hint="default" w:ascii="Times New Roman" w:hAnsi="Times New Roman" w:eastAsia="宋体" w:cs="Times New Roman"/>
          <w:color w:val="000000"/>
          <w:spacing w:val="10"/>
          <w:kern w:val="0"/>
          <w:sz w:val="30"/>
          <w:szCs w:val="30"/>
          <w:vertAlign w:val="baseline"/>
          <w:lang w:val="en-US" w:eastAsia="zh-CN" w:bidi="ar"/>
        </w:rPr>
        <w:t>99%</w:t>
      </w:r>
      <w:r>
        <w:rPr>
          <w:rFonts w:hint="eastAsia" w:ascii="Times New Roman" w:hAnsi="Times New Roman" w:eastAsia="宋体" w:cs="宋体"/>
          <w:color w:val="000000"/>
          <w:spacing w:val="10"/>
          <w:kern w:val="0"/>
          <w:sz w:val="30"/>
          <w:szCs w:val="30"/>
          <w:vertAlign w:val="baseline"/>
          <w:lang w:val="en-US" w:eastAsia="zh-CN" w:bidi="ar"/>
        </w:rPr>
        <w:t>以上。参训学员在党校学习后，思想受熏陶、理论水平有提升，工作实践中也取得了较好的效果。</w:t>
      </w:r>
    </w:p>
    <w:p>
      <w:pPr>
        <w:spacing w:before="101" w:line="227" w:lineRule="auto"/>
        <w:ind w:left="487"/>
        <w:rPr>
          <w:rFonts w:ascii="黑体" w:hAnsi="黑体" w:eastAsia="黑体" w:cs="黑体"/>
          <w:sz w:val="31"/>
          <w:szCs w:val="31"/>
        </w:rPr>
      </w:pPr>
      <w:r>
        <w:rPr>
          <w:rFonts w:ascii="黑体" w:hAnsi="黑体" w:eastAsia="黑体" w:cs="黑体"/>
          <w:spacing w:val="7"/>
          <w:sz w:val="31"/>
          <w:szCs w:val="31"/>
          <w14:textOutline w14:w="5793" w14:cap="sq" w14:cmpd="sng">
            <w14:solidFill>
              <w14:srgbClr w14:val="000000"/>
            </w14:solidFill>
            <w14:prstDash w14:val="solid"/>
            <w14:bevel/>
          </w14:textOutline>
        </w:rPr>
        <w:t>五、问题及建议</w:t>
      </w:r>
    </w:p>
    <w:p>
      <w:pPr>
        <w:pStyle w:val="2"/>
        <w:spacing w:before="173" w:line="332" w:lineRule="auto"/>
        <w:ind w:right="2" w:firstLine="560" w:firstLineChars="20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加强预算编制培训工作。</w:t>
      </w:r>
    </w:p>
    <w:p>
      <w:pPr>
        <w:spacing w:before="204" w:line="239" w:lineRule="auto"/>
        <w:ind w:left="424"/>
        <w:rPr>
          <w:rFonts w:ascii="楷体" w:hAnsi="楷体" w:eastAsia="楷体" w:cs="楷体"/>
          <w:sz w:val="31"/>
          <w:szCs w:val="31"/>
        </w:rPr>
      </w:pPr>
      <w:r>
        <w:rPr>
          <w:rFonts w:ascii="楷体" w:hAnsi="楷体" w:eastAsia="楷体" w:cs="楷体"/>
          <w:spacing w:val="5"/>
          <w:sz w:val="31"/>
          <w:szCs w:val="31"/>
          <w14:textOutline w14:w="5793" w14:cap="sq" w14:cmpd="sng">
            <w14:solidFill>
              <w14:srgbClr w14:val="000000"/>
            </w14:solidFill>
            <w14:prstDash w14:val="solid"/>
            <w14:bevel/>
          </w14:textOutline>
        </w:rPr>
        <w:t>（四）相关建议。</w:t>
      </w:r>
    </w:p>
    <w:p>
      <w:pPr>
        <w:spacing w:line="279" w:lineRule="auto"/>
        <w:ind w:firstLine="840" w:firstLineChars="300"/>
        <w:rPr>
          <w:rFonts w:ascii="Arial"/>
          <w:sz w:val="21"/>
        </w:rPr>
      </w:pPr>
      <w:r>
        <w:rPr>
          <w:rFonts w:hint="eastAsia" w:ascii="宋体" w:hAnsi="宋体" w:cs="宋体"/>
          <w:kern w:val="2"/>
          <w:sz w:val="28"/>
          <w:szCs w:val="28"/>
          <w:lang w:val="en-US" w:eastAsia="zh-CN" w:bidi="ar-SA"/>
        </w:rPr>
        <w:t>无</w:t>
      </w:r>
    </w:p>
    <w:p>
      <w:pPr>
        <w:spacing w:line="280" w:lineRule="auto"/>
        <w:rPr>
          <w:rFonts w:ascii="Arial"/>
          <w:sz w:val="21"/>
        </w:rPr>
      </w:pPr>
    </w:p>
    <w:p>
      <w:pPr>
        <w:pStyle w:val="2"/>
        <w:spacing w:before="173" w:line="332" w:lineRule="auto"/>
        <w:ind w:right="2" w:firstLine="642" w:firstLineChars="200"/>
        <w:jc w:val="center"/>
        <w:rPr>
          <w:rFonts w:hint="eastAsia" w:ascii="宋体" w:hAnsi="宋体" w:eastAsia="宋体" w:cs="宋体"/>
          <w:b/>
          <w:bCs/>
          <w:kern w:val="2"/>
          <w:sz w:val="32"/>
          <w:szCs w:val="32"/>
          <w:lang w:val="en-US" w:eastAsia="zh-CN" w:bidi="ar-SA"/>
        </w:rPr>
      </w:pPr>
    </w:p>
    <w:p>
      <w:pPr>
        <w:pStyle w:val="2"/>
        <w:spacing w:before="173" w:line="332" w:lineRule="auto"/>
        <w:ind w:right="2" w:firstLine="642" w:firstLineChars="200"/>
        <w:jc w:val="center"/>
        <w:rPr>
          <w:rFonts w:hint="eastAsia" w:ascii="宋体" w:hAnsi="宋体" w:eastAsia="宋体" w:cs="宋体"/>
          <w:b/>
          <w:bCs/>
          <w:kern w:val="2"/>
          <w:sz w:val="32"/>
          <w:szCs w:val="32"/>
          <w:lang w:val="en-US" w:eastAsia="zh-CN" w:bidi="ar-SA"/>
        </w:rPr>
      </w:pPr>
    </w:p>
    <w:p>
      <w:pPr>
        <w:pStyle w:val="2"/>
        <w:spacing w:before="173" w:line="332" w:lineRule="auto"/>
        <w:ind w:right="2" w:firstLine="642" w:firstLineChars="200"/>
        <w:jc w:val="center"/>
        <w:rPr>
          <w:rFonts w:hint="eastAsia" w:ascii="宋体" w:hAnsi="宋体" w:eastAsia="宋体" w:cs="宋体"/>
          <w:b/>
          <w:bCs/>
          <w:kern w:val="2"/>
          <w:sz w:val="32"/>
          <w:szCs w:val="32"/>
          <w:lang w:val="en-US" w:eastAsia="zh-CN" w:bidi="ar-SA"/>
        </w:rPr>
      </w:pPr>
    </w:p>
    <w:p>
      <w:pPr>
        <w:pStyle w:val="2"/>
        <w:spacing w:before="173" w:line="332" w:lineRule="auto"/>
        <w:ind w:right="2" w:firstLine="642" w:firstLineChars="200"/>
        <w:jc w:val="center"/>
        <w:rPr>
          <w:rFonts w:hint="eastAsia" w:ascii="宋体" w:hAnsi="宋体" w:eastAsia="宋体" w:cs="宋体"/>
          <w:b/>
          <w:bCs/>
          <w:kern w:val="2"/>
          <w:sz w:val="32"/>
          <w:szCs w:val="32"/>
          <w:lang w:val="en-US" w:eastAsia="zh-CN" w:bidi="ar-SA"/>
        </w:rPr>
      </w:pPr>
    </w:p>
    <w:p>
      <w:pPr>
        <w:pStyle w:val="2"/>
        <w:spacing w:before="173" w:line="332" w:lineRule="auto"/>
        <w:ind w:right="2" w:firstLine="642" w:firstLineChars="200"/>
        <w:jc w:val="center"/>
        <w:rPr>
          <w:rFonts w:hint="eastAsia" w:ascii="宋体" w:hAnsi="宋体" w:eastAsia="宋体" w:cs="宋体"/>
          <w:b/>
          <w:bCs/>
          <w:kern w:val="2"/>
          <w:sz w:val="32"/>
          <w:szCs w:val="32"/>
          <w:lang w:val="en-US" w:eastAsia="zh-CN" w:bidi="ar-SA"/>
        </w:rPr>
      </w:pPr>
    </w:p>
    <w:p>
      <w:pPr>
        <w:pStyle w:val="2"/>
        <w:spacing w:before="173" w:line="332" w:lineRule="auto"/>
        <w:ind w:right="2" w:firstLine="642" w:firstLineChars="200"/>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部门预算项目绩效目标自评表</w:t>
      </w:r>
    </w:p>
    <w:p>
      <w:pPr>
        <w:pStyle w:val="2"/>
        <w:spacing w:before="173" w:line="332" w:lineRule="auto"/>
        <w:ind w:right="2" w:firstLine="642" w:firstLineChars="200"/>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干部培训经费</w:t>
      </w:r>
    </w:p>
    <w:p>
      <w:pPr>
        <w:spacing w:before="90"/>
      </w:pPr>
    </w:p>
    <w:tbl>
      <w:tblPr>
        <w:tblStyle w:val="39"/>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1025"/>
        <w:gridCol w:w="1033"/>
        <w:gridCol w:w="1339"/>
        <w:gridCol w:w="2399"/>
        <w:gridCol w:w="23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024" w:type="dxa"/>
            <w:vAlign w:val="top"/>
          </w:tcPr>
          <w:p>
            <w:pPr>
              <w:pStyle w:val="40"/>
              <w:spacing w:before="36" w:line="372" w:lineRule="exact"/>
              <w:ind w:left="15"/>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主管部门</w:t>
            </w:r>
          </w:p>
          <w:p>
            <w:pPr>
              <w:pStyle w:val="40"/>
              <w:spacing w:line="203" w:lineRule="auto"/>
              <w:ind w:left="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及代码</w:t>
            </w:r>
          </w:p>
        </w:tc>
        <w:tc>
          <w:tcPr>
            <w:tcW w:w="3397" w:type="dxa"/>
            <w:gridSpan w:val="3"/>
            <w:vAlign w:val="top"/>
          </w:tcPr>
          <w:p>
            <w:pPr>
              <w:pStyle w:val="40"/>
              <w:spacing w:before="176" w:line="228" w:lineRule="auto"/>
              <w:ind w:left="28"/>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中共剑阁县委党校-116</w:t>
            </w:r>
          </w:p>
        </w:tc>
        <w:tc>
          <w:tcPr>
            <w:tcW w:w="2399" w:type="dxa"/>
            <w:vAlign w:val="top"/>
          </w:tcPr>
          <w:p>
            <w:pPr>
              <w:pStyle w:val="40"/>
              <w:spacing w:before="156" w:line="229" w:lineRule="auto"/>
              <w:ind w:left="697"/>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实施单位</w:t>
            </w:r>
          </w:p>
        </w:tc>
        <w:tc>
          <w:tcPr>
            <w:tcW w:w="2364" w:type="dxa"/>
            <w:vAlign w:val="top"/>
          </w:tcPr>
          <w:p>
            <w:pPr>
              <w:pStyle w:val="40"/>
              <w:spacing w:before="176" w:line="228" w:lineRule="auto"/>
              <w:ind w:left="31"/>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中共剑阁县委党校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024" w:type="dxa"/>
            <w:vMerge w:val="restart"/>
            <w:tcBorders>
              <w:bottom w:val="nil"/>
            </w:tcBorders>
            <w:vAlign w:val="top"/>
          </w:tcPr>
          <w:p>
            <w:pPr>
              <w:spacing w:line="317" w:lineRule="auto"/>
              <w:rPr>
                <w:rFonts w:hint="eastAsia" w:ascii="宋体" w:hAnsi="宋体" w:eastAsia="宋体" w:cs="宋体"/>
                <w:kern w:val="2"/>
                <w:sz w:val="18"/>
                <w:szCs w:val="18"/>
                <w:lang w:val="en-US" w:eastAsia="zh-CN" w:bidi="ar-SA"/>
              </w:rPr>
            </w:pPr>
          </w:p>
          <w:p>
            <w:pPr>
              <w:pStyle w:val="40"/>
              <w:spacing w:before="65" w:line="269" w:lineRule="auto"/>
              <w:ind w:left="13" w:right="176" w:firstLine="3"/>
              <w:jc w:val="both"/>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项目预算 执行情况 （万元）</w:t>
            </w:r>
          </w:p>
        </w:tc>
        <w:tc>
          <w:tcPr>
            <w:tcW w:w="2058" w:type="dxa"/>
            <w:gridSpan w:val="2"/>
            <w:vAlign w:val="top"/>
          </w:tcPr>
          <w:p>
            <w:pPr>
              <w:pStyle w:val="40"/>
              <w:spacing w:before="132" w:line="228" w:lineRule="auto"/>
              <w:ind w:left="191"/>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预算数：</w:t>
            </w:r>
          </w:p>
        </w:tc>
        <w:tc>
          <w:tcPr>
            <w:tcW w:w="1339" w:type="dxa"/>
            <w:vAlign w:val="top"/>
          </w:tcPr>
          <w:p>
            <w:pPr>
              <w:pStyle w:val="40"/>
              <w:spacing w:before="255" w:line="189" w:lineRule="auto"/>
              <w:ind w:left="572"/>
              <w:rPr>
                <w:rFonts w:hint="default" w:ascii="宋体" w:hAnsi="宋体" w:eastAsia="宋体" w:cs="宋体"/>
                <w:kern w:val="2"/>
                <w:sz w:val="18"/>
                <w:szCs w:val="18"/>
                <w:lang w:val="en-US" w:eastAsia="zh-CN" w:bidi="ar-SA"/>
              </w:rPr>
            </w:pPr>
            <w:r>
              <w:rPr>
                <w:rFonts w:hint="eastAsia" w:cs="宋体"/>
                <w:kern w:val="2"/>
                <w:sz w:val="18"/>
                <w:szCs w:val="18"/>
                <w:lang w:val="en-US" w:eastAsia="zh-CN" w:bidi="ar-SA"/>
              </w:rPr>
              <w:t>17</w:t>
            </w:r>
          </w:p>
        </w:tc>
        <w:tc>
          <w:tcPr>
            <w:tcW w:w="2399" w:type="dxa"/>
            <w:vAlign w:val="top"/>
          </w:tcPr>
          <w:p>
            <w:pPr>
              <w:pStyle w:val="40"/>
              <w:spacing w:before="132" w:line="228" w:lineRule="auto"/>
              <w:ind w:left="190"/>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执行数：</w:t>
            </w:r>
          </w:p>
        </w:tc>
        <w:tc>
          <w:tcPr>
            <w:tcW w:w="2364" w:type="dxa"/>
            <w:vAlign w:val="top"/>
          </w:tcPr>
          <w:p>
            <w:pPr>
              <w:pStyle w:val="40"/>
              <w:spacing w:before="255" w:line="189" w:lineRule="auto"/>
              <w:ind w:left="1084"/>
              <w:rPr>
                <w:rFonts w:hint="default" w:ascii="宋体" w:hAnsi="宋体" w:eastAsia="宋体" w:cs="宋体"/>
                <w:kern w:val="2"/>
                <w:sz w:val="18"/>
                <w:szCs w:val="18"/>
                <w:lang w:val="en-US" w:eastAsia="zh-CN" w:bidi="ar-SA"/>
              </w:rPr>
            </w:pPr>
            <w:r>
              <w:rPr>
                <w:rFonts w:hint="eastAsia" w:cs="宋体"/>
                <w:kern w:val="2"/>
                <w:sz w:val="18"/>
                <w:szCs w:val="18"/>
                <w:lang w:val="en-US" w:eastAsia="zh-CN" w:bidi="ar-SA"/>
              </w:rPr>
              <w:t>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24"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2058" w:type="dxa"/>
            <w:gridSpan w:val="2"/>
            <w:vAlign w:val="top"/>
          </w:tcPr>
          <w:p>
            <w:pPr>
              <w:pStyle w:val="40"/>
              <w:spacing w:before="113" w:line="228" w:lineRule="auto"/>
              <w:ind w:left="10"/>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其中：财政拨款</w:t>
            </w:r>
          </w:p>
        </w:tc>
        <w:tc>
          <w:tcPr>
            <w:tcW w:w="1339" w:type="dxa"/>
            <w:vAlign w:val="top"/>
          </w:tcPr>
          <w:p>
            <w:pPr>
              <w:spacing w:before="228" w:line="186" w:lineRule="auto"/>
              <w:ind w:left="573"/>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17</w:t>
            </w:r>
          </w:p>
        </w:tc>
        <w:tc>
          <w:tcPr>
            <w:tcW w:w="2399" w:type="dxa"/>
            <w:vAlign w:val="top"/>
          </w:tcPr>
          <w:p>
            <w:pPr>
              <w:pStyle w:val="40"/>
              <w:spacing w:before="113" w:line="228" w:lineRule="auto"/>
              <w:ind w:left="1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其中：财政拨款</w:t>
            </w:r>
          </w:p>
        </w:tc>
        <w:tc>
          <w:tcPr>
            <w:tcW w:w="2364" w:type="dxa"/>
            <w:vAlign w:val="top"/>
          </w:tcPr>
          <w:p>
            <w:pPr>
              <w:pStyle w:val="40"/>
              <w:spacing w:before="220" w:line="189" w:lineRule="auto"/>
              <w:ind w:left="1084"/>
              <w:rPr>
                <w:rFonts w:hint="default" w:ascii="宋体" w:hAnsi="宋体" w:eastAsia="宋体" w:cs="宋体"/>
                <w:kern w:val="2"/>
                <w:sz w:val="18"/>
                <w:szCs w:val="18"/>
                <w:lang w:val="en-US" w:eastAsia="zh-CN" w:bidi="ar-SA"/>
              </w:rPr>
            </w:pPr>
            <w:r>
              <w:rPr>
                <w:rFonts w:hint="eastAsia" w:cs="宋体"/>
                <w:kern w:val="2"/>
                <w:sz w:val="18"/>
                <w:szCs w:val="18"/>
                <w:lang w:val="en-US" w:eastAsia="zh-CN" w:bidi="ar-SA"/>
              </w:rPr>
              <w:t>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24" w:type="dxa"/>
            <w:vMerge w:val="continue"/>
            <w:tcBorders>
              <w:top w:val="nil"/>
            </w:tcBorders>
            <w:vAlign w:val="top"/>
          </w:tcPr>
          <w:p>
            <w:pPr>
              <w:rPr>
                <w:rFonts w:hint="eastAsia" w:ascii="宋体" w:hAnsi="宋体" w:eastAsia="宋体" w:cs="宋体"/>
                <w:kern w:val="2"/>
                <w:sz w:val="18"/>
                <w:szCs w:val="18"/>
                <w:lang w:val="en-US" w:eastAsia="zh-CN" w:bidi="ar-SA"/>
              </w:rPr>
            </w:pPr>
          </w:p>
        </w:tc>
        <w:tc>
          <w:tcPr>
            <w:tcW w:w="2058" w:type="dxa"/>
            <w:gridSpan w:val="2"/>
            <w:vAlign w:val="top"/>
          </w:tcPr>
          <w:p>
            <w:pPr>
              <w:pStyle w:val="40"/>
              <w:spacing w:before="132" w:line="229" w:lineRule="auto"/>
              <w:ind w:left="10"/>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其他资金</w:t>
            </w:r>
          </w:p>
        </w:tc>
        <w:tc>
          <w:tcPr>
            <w:tcW w:w="1339" w:type="dxa"/>
            <w:vAlign w:val="top"/>
          </w:tcPr>
          <w:p>
            <w:pPr>
              <w:rPr>
                <w:rFonts w:hint="eastAsia" w:ascii="宋体" w:hAnsi="宋体" w:eastAsia="宋体" w:cs="宋体"/>
                <w:kern w:val="2"/>
                <w:sz w:val="18"/>
                <w:szCs w:val="18"/>
                <w:lang w:val="en-US" w:eastAsia="zh-CN" w:bidi="ar-SA"/>
              </w:rPr>
            </w:pPr>
          </w:p>
        </w:tc>
        <w:tc>
          <w:tcPr>
            <w:tcW w:w="2399" w:type="dxa"/>
            <w:vAlign w:val="top"/>
          </w:tcPr>
          <w:p>
            <w:pPr>
              <w:pStyle w:val="40"/>
              <w:spacing w:before="132" w:line="229" w:lineRule="auto"/>
              <w:ind w:left="1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其他资金</w:t>
            </w:r>
          </w:p>
        </w:tc>
        <w:tc>
          <w:tcPr>
            <w:tcW w:w="2364" w:type="dxa"/>
            <w:vAlign w:val="top"/>
          </w:tcPr>
          <w:p>
            <w:pPr>
              <w:rPr>
                <w:rFonts w:hint="eastAsia" w:ascii="宋体" w:hAnsi="宋体" w:eastAsia="宋体" w:cs="宋体"/>
                <w:kern w:val="2"/>
                <w:sz w:val="18"/>
                <w:szCs w:val="18"/>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1024" w:type="dxa"/>
            <w:vMerge w:val="restart"/>
            <w:tcBorders>
              <w:bottom w:val="nil"/>
            </w:tcBorders>
            <w:vAlign w:val="top"/>
          </w:tcPr>
          <w:p>
            <w:pPr>
              <w:spacing w:line="317" w:lineRule="auto"/>
              <w:rPr>
                <w:rFonts w:hint="eastAsia" w:ascii="宋体" w:hAnsi="宋体" w:eastAsia="宋体" w:cs="宋体"/>
                <w:kern w:val="2"/>
                <w:sz w:val="18"/>
                <w:szCs w:val="18"/>
                <w:lang w:val="en-US" w:eastAsia="zh-CN" w:bidi="ar-SA"/>
              </w:rPr>
            </w:pPr>
          </w:p>
          <w:p>
            <w:pPr>
              <w:pStyle w:val="40"/>
              <w:spacing w:before="65" w:line="244" w:lineRule="auto"/>
              <w:ind w:left="11" w:right="176" w:firstLine="2"/>
              <w:jc w:val="both"/>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年度总体 目标完成 情况</w:t>
            </w:r>
          </w:p>
        </w:tc>
        <w:tc>
          <w:tcPr>
            <w:tcW w:w="3397" w:type="dxa"/>
            <w:gridSpan w:val="3"/>
            <w:vAlign w:val="top"/>
          </w:tcPr>
          <w:p>
            <w:pPr>
              <w:pStyle w:val="40"/>
              <w:spacing w:before="113" w:line="229" w:lineRule="auto"/>
              <w:ind w:left="11"/>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预期目标</w:t>
            </w:r>
          </w:p>
        </w:tc>
        <w:tc>
          <w:tcPr>
            <w:tcW w:w="4763" w:type="dxa"/>
            <w:gridSpan w:val="2"/>
            <w:vAlign w:val="top"/>
          </w:tcPr>
          <w:p>
            <w:pPr>
              <w:pStyle w:val="40"/>
              <w:spacing w:before="113" w:line="228" w:lineRule="auto"/>
              <w:ind w:left="50"/>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目标实际完成情况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trPr>
        <w:tc>
          <w:tcPr>
            <w:tcW w:w="1024" w:type="dxa"/>
            <w:vMerge w:val="continue"/>
            <w:tcBorders>
              <w:top w:val="nil"/>
            </w:tcBorders>
            <w:vAlign w:val="top"/>
          </w:tcPr>
          <w:p>
            <w:pPr>
              <w:rPr>
                <w:rFonts w:hint="eastAsia" w:ascii="宋体" w:hAnsi="宋体" w:eastAsia="宋体" w:cs="宋体"/>
                <w:kern w:val="2"/>
                <w:sz w:val="18"/>
                <w:szCs w:val="18"/>
                <w:lang w:val="en-US" w:eastAsia="zh-CN" w:bidi="ar-SA"/>
              </w:rPr>
            </w:pPr>
          </w:p>
        </w:tc>
        <w:tc>
          <w:tcPr>
            <w:tcW w:w="3397" w:type="dxa"/>
            <w:gridSpan w:val="3"/>
            <w:vAlign w:val="top"/>
          </w:tcPr>
          <w:p>
            <w:pPr>
              <w:pStyle w:val="40"/>
              <w:spacing w:before="112" w:line="246" w:lineRule="auto"/>
              <w:ind w:left="12" w:right="33" w:hanging="1"/>
              <w:jc w:val="both"/>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 xml:space="preserve">完成 </w:t>
            </w:r>
            <w:r>
              <w:rPr>
                <w:rFonts w:hint="eastAsia" w:cs="宋体"/>
                <w:kern w:val="2"/>
                <w:sz w:val="18"/>
                <w:szCs w:val="18"/>
                <w:lang w:val="en-US" w:eastAsia="zh-CN" w:bidi="ar-SA"/>
              </w:rPr>
              <w:t>2022</w:t>
            </w:r>
            <w:r>
              <w:rPr>
                <w:rFonts w:hint="eastAsia" w:ascii="宋体" w:hAnsi="宋体" w:eastAsia="宋体" w:cs="宋体"/>
                <w:kern w:val="2"/>
                <w:sz w:val="18"/>
                <w:szCs w:val="18"/>
                <w:lang w:val="en-US" w:eastAsia="zh-CN" w:bidi="ar-SA"/>
              </w:rPr>
              <w:t xml:space="preserve"> 年全县党员干部指定培训  项目。教育引导全县党员干部不断提 高政治觉悟和政治能力，全面提高党 员干部整体素质和能力。</w:t>
            </w:r>
          </w:p>
        </w:tc>
        <w:tc>
          <w:tcPr>
            <w:tcW w:w="4763" w:type="dxa"/>
            <w:gridSpan w:val="2"/>
            <w:vAlign w:val="top"/>
          </w:tcPr>
          <w:p>
            <w:pPr>
              <w:pStyle w:val="40"/>
              <w:spacing w:before="113" w:line="228" w:lineRule="auto"/>
              <w:ind w:left="10"/>
              <w:rPr>
                <w:rFonts w:hint="eastAsia" w:ascii="宋体" w:hAnsi="宋体" w:eastAsia="宋体" w:cs="宋体"/>
                <w:kern w:val="2"/>
                <w:sz w:val="18"/>
                <w:szCs w:val="18"/>
                <w:lang w:val="en-US" w:eastAsia="zh-CN" w:bidi="ar-SA"/>
              </w:rPr>
            </w:pPr>
          </w:p>
          <w:p>
            <w:pPr>
              <w:pStyle w:val="40"/>
              <w:spacing w:before="113" w:line="228" w:lineRule="auto"/>
              <w:ind w:left="10" w:firstLine="360" w:firstLineChars="200"/>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全面完成目标任务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1024" w:type="dxa"/>
            <w:vMerge w:val="restart"/>
            <w:tcBorders>
              <w:bottom w:val="nil"/>
            </w:tcBorders>
            <w:vAlign w:val="top"/>
          </w:tcPr>
          <w:p>
            <w:pPr>
              <w:spacing w:line="245" w:lineRule="auto"/>
              <w:rPr>
                <w:rFonts w:hint="eastAsia" w:ascii="宋体" w:hAnsi="宋体" w:eastAsia="宋体" w:cs="宋体"/>
                <w:kern w:val="2"/>
                <w:sz w:val="18"/>
                <w:szCs w:val="18"/>
                <w:lang w:val="en-US" w:eastAsia="zh-CN" w:bidi="ar-SA"/>
              </w:rPr>
            </w:pPr>
          </w:p>
          <w:p>
            <w:pPr>
              <w:spacing w:line="246" w:lineRule="auto"/>
              <w:rPr>
                <w:rFonts w:hint="eastAsia" w:ascii="宋体" w:hAnsi="宋体" w:eastAsia="宋体" w:cs="宋体"/>
                <w:kern w:val="2"/>
                <w:sz w:val="18"/>
                <w:szCs w:val="18"/>
                <w:lang w:val="en-US" w:eastAsia="zh-CN" w:bidi="ar-SA"/>
              </w:rPr>
            </w:pPr>
          </w:p>
          <w:p>
            <w:pPr>
              <w:spacing w:line="246" w:lineRule="auto"/>
              <w:rPr>
                <w:rFonts w:hint="eastAsia" w:ascii="宋体" w:hAnsi="宋体" w:eastAsia="宋体" w:cs="宋体"/>
                <w:kern w:val="2"/>
                <w:sz w:val="18"/>
                <w:szCs w:val="18"/>
                <w:lang w:val="en-US" w:eastAsia="zh-CN" w:bidi="ar-SA"/>
              </w:rPr>
            </w:pPr>
          </w:p>
          <w:p>
            <w:pPr>
              <w:spacing w:line="246" w:lineRule="auto"/>
              <w:rPr>
                <w:rFonts w:hint="eastAsia" w:ascii="宋体" w:hAnsi="宋体" w:eastAsia="宋体" w:cs="宋体"/>
                <w:kern w:val="2"/>
                <w:sz w:val="18"/>
                <w:szCs w:val="18"/>
                <w:lang w:val="en-US" w:eastAsia="zh-CN" w:bidi="ar-SA"/>
              </w:rPr>
            </w:pPr>
          </w:p>
          <w:p>
            <w:pPr>
              <w:spacing w:line="246" w:lineRule="auto"/>
              <w:rPr>
                <w:rFonts w:hint="eastAsia" w:ascii="宋体" w:hAnsi="宋体" w:eastAsia="宋体" w:cs="宋体"/>
                <w:kern w:val="2"/>
                <w:sz w:val="18"/>
                <w:szCs w:val="18"/>
                <w:lang w:val="en-US" w:eastAsia="zh-CN" w:bidi="ar-SA"/>
              </w:rPr>
            </w:pPr>
          </w:p>
          <w:p>
            <w:pPr>
              <w:spacing w:line="246" w:lineRule="auto"/>
              <w:rPr>
                <w:rFonts w:hint="eastAsia" w:ascii="宋体" w:hAnsi="宋体" w:eastAsia="宋体" w:cs="宋体"/>
                <w:kern w:val="2"/>
                <w:sz w:val="18"/>
                <w:szCs w:val="18"/>
                <w:lang w:val="en-US" w:eastAsia="zh-CN" w:bidi="ar-SA"/>
              </w:rPr>
            </w:pPr>
          </w:p>
          <w:p>
            <w:pPr>
              <w:spacing w:line="246" w:lineRule="auto"/>
              <w:rPr>
                <w:rFonts w:hint="eastAsia" w:ascii="宋体" w:hAnsi="宋体" w:eastAsia="宋体" w:cs="宋体"/>
                <w:kern w:val="2"/>
                <w:sz w:val="18"/>
                <w:szCs w:val="18"/>
                <w:lang w:val="en-US" w:eastAsia="zh-CN" w:bidi="ar-SA"/>
              </w:rPr>
            </w:pPr>
          </w:p>
          <w:p>
            <w:pPr>
              <w:spacing w:line="246" w:lineRule="auto"/>
              <w:rPr>
                <w:rFonts w:hint="eastAsia" w:ascii="宋体" w:hAnsi="宋体" w:eastAsia="宋体" w:cs="宋体"/>
                <w:kern w:val="2"/>
                <w:sz w:val="18"/>
                <w:szCs w:val="18"/>
                <w:lang w:val="en-US" w:eastAsia="zh-CN" w:bidi="ar-SA"/>
              </w:rPr>
            </w:pPr>
          </w:p>
          <w:p>
            <w:pPr>
              <w:pStyle w:val="40"/>
              <w:spacing w:before="65" w:line="293" w:lineRule="auto"/>
              <w:ind w:left="11" w:right="176" w:firstLine="2"/>
              <w:jc w:val="both"/>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年度绩效 指标完成 情况</w:t>
            </w:r>
          </w:p>
        </w:tc>
        <w:tc>
          <w:tcPr>
            <w:tcW w:w="1025" w:type="dxa"/>
            <w:vAlign w:val="top"/>
          </w:tcPr>
          <w:p>
            <w:pPr>
              <w:pStyle w:val="40"/>
              <w:spacing w:before="303" w:line="229" w:lineRule="auto"/>
              <w:ind w:left="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一级指标</w:t>
            </w:r>
          </w:p>
        </w:tc>
        <w:tc>
          <w:tcPr>
            <w:tcW w:w="1033" w:type="dxa"/>
            <w:vAlign w:val="top"/>
          </w:tcPr>
          <w:p>
            <w:pPr>
              <w:pStyle w:val="40"/>
              <w:spacing w:before="303" w:line="229" w:lineRule="auto"/>
              <w:ind w:left="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二级指标</w:t>
            </w:r>
          </w:p>
        </w:tc>
        <w:tc>
          <w:tcPr>
            <w:tcW w:w="1339" w:type="dxa"/>
            <w:vAlign w:val="top"/>
          </w:tcPr>
          <w:p>
            <w:pPr>
              <w:pStyle w:val="40"/>
              <w:spacing w:before="303" w:line="229" w:lineRule="auto"/>
              <w:ind w:left="10"/>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三级指标</w:t>
            </w:r>
          </w:p>
        </w:tc>
        <w:tc>
          <w:tcPr>
            <w:tcW w:w="2399" w:type="dxa"/>
            <w:vAlign w:val="top"/>
          </w:tcPr>
          <w:p>
            <w:pPr>
              <w:pStyle w:val="40"/>
              <w:spacing w:before="303" w:line="228" w:lineRule="auto"/>
              <w:ind w:left="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预期指标值</w:t>
            </w:r>
          </w:p>
        </w:tc>
        <w:tc>
          <w:tcPr>
            <w:tcW w:w="2364" w:type="dxa"/>
            <w:vAlign w:val="top"/>
          </w:tcPr>
          <w:p>
            <w:pPr>
              <w:pStyle w:val="40"/>
              <w:spacing w:before="303" w:line="228" w:lineRule="auto"/>
              <w:ind w:left="16"/>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实际完成指标值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1024"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25" w:type="dxa"/>
            <w:vMerge w:val="restart"/>
            <w:tcBorders>
              <w:bottom w:val="nil"/>
            </w:tcBorders>
            <w:vAlign w:val="top"/>
          </w:tcPr>
          <w:p>
            <w:pPr>
              <w:spacing w:line="256" w:lineRule="auto"/>
              <w:rPr>
                <w:rFonts w:hint="eastAsia" w:ascii="宋体" w:hAnsi="宋体" w:eastAsia="宋体" w:cs="宋体"/>
                <w:kern w:val="2"/>
                <w:sz w:val="18"/>
                <w:szCs w:val="18"/>
                <w:lang w:val="en-US" w:eastAsia="zh-CN" w:bidi="ar-SA"/>
              </w:rPr>
            </w:pPr>
          </w:p>
          <w:p>
            <w:pPr>
              <w:spacing w:line="256" w:lineRule="auto"/>
              <w:rPr>
                <w:rFonts w:hint="eastAsia" w:ascii="宋体" w:hAnsi="宋体" w:eastAsia="宋体" w:cs="宋体"/>
                <w:kern w:val="2"/>
                <w:sz w:val="18"/>
                <w:szCs w:val="18"/>
                <w:lang w:val="en-US" w:eastAsia="zh-CN" w:bidi="ar-SA"/>
              </w:rPr>
            </w:pPr>
          </w:p>
          <w:p>
            <w:pPr>
              <w:spacing w:line="256" w:lineRule="auto"/>
              <w:rPr>
                <w:rFonts w:hint="eastAsia" w:ascii="宋体" w:hAnsi="宋体" w:eastAsia="宋体" w:cs="宋体"/>
                <w:kern w:val="2"/>
                <w:sz w:val="18"/>
                <w:szCs w:val="18"/>
                <w:lang w:val="en-US" w:eastAsia="zh-CN" w:bidi="ar-SA"/>
              </w:rPr>
            </w:pPr>
          </w:p>
          <w:p>
            <w:pPr>
              <w:spacing w:line="256" w:lineRule="auto"/>
              <w:rPr>
                <w:rFonts w:hint="eastAsia" w:ascii="宋体" w:hAnsi="宋体" w:eastAsia="宋体" w:cs="宋体"/>
                <w:kern w:val="2"/>
                <w:sz w:val="18"/>
                <w:szCs w:val="18"/>
                <w:lang w:val="en-US" w:eastAsia="zh-CN" w:bidi="ar-SA"/>
              </w:rPr>
            </w:pPr>
          </w:p>
          <w:p>
            <w:pPr>
              <w:spacing w:line="256" w:lineRule="auto"/>
              <w:rPr>
                <w:rFonts w:hint="eastAsia" w:ascii="宋体" w:hAnsi="宋体" w:eastAsia="宋体" w:cs="宋体"/>
                <w:kern w:val="2"/>
                <w:sz w:val="18"/>
                <w:szCs w:val="18"/>
                <w:lang w:val="en-US" w:eastAsia="zh-CN" w:bidi="ar-SA"/>
              </w:rPr>
            </w:pPr>
          </w:p>
          <w:p>
            <w:pPr>
              <w:spacing w:line="257" w:lineRule="auto"/>
              <w:rPr>
                <w:rFonts w:hint="eastAsia" w:ascii="宋体" w:hAnsi="宋体" w:eastAsia="宋体" w:cs="宋体"/>
                <w:kern w:val="2"/>
                <w:sz w:val="18"/>
                <w:szCs w:val="18"/>
                <w:lang w:val="en-US" w:eastAsia="zh-CN" w:bidi="ar-SA"/>
              </w:rPr>
            </w:pPr>
          </w:p>
          <w:p>
            <w:pPr>
              <w:pStyle w:val="40"/>
              <w:spacing w:before="65" w:line="228" w:lineRule="auto"/>
              <w:ind w:left="11"/>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完成指标</w:t>
            </w:r>
          </w:p>
        </w:tc>
        <w:tc>
          <w:tcPr>
            <w:tcW w:w="1033" w:type="dxa"/>
            <w:vMerge w:val="restart"/>
            <w:tcBorders>
              <w:bottom w:val="nil"/>
            </w:tcBorders>
            <w:vAlign w:val="top"/>
          </w:tcPr>
          <w:p>
            <w:pPr>
              <w:spacing w:line="454" w:lineRule="auto"/>
              <w:rPr>
                <w:rFonts w:hint="eastAsia" w:ascii="宋体" w:hAnsi="宋体" w:eastAsia="宋体" w:cs="宋体"/>
                <w:kern w:val="2"/>
                <w:sz w:val="18"/>
                <w:szCs w:val="18"/>
                <w:lang w:val="en-US" w:eastAsia="zh-CN" w:bidi="ar-SA"/>
              </w:rPr>
            </w:pPr>
          </w:p>
          <w:p>
            <w:pPr>
              <w:pStyle w:val="40"/>
              <w:spacing w:before="65" w:line="228" w:lineRule="auto"/>
              <w:ind w:left="10"/>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数量指标</w:t>
            </w:r>
          </w:p>
        </w:tc>
        <w:tc>
          <w:tcPr>
            <w:tcW w:w="1339" w:type="dxa"/>
            <w:vAlign w:val="top"/>
          </w:tcPr>
          <w:p>
            <w:pPr>
              <w:pStyle w:val="40"/>
              <w:spacing w:before="116" w:line="229" w:lineRule="auto"/>
              <w:ind w:left="237"/>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10</w:t>
            </w:r>
            <w:r>
              <w:rPr>
                <w:rFonts w:hint="eastAsia" w:ascii="宋体" w:hAnsi="宋体" w:eastAsia="宋体" w:cs="宋体"/>
                <w:kern w:val="2"/>
                <w:sz w:val="18"/>
                <w:szCs w:val="18"/>
                <w:lang w:val="en-US" w:eastAsia="zh-CN" w:bidi="ar-SA"/>
              </w:rPr>
              <w:t xml:space="preserve"> 期</w:t>
            </w:r>
          </w:p>
        </w:tc>
        <w:tc>
          <w:tcPr>
            <w:tcW w:w="2399" w:type="dxa"/>
            <w:vAlign w:val="top"/>
          </w:tcPr>
          <w:p>
            <w:pPr>
              <w:pStyle w:val="40"/>
              <w:spacing w:before="116" w:line="228" w:lineRule="auto"/>
              <w:ind w:left="10"/>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全年主体班</w:t>
            </w:r>
          </w:p>
        </w:tc>
        <w:tc>
          <w:tcPr>
            <w:tcW w:w="2364" w:type="dxa"/>
            <w:vAlign w:val="top"/>
          </w:tcPr>
          <w:p>
            <w:pPr>
              <w:pStyle w:val="40"/>
              <w:spacing w:before="116" w:line="229" w:lineRule="auto"/>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主体班</w:t>
            </w:r>
            <w:r>
              <w:rPr>
                <w:rFonts w:hint="eastAsia" w:ascii="宋体" w:hAnsi="宋体" w:eastAsia="宋体" w:cs="宋体"/>
                <w:kern w:val="2"/>
                <w:sz w:val="18"/>
                <w:szCs w:val="18"/>
                <w:lang w:val="en-US" w:eastAsia="zh-CN" w:bidi="ar-SA"/>
              </w:rPr>
              <w:t xml:space="preserve"> </w:t>
            </w:r>
            <w:r>
              <w:rPr>
                <w:rFonts w:hint="eastAsia" w:cs="宋体"/>
                <w:kern w:val="2"/>
                <w:sz w:val="18"/>
                <w:szCs w:val="18"/>
                <w:lang w:val="en-US" w:eastAsia="zh-CN" w:bidi="ar-SA"/>
              </w:rPr>
              <w:t>10</w:t>
            </w:r>
            <w:r>
              <w:rPr>
                <w:rFonts w:hint="eastAsia" w:ascii="宋体" w:hAnsi="宋体" w:eastAsia="宋体" w:cs="宋体"/>
                <w:kern w:val="2"/>
                <w:sz w:val="18"/>
                <w:szCs w:val="18"/>
                <w:lang w:val="en-US" w:eastAsia="zh-CN" w:bidi="ar-SA"/>
              </w:rPr>
              <w:t xml:space="preserve"> 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024"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25"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33" w:type="dxa"/>
            <w:vMerge w:val="continue"/>
            <w:tcBorders>
              <w:top w:val="nil"/>
            </w:tcBorders>
            <w:vAlign w:val="top"/>
          </w:tcPr>
          <w:p>
            <w:pPr>
              <w:rPr>
                <w:rFonts w:hint="eastAsia" w:ascii="宋体" w:hAnsi="宋体" w:eastAsia="宋体" w:cs="宋体"/>
                <w:kern w:val="2"/>
                <w:sz w:val="18"/>
                <w:szCs w:val="18"/>
                <w:lang w:val="en-US" w:eastAsia="zh-CN" w:bidi="ar-SA"/>
              </w:rPr>
            </w:pPr>
          </w:p>
        </w:tc>
        <w:tc>
          <w:tcPr>
            <w:tcW w:w="1339" w:type="dxa"/>
            <w:vAlign w:val="top"/>
          </w:tcPr>
          <w:p>
            <w:pPr>
              <w:pStyle w:val="40"/>
              <w:spacing w:before="116" w:line="231" w:lineRule="auto"/>
              <w:ind w:left="237"/>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1115</w:t>
            </w:r>
            <w:r>
              <w:rPr>
                <w:rFonts w:hint="eastAsia" w:ascii="宋体" w:hAnsi="宋体" w:eastAsia="宋体" w:cs="宋体"/>
                <w:kern w:val="2"/>
                <w:sz w:val="18"/>
                <w:szCs w:val="18"/>
                <w:lang w:val="en-US" w:eastAsia="zh-CN" w:bidi="ar-SA"/>
              </w:rPr>
              <w:t>人</w:t>
            </w:r>
          </w:p>
        </w:tc>
        <w:tc>
          <w:tcPr>
            <w:tcW w:w="2399" w:type="dxa"/>
            <w:vAlign w:val="top"/>
          </w:tcPr>
          <w:p>
            <w:pPr>
              <w:pStyle w:val="40"/>
              <w:spacing w:before="116" w:line="229" w:lineRule="auto"/>
              <w:ind w:left="11"/>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参</w:t>
            </w:r>
            <w:r>
              <w:rPr>
                <w:rFonts w:hint="eastAsia" w:ascii="宋体" w:hAnsi="宋体" w:eastAsia="宋体" w:cs="宋体"/>
                <w:kern w:val="2"/>
                <w:sz w:val="18"/>
                <w:szCs w:val="18"/>
                <w:lang w:val="en-US" w:eastAsia="zh-CN" w:bidi="ar-SA"/>
              </w:rPr>
              <w:t>训人员</w:t>
            </w:r>
          </w:p>
        </w:tc>
        <w:tc>
          <w:tcPr>
            <w:tcW w:w="2364" w:type="dxa"/>
            <w:vAlign w:val="top"/>
          </w:tcPr>
          <w:p>
            <w:pPr>
              <w:pStyle w:val="40"/>
              <w:spacing w:before="115" w:line="228" w:lineRule="auto"/>
              <w:ind w:left="12"/>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参</w:t>
            </w:r>
            <w:r>
              <w:rPr>
                <w:rFonts w:hint="eastAsia" w:ascii="宋体" w:hAnsi="宋体" w:eastAsia="宋体" w:cs="宋体"/>
                <w:kern w:val="2"/>
                <w:sz w:val="18"/>
                <w:szCs w:val="18"/>
                <w:lang w:val="en-US" w:eastAsia="zh-CN" w:bidi="ar-SA"/>
              </w:rPr>
              <w:t>训干部</w:t>
            </w:r>
            <w:r>
              <w:rPr>
                <w:rFonts w:hint="eastAsia" w:cs="宋体"/>
                <w:kern w:val="2"/>
                <w:sz w:val="18"/>
                <w:szCs w:val="18"/>
                <w:lang w:val="en-US" w:eastAsia="zh-CN" w:bidi="ar-SA"/>
              </w:rPr>
              <w:t>1115</w:t>
            </w:r>
            <w:r>
              <w:rPr>
                <w:rFonts w:hint="eastAsia" w:ascii="宋体" w:hAnsi="宋体" w:eastAsia="宋体" w:cs="宋体"/>
                <w:kern w:val="2"/>
                <w:sz w:val="18"/>
                <w:szCs w:val="18"/>
                <w:lang w:val="en-US" w:eastAsia="zh-CN" w:bidi="ar-SA"/>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24"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25"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33" w:type="dxa"/>
            <w:vAlign w:val="top"/>
          </w:tcPr>
          <w:p>
            <w:pPr>
              <w:pStyle w:val="40"/>
              <w:spacing w:before="116" w:line="229" w:lineRule="auto"/>
              <w:ind w:left="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质量指标</w:t>
            </w:r>
          </w:p>
        </w:tc>
        <w:tc>
          <w:tcPr>
            <w:tcW w:w="1339" w:type="dxa"/>
            <w:vAlign w:val="top"/>
          </w:tcPr>
          <w:p>
            <w:pPr>
              <w:pStyle w:val="40"/>
              <w:spacing w:before="116" w:line="228" w:lineRule="auto"/>
              <w:ind w:left="22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合格率</w:t>
            </w:r>
          </w:p>
        </w:tc>
        <w:tc>
          <w:tcPr>
            <w:tcW w:w="2399" w:type="dxa"/>
            <w:vAlign w:val="top"/>
          </w:tcPr>
          <w:p>
            <w:pPr>
              <w:pStyle w:val="40"/>
              <w:spacing w:before="116" w:line="269" w:lineRule="exact"/>
              <w:ind w:left="26"/>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100%</w:t>
            </w:r>
          </w:p>
        </w:tc>
        <w:tc>
          <w:tcPr>
            <w:tcW w:w="2364" w:type="dxa"/>
            <w:vAlign w:val="top"/>
          </w:tcPr>
          <w:p>
            <w:pPr>
              <w:pStyle w:val="40"/>
              <w:spacing w:before="116" w:line="269" w:lineRule="exact"/>
              <w:ind w:left="27"/>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024"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25"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33" w:type="dxa"/>
            <w:vAlign w:val="top"/>
          </w:tcPr>
          <w:p>
            <w:pPr>
              <w:pStyle w:val="40"/>
              <w:spacing w:before="116" w:line="229" w:lineRule="auto"/>
              <w:ind w:left="18"/>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时效指标</w:t>
            </w:r>
          </w:p>
        </w:tc>
        <w:tc>
          <w:tcPr>
            <w:tcW w:w="1339" w:type="dxa"/>
            <w:vAlign w:val="top"/>
          </w:tcPr>
          <w:p>
            <w:pPr>
              <w:pStyle w:val="40"/>
              <w:spacing w:before="116" w:line="228" w:lineRule="auto"/>
              <w:ind w:left="223"/>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完成时间</w:t>
            </w:r>
          </w:p>
        </w:tc>
        <w:tc>
          <w:tcPr>
            <w:tcW w:w="2399" w:type="dxa"/>
            <w:vAlign w:val="top"/>
          </w:tcPr>
          <w:p>
            <w:pPr>
              <w:pStyle w:val="40"/>
              <w:spacing w:before="116" w:line="228" w:lineRule="auto"/>
              <w:ind w:left="13"/>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2022</w:t>
            </w:r>
            <w:r>
              <w:rPr>
                <w:rFonts w:hint="eastAsia" w:ascii="宋体" w:hAnsi="宋体" w:eastAsia="宋体" w:cs="宋体"/>
                <w:kern w:val="2"/>
                <w:sz w:val="18"/>
                <w:szCs w:val="18"/>
                <w:lang w:val="en-US" w:eastAsia="zh-CN" w:bidi="ar-SA"/>
              </w:rPr>
              <w:t xml:space="preserve"> 年 12 月底</w:t>
            </w:r>
          </w:p>
        </w:tc>
        <w:tc>
          <w:tcPr>
            <w:tcW w:w="2364" w:type="dxa"/>
            <w:vAlign w:val="top"/>
          </w:tcPr>
          <w:p>
            <w:pPr>
              <w:pStyle w:val="40"/>
              <w:spacing w:before="116" w:line="228" w:lineRule="auto"/>
              <w:ind w:left="14"/>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2022</w:t>
            </w:r>
            <w:r>
              <w:rPr>
                <w:rFonts w:hint="eastAsia" w:ascii="宋体" w:hAnsi="宋体" w:eastAsia="宋体" w:cs="宋体"/>
                <w:kern w:val="2"/>
                <w:sz w:val="18"/>
                <w:szCs w:val="18"/>
                <w:lang w:val="en-US" w:eastAsia="zh-CN" w:bidi="ar-SA"/>
              </w:rPr>
              <w:t xml:space="preserve"> 年 12 月底完成。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024"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25"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33" w:type="dxa"/>
            <w:vAlign w:val="top"/>
          </w:tcPr>
          <w:p>
            <w:pPr>
              <w:pStyle w:val="40"/>
              <w:spacing w:before="114" w:line="228" w:lineRule="auto"/>
              <w:ind w:left="10"/>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成本指标</w:t>
            </w:r>
          </w:p>
        </w:tc>
        <w:tc>
          <w:tcPr>
            <w:tcW w:w="1339" w:type="dxa"/>
            <w:vAlign w:val="top"/>
          </w:tcPr>
          <w:p>
            <w:pPr>
              <w:pStyle w:val="40"/>
              <w:spacing w:before="114" w:line="228" w:lineRule="auto"/>
              <w:ind w:left="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成本控制</w:t>
            </w:r>
          </w:p>
        </w:tc>
        <w:tc>
          <w:tcPr>
            <w:tcW w:w="2399" w:type="dxa"/>
            <w:vAlign w:val="top"/>
          </w:tcPr>
          <w:p>
            <w:pPr>
              <w:pStyle w:val="40"/>
              <w:spacing w:before="114" w:line="229" w:lineRule="auto"/>
              <w:ind w:left="14"/>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 xml:space="preserve">不超过 </w:t>
            </w:r>
            <w:r>
              <w:rPr>
                <w:rFonts w:hint="eastAsia" w:cs="宋体"/>
                <w:kern w:val="2"/>
                <w:sz w:val="18"/>
                <w:szCs w:val="18"/>
                <w:lang w:val="en-US" w:eastAsia="zh-CN" w:bidi="ar-SA"/>
              </w:rPr>
              <w:t>17</w:t>
            </w:r>
            <w:r>
              <w:rPr>
                <w:rFonts w:hint="eastAsia" w:ascii="宋体" w:hAnsi="宋体" w:eastAsia="宋体" w:cs="宋体"/>
                <w:kern w:val="2"/>
                <w:sz w:val="18"/>
                <w:szCs w:val="18"/>
                <w:lang w:val="en-US" w:eastAsia="zh-CN" w:bidi="ar-SA"/>
              </w:rPr>
              <w:t>万元</w:t>
            </w:r>
          </w:p>
        </w:tc>
        <w:tc>
          <w:tcPr>
            <w:tcW w:w="2364" w:type="dxa"/>
            <w:vAlign w:val="top"/>
          </w:tcPr>
          <w:p>
            <w:pPr>
              <w:pStyle w:val="40"/>
              <w:spacing w:before="114" w:line="229" w:lineRule="auto"/>
              <w:ind w:left="15"/>
              <w:rPr>
                <w:rFonts w:hint="eastAsia" w:ascii="宋体" w:hAnsi="宋体" w:eastAsia="宋体" w:cs="宋体"/>
                <w:kern w:val="2"/>
                <w:sz w:val="18"/>
                <w:szCs w:val="18"/>
                <w:lang w:val="en-US" w:eastAsia="zh-CN" w:bidi="ar-SA"/>
              </w:rPr>
            </w:pPr>
            <w:r>
              <w:rPr>
                <w:rFonts w:hint="eastAsia" w:cs="宋体"/>
                <w:kern w:val="2"/>
                <w:sz w:val="18"/>
                <w:szCs w:val="18"/>
                <w:lang w:val="en-US" w:eastAsia="zh-CN" w:bidi="ar-SA"/>
              </w:rPr>
              <w:t>实际使用17</w:t>
            </w:r>
            <w:r>
              <w:rPr>
                <w:rFonts w:hint="eastAsia" w:ascii="宋体" w:hAnsi="宋体" w:eastAsia="宋体" w:cs="宋体"/>
                <w:kern w:val="2"/>
                <w:sz w:val="18"/>
                <w:szCs w:val="18"/>
                <w:lang w:val="en-US" w:eastAsia="zh-CN" w:bidi="ar-SA"/>
              </w:rPr>
              <w:t xml:space="preserve"> 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1024" w:type="dxa"/>
            <w:vMerge w:val="continue"/>
            <w:tcBorders>
              <w:top w:val="nil"/>
              <w:bottom w:val="nil"/>
            </w:tcBorders>
            <w:vAlign w:val="top"/>
          </w:tcPr>
          <w:p>
            <w:pPr>
              <w:rPr>
                <w:rFonts w:hint="eastAsia" w:ascii="宋体" w:hAnsi="宋体" w:eastAsia="宋体" w:cs="宋体"/>
                <w:kern w:val="2"/>
                <w:sz w:val="18"/>
                <w:szCs w:val="18"/>
                <w:lang w:val="en-US" w:eastAsia="zh-CN" w:bidi="ar-SA"/>
              </w:rPr>
            </w:pPr>
          </w:p>
        </w:tc>
        <w:tc>
          <w:tcPr>
            <w:tcW w:w="1025" w:type="dxa"/>
            <w:vMerge w:val="continue"/>
            <w:tcBorders>
              <w:top w:val="nil"/>
            </w:tcBorders>
            <w:vAlign w:val="top"/>
          </w:tcPr>
          <w:p>
            <w:pPr>
              <w:rPr>
                <w:rFonts w:hint="eastAsia" w:ascii="宋体" w:hAnsi="宋体" w:eastAsia="宋体" w:cs="宋体"/>
                <w:kern w:val="2"/>
                <w:sz w:val="18"/>
                <w:szCs w:val="18"/>
                <w:lang w:val="en-US" w:eastAsia="zh-CN" w:bidi="ar-SA"/>
              </w:rPr>
            </w:pPr>
          </w:p>
        </w:tc>
        <w:tc>
          <w:tcPr>
            <w:tcW w:w="1033" w:type="dxa"/>
            <w:vAlign w:val="top"/>
          </w:tcPr>
          <w:p>
            <w:pPr>
              <w:pStyle w:val="40"/>
              <w:spacing w:before="229"/>
              <w:ind w:left="10" w:right="18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社会效益 指标</w:t>
            </w:r>
          </w:p>
        </w:tc>
        <w:tc>
          <w:tcPr>
            <w:tcW w:w="1339" w:type="dxa"/>
            <w:vAlign w:val="top"/>
          </w:tcPr>
          <w:p>
            <w:pPr>
              <w:spacing w:line="300" w:lineRule="auto"/>
              <w:rPr>
                <w:rFonts w:hint="eastAsia" w:ascii="宋体" w:hAnsi="宋体" w:eastAsia="宋体" w:cs="宋体"/>
                <w:kern w:val="2"/>
                <w:sz w:val="18"/>
                <w:szCs w:val="18"/>
                <w:lang w:val="en-US" w:eastAsia="zh-CN" w:bidi="ar-SA"/>
              </w:rPr>
            </w:pPr>
          </w:p>
          <w:p>
            <w:pPr>
              <w:pStyle w:val="40"/>
              <w:spacing w:before="65" w:line="228" w:lineRule="auto"/>
              <w:ind w:left="1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社会效益指标</w:t>
            </w:r>
          </w:p>
        </w:tc>
        <w:tc>
          <w:tcPr>
            <w:tcW w:w="2399" w:type="dxa"/>
            <w:vAlign w:val="top"/>
          </w:tcPr>
          <w:p>
            <w:pPr>
              <w:pStyle w:val="40"/>
              <w:spacing w:before="114" w:line="228" w:lineRule="auto"/>
              <w:ind w:left="11"/>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提升干部执政、参政能力</w:t>
            </w:r>
          </w:p>
        </w:tc>
        <w:tc>
          <w:tcPr>
            <w:tcW w:w="2364" w:type="dxa"/>
            <w:vAlign w:val="top"/>
          </w:tcPr>
          <w:p>
            <w:pPr>
              <w:pStyle w:val="40"/>
              <w:spacing w:before="114"/>
              <w:ind w:left="12" w:right="46"/>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提升干部知识更新、与时 俱进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1024" w:type="dxa"/>
            <w:vMerge w:val="continue"/>
            <w:tcBorders>
              <w:top w:val="nil"/>
            </w:tcBorders>
            <w:vAlign w:val="top"/>
          </w:tcPr>
          <w:p>
            <w:pPr>
              <w:rPr>
                <w:rFonts w:hint="eastAsia" w:ascii="宋体" w:hAnsi="宋体" w:eastAsia="宋体" w:cs="宋体"/>
                <w:kern w:val="2"/>
                <w:sz w:val="18"/>
                <w:szCs w:val="18"/>
                <w:lang w:val="en-US" w:eastAsia="zh-CN" w:bidi="ar-SA"/>
              </w:rPr>
            </w:pPr>
          </w:p>
        </w:tc>
        <w:tc>
          <w:tcPr>
            <w:tcW w:w="1025" w:type="dxa"/>
            <w:vAlign w:val="top"/>
          </w:tcPr>
          <w:p>
            <w:pPr>
              <w:pStyle w:val="40"/>
              <w:spacing w:before="114" w:line="241" w:lineRule="auto"/>
              <w:ind w:left="9" w:right="181"/>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满意度指 标</w:t>
            </w:r>
          </w:p>
        </w:tc>
        <w:tc>
          <w:tcPr>
            <w:tcW w:w="1033" w:type="dxa"/>
            <w:vAlign w:val="top"/>
          </w:tcPr>
          <w:p>
            <w:pPr>
              <w:pStyle w:val="40"/>
              <w:spacing w:before="114" w:line="241" w:lineRule="auto"/>
              <w:ind w:left="9" w:right="18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满意度指 标</w:t>
            </w:r>
          </w:p>
        </w:tc>
        <w:tc>
          <w:tcPr>
            <w:tcW w:w="1339" w:type="dxa"/>
            <w:vAlign w:val="top"/>
          </w:tcPr>
          <w:p>
            <w:pPr>
              <w:pStyle w:val="40"/>
              <w:spacing w:before="115" w:line="353" w:lineRule="exact"/>
              <w:ind w:left="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干部满</w:t>
            </w:r>
          </w:p>
          <w:p>
            <w:pPr>
              <w:pStyle w:val="40"/>
              <w:spacing w:line="229" w:lineRule="auto"/>
              <w:ind w:left="16"/>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意度</w:t>
            </w:r>
          </w:p>
        </w:tc>
        <w:tc>
          <w:tcPr>
            <w:tcW w:w="2399" w:type="dxa"/>
            <w:vAlign w:val="top"/>
          </w:tcPr>
          <w:p>
            <w:pPr>
              <w:pStyle w:val="40"/>
              <w:spacing w:before="115" w:line="267" w:lineRule="exact"/>
              <w:ind w:left="31"/>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≥9</w:t>
            </w:r>
            <w:r>
              <w:rPr>
                <w:rFonts w:hint="eastAsia" w:cs="宋体"/>
                <w:kern w:val="2"/>
                <w:sz w:val="18"/>
                <w:szCs w:val="18"/>
                <w:lang w:val="en-US" w:eastAsia="zh-CN" w:bidi="ar-SA"/>
              </w:rPr>
              <w:t>9</w:t>
            </w:r>
            <w:r>
              <w:rPr>
                <w:rFonts w:hint="eastAsia" w:ascii="宋体" w:hAnsi="宋体" w:eastAsia="宋体" w:cs="宋体"/>
                <w:kern w:val="2"/>
                <w:sz w:val="18"/>
                <w:szCs w:val="18"/>
                <w:lang w:val="en-US" w:eastAsia="zh-CN" w:bidi="ar-SA"/>
              </w:rPr>
              <w:t>%</w:t>
            </w:r>
          </w:p>
        </w:tc>
        <w:tc>
          <w:tcPr>
            <w:tcW w:w="2364" w:type="dxa"/>
            <w:vAlign w:val="top"/>
          </w:tcPr>
          <w:p>
            <w:pPr>
              <w:pStyle w:val="40"/>
              <w:spacing w:before="115" w:line="267" w:lineRule="exact"/>
              <w:ind w:left="32"/>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≥9</w:t>
            </w:r>
            <w:r>
              <w:rPr>
                <w:rFonts w:hint="eastAsia" w:cs="宋体"/>
                <w:kern w:val="2"/>
                <w:sz w:val="18"/>
                <w:szCs w:val="18"/>
                <w:lang w:val="en-US" w:eastAsia="zh-CN" w:bidi="ar-SA"/>
              </w:rPr>
              <w:t>9</w:t>
            </w:r>
            <w:r>
              <w:rPr>
                <w:rFonts w:hint="eastAsia" w:ascii="宋体" w:hAnsi="宋体" w:eastAsia="宋体" w:cs="宋体"/>
                <w:kern w:val="2"/>
                <w:sz w:val="18"/>
                <w:szCs w:val="18"/>
                <w:lang w:val="en-US" w:eastAsia="zh-CN" w:bidi="ar-SA"/>
              </w:rPr>
              <w:t>%</w:t>
            </w:r>
          </w:p>
        </w:tc>
      </w:tr>
    </w:tbl>
    <w:p>
      <w:pPr>
        <w:rPr>
          <w:rFonts w:ascii="Arial"/>
          <w:sz w:val="21"/>
        </w:rPr>
      </w:pPr>
    </w:p>
    <w:p>
      <w:pPr>
        <w:rPr>
          <w:rFonts w:ascii="Arial" w:hAnsi="Arial" w:eastAsia="Arial" w:cs="Arial"/>
          <w:sz w:val="21"/>
          <w:szCs w:val="21"/>
        </w:rPr>
        <w:sectPr>
          <w:footerReference r:id="rId7" w:type="default"/>
          <w:pgSz w:w="11900" w:h="16820"/>
          <w:pgMar w:top="1429" w:right="1122" w:bottom="1866" w:left="1588" w:header="0" w:footer="1701" w:gutter="0"/>
          <w:pgNumType w:fmt="decimal" w:start="23"/>
          <w:cols w:space="720" w:num="1"/>
        </w:sectPr>
      </w:pPr>
    </w:p>
    <w:p>
      <w:pPr>
        <w:spacing w:line="257" w:lineRule="auto"/>
        <w:rPr>
          <w:rFonts w:ascii="Arial"/>
          <w:sz w:val="21"/>
        </w:rPr>
      </w:pPr>
    </w:p>
    <w:p>
      <w:pPr>
        <w:spacing w:line="257" w:lineRule="auto"/>
        <w:rPr>
          <w:rFonts w:ascii="Arial"/>
          <w:sz w:val="21"/>
        </w:rPr>
      </w:pPr>
    </w:p>
    <w:p>
      <w:pPr>
        <w:spacing w:before="140" w:line="225" w:lineRule="auto"/>
        <w:ind w:left="2842"/>
        <w:rPr>
          <w:rFonts w:ascii="黑体" w:hAnsi="黑体" w:eastAsia="黑体" w:cs="黑体"/>
          <w:sz w:val="43"/>
          <w:szCs w:val="43"/>
        </w:rPr>
      </w:pPr>
      <w:r>
        <w:rPr>
          <w:rFonts w:ascii="黑体" w:hAnsi="黑体" w:eastAsia="黑体" w:cs="黑体"/>
          <w:spacing w:val="-1"/>
          <w:sz w:val="43"/>
          <w:szCs w:val="43"/>
        </w:rPr>
        <w:t>第五部份</w:t>
      </w:r>
      <w:r>
        <w:rPr>
          <w:rFonts w:ascii="黑体" w:hAnsi="黑体" w:eastAsia="黑体" w:cs="黑体"/>
          <w:spacing w:val="28"/>
          <w:sz w:val="43"/>
          <w:szCs w:val="43"/>
        </w:rPr>
        <w:t xml:space="preserve">  </w:t>
      </w:r>
      <w:r>
        <w:rPr>
          <w:rFonts w:ascii="黑体" w:hAnsi="黑体" w:eastAsia="黑体" w:cs="黑体"/>
          <w:spacing w:val="-1"/>
          <w:sz w:val="43"/>
          <w:szCs w:val="43"/>
        </w:rPr>
        <w:t>附表</w:t>
      </w:r>
    </w:p>
    <w:p>
      <w:pPr>
        <w:spacing w:line="310" w:lineRule="auto"/>
        <w:rPr>
          <w:rFonts w:ascii="Arial"/>
          <w:sz w:val="21"/>
        </w:rPr>
      </w:pPr>
    </w:p>
    <w:p>
      <w:pPr>
        <w:spacing w:line="311" w:lineRule="auto"/>
        <w:rPr>
          <w:rFonts w:hint="eastAsia" w:ascii="宋体" w:hAnsi="宋体" w:eastAsia="宋体" w:cs="宋体"/>
          <w:kern w:val="2"/>
          <w:sz w:val="28"/>
          <w:szCs w:val="28"/>
          <w:lang w:val="en-US" w:eastAsia="zh-CN" w:bidi="ar-SA"/>
        </w:rPr>
      </w:pPr>
    </w:p>
    <w:p>
      <w:pPr>
        <w:pStyle w:val="2"/>
        <w:spacing w:before="98" w:line="518" w:lineRule="exact"/>
        <w:ind w:left="464"/>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一、收入支出决算总表</w:t>
      </w:r>
    </w:p>
    <w:p>
      <w:pPr>
        <w:pStyle w:val="2"/>
        <w:spacing w:line="226" w:lineRule="auto"/>
        <w:ind w:left="464"/>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二、收入决算表</w:t>
      </w:r>
    </w:p>
    <w:p>
      <w:pPr>
        <w:pStyle w:val="2"/>
        <w:spacing w:before="153" w:line="226" w:lineRule="auto"/>
        <w:ind w:left="45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三、支出决算表</w:t>
      </w:r>
    </w:p>
    <w:p>
      <w:pPr>
        <w:pStyle w:val="2"/>
        <w:spacing w:before="153" w:line="518" w:lineRule="exact"/>
        <w:ind w:left="488"/>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四、财政拨款收入支出决算总表</w:t>
      </w:r>
    </w:p>
    <w:p>
      <w:pPr>
        <w:pStyle w:val="2"/>
        <w:spacing w:before="1" w:line="226" w:lineRule="auto"/>
        <w:ind w:left="464"/>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五、财政拨款支出决算明细表</w:t>
      </w:r>
    </w:p>
    <w:p>
      <w:pPr>
        <w:pStyle w:val="2"/>
        <w:spacing w:before="153" w:line="226" w:lineRule="auto"/>
        <w:ind w:left="461"/>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六、一般公共预算财政拨款支出决算表</w:t>
      </w:r>
    </w:p>
    <w:p>
      <w:pPr>
        <w:pStyle w:val="2"/>
        <w:spacing w:before="153" w:line="519" w:lineRule="exact"/>
        <w:ind w:left="457"/>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七、一般公共预算财政拨款支出决算明细表</w:t>
      </w:r>
    </w:p>
    <w:p>
      <w:pPr>
        <w:pStyle w:val="2"/>
        <w:spacing w:before="1" w:line="225" w:lineRule="auto"/>
        <w:ind w:left="464"/>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八、一般公共预算财政拨款基本支出决算表</w:t>
      </w:r>
    </w:p>
    <w:p>
      <w:pPr>
        <w:pStyle w:val="2"/>
        <w:spacing w:before="154" w:line="226" w:lineRule="auto"/>
        <w:ind w:left="466"/>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九、一般公共预算财政拨款项目支出决算表</w:t>
      </w:r>
    </w:p>
    <w:p>
      <w:pPr>
        <w:pStyle w:val="2"/>
        <w:spacing w:before="154" w:line="518" w:lineRule="exact"/>
        <w:ind w:left="46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十、一般公共预算财政拨款“三公”经费支出决算表</w:t>
      </w:r>
    </w:p>
    <w:p>
      <w:pPr>
        <w:pStyle w:val="2"/>
        <w:spacing w:before="1" w:line="225" w:lineRule="auto"/>
        <w:ind w:left="46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十一、政府性基金预算财政拨款收入支出决算表</w:t>
      </w:r>
    </w:p>
    <w:p>
      <w:pPr>
        <w:pStyle w:val="2"/>
        <w:spacing w:before="154" w:line="521" w:lineRule="exact"/>
        <w:ind w:left="46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十二、政府性基金预算财政拨款“三公”经费支出决算表</w:t>
      </w:r>
    </w:p>
    <w:p>
      <w:pPr>
        <w:pStyle w:val="2"/>
        <w:spacing w:before="1" w:line="225" w:lineRule="auto"/>
        <w:ind w:left="46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十三、国有资本经营预算财政拨款收入支出决算表</w:t>
      </w:r>
    </w:p>
    <w:p>
      <w:pPr>
        <w:pStyle w:val="2"/>
        <w:spacing w:before="151" w:line="226" w:lineRule="auto"/>
        <w:ind w:left="460"/>
        <w:rPr>
          <w:sz w:val="32"/>
          <w:lang w:val="zh-CN"/>
        </w:rPr>
      </w:pPr>
      <w:r>
        <w:rPr>
          <w:rFonts w:hint="eastAsia" w:ascii="宋体" w:hAnsi="宋体" w:eastAsia="宋体" w:cs="宋体"/>
          <w:kern w:val="2"/>
          <w:sz w:val="28"/>
          <w:szCs w:val="28"/>
          <w:lang w:val="en-US" w:eastAsia="zh-CN" w:bidi="ar-SA"/>
        </w:rPr>
        <w:t>十四、国有资本经营预算财政拨款支出决算表</w:t>
      </w:r>
      <w:bookmarkEnd w:id="53"/>
    </w:p>
    <w:bookmarkEnd w:id="54"/>
    <w:p>
      <w:pPr>
        <w:pStyle w:val="16"/>
        <w:spacing w:line="560" w:lineRule="exact"/>
        <w:ind w:left="0" w:leftChars="0" w:firstLine="0" w:firstLineChars="0"/>
        <w:rPr>
          <w:rFonts w:hint="eastAsia"/>
          <w:sz w:val="32"/>
          <w:lang w:val="en-US" w:eastAsia="zh-CN"/>
        </w:rPr>
      </w:pPr>
    </w:p>
    <w:sectPr>
      <w:footerReference r:id="rId10" w:type="first"/>
      <w:headerReference r:id="rId8" w:type="default"/>
      <w:footerReference r:id="rId9" w:type="default"/>
      <w:pgSz w:w="11906" w:h="16838"/>
      <w:pgMar w:top="1440" w:right="1689" w:bottom="1440" w:left="1800"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大黑简体">
    <w:panose1 w:val="03000509000000000000"/>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20</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23</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23</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27</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27</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C63D1"/>
    <w:multiLevelType w:val="singleLevel"/>
    <w:tmpl w:val="99FC63D1"/>
    <w:lvl w:ilvl="0" w:tentative="0">
      <w:start w:val="2"/>
      <w:numFmt w:val="chineseCounting"/>
      <w:suff w:val="space"/>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96726"/>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1875899"/>
    <w:rsid w:val="02143E91"/>
    <w:rsid w:val="066E0107"/>
    <w:rsid w:val="07996F6E"/>
    <w:rsid w:val="0A2032A3"/>
    <w:rsid w:val="0A6C35F4"/>
    <w:rsid w:val="0BB10633"/>
    <w:rsid w:val="0F98263C"/>
    <w:rsid w:val="101860EC"/>
    <w:rsid w:val="10C055FF"/>
    <w:rsid w:val="118107EC"/>
    <w:rsid w:val="13D50BC4"/>
    <w:rsid w:val="15581DAD"/>
    <w:rsid w:val="16BB723D"/>
    <w:rsid w:val="1A736693"/>
    <w:rsid w:val="1BE8440E"/>
    <w:rsid w:val="1C4407B2"/>
    <w:rsid w:val="1D155CEE"/>
    <w:rsid w:val="1FF35744"/>
    <w:rsid w:val="20693872"/>
    <w:rsid w:val="20B06526"/>
    <w:rsid w:val="20F052F3"/>
    <w:rsid w:val="23860B96"/>
    <w:rsid w:val="240371BF"/>
    <w:rsid w:val="244A3003"/>
    <w:rsid w:val="29FD04D3"/>
    <w:rsid w:val="2B345DDC"/>
    <w:rsid w:val="2C8A61B5"/>
    <w:rsid w:val="2D9A17D1"/>
    <w:rsid w:val="2DF04E50"/>
    <w:rsid w:val="2DF06932"/>
    <w:rsid w:val="2F040D46"/>
    <w:rsid w:val="319F7F4E"/>
    <w:rsid w:val="3304709D"/>
    <w:rsid w:val="342A4220"/>
    <w:rsid w:val="356D4E7A"/>
    <w:rsid w:val="35F24CDB"/>
    <w:rsid w:val="36AA5135"/>
    <w:rsid w:val="376D39B2"/>
    <w:rsid w:val="37E16F03"/>
    <w:rsid w:val="38455ACD"/>
    <w:rsid w:val="38A475FF"/>
    <w:rsid w:val="38D469F0"/>
    <w:rsid w:val="3AF9494C"/>
    <w:rsid w:val="3B441B0F"/>
    <w:rsid w:val="3BD70764"/>
    <w:rsid w:val="3D98207C"/>
    <w:rsid w:val="3DB04665"/>
    <w:rsid w:val="3E501AE7"/>
    <w:rsid w:val="3E78745D"/>
    <w:rsid w:val="3FF24BB7"/>
    <w:rsid w:val="3FF84B7E"/>
    <w:rsid w:val="416903E2"/>
    <w:rsid w:val="44E268DA"/>
    <w:rsid w:val="467964D4"/>
    <w:rsid w:val="47FA3485"/>
    <w:rsid w:val="48B77F34"/>
    <w:rsid w:val="4A627F82"/>
    <w:rsid w:val="4A9C641A"/>
    <w:rsid w:val="4B0E749A"/>
    <w:rsid w:val="4B344263"/>
    <w:rsid w:val="4B4F25DA"/>
    <w:rsid w:val="4BE068DB"/>
    <w:rsid w:val="4D577224"/>
    <w:rsid w:val="4E6525CD"/>
    <w:rsid w:val="4EAB630A"/>
    <w:rsid w:val="4ECE2238"/>
    <w:rsid w:val="4F530677"/>
    <w:rsid w:val="4F9F1A62"/>
    <w:rsid w:val="501C37FA"/>
    <w:rsid w:val="513955E1"/>
    <w:rsid w:val="53664ACD"/>
    <w:rsid w:val="537667DB"/>
    <w:rsid w:val="537E6D0A"/>
    <w:rsid w:val="56184CA5"/>
    <w:rsid w:val="566639CB"/>
    <w:rsid w:val="58F845EC"/>
    <w:rsid w:val="5AE32755"/>
    <w:rsid w:val="5AF92295"/>
    <w:rsid w:val="5C7D5F8B"/>
    <w:rsid w:val="5CD71FC4"/>
    <w:rsid w:val="5DFD7096"/>
    <w:rsid w:val="607B45AB"/>
    <w:rsid w:val="61847BFA"/>
    <w:rsid w:val="61B17957"/>
    <w:rsid w:val="63972DD1"/>
    <w:rsid w:val="65067EAC"/>
    <w:rsid w:val="664A412A"/>
    <w:rsid w:val="66B71094"/>
    <w:rsid w:val="67A84228"/>
    <w:rsid w:val="68BD7347"/>
    <w:rsid w:val="68D634A8"/>
    <w:rsid w:val="6ABF1DF8"/>
    <w:rsid w:val="6B780B60"/>
    <w:rsid w:val="6C4A05C8"/>
    <w:rsid w:val="6C814479"/>
    <w:rsid w:val="6E7E3605"/>
    <w:rsid w:val="6FF5CC65"/>
    <w:rsid w:val="70932B72"/>
    <w:rsid w:val="715C0E4B"/>
    <w:rsid w:val="72734D90"/>
    <w:rsid w:val="729609C1"/>
    <w:rsid w:val="73AD73D5"/>
    <w:rsid w:val="73B6EB34"/>
    <w:rsid w:val="744731E5"/>
    <w:rsid w:val="76E3355F"/>
    <w:rsid w:val="771D4F43"/>
    <w:rsid w:val="778769C8"/>
    <w:rsid w:val="78A230DC"/>
    <w:rsid w:val="791C1007"/>
    <w:rsid w:val="79EE5BA4"/>
    <w:rsid w:val="7A894339"/>
    <w:rsid w:val="7EE67043"/>
    <w:rsid w:val="7EEF11D3"/>
    <w:rsid w:val="7F517BDB"/>
    <w:rsid w:val="7F99178E"/>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w:basedOn w:val="1"/>
    <w:link w:val="41"/>
    <w:qFormat/>
    <w:uiPriority w:val="99"/>
    <w:pPr>
      <w:spacing w:beforeLines="30"/>
    </w:pPr>
    <w:rPr>
      <w:rFonts w:ascii="仿宋_GB2312" w:eastAsia="仿宋_GB2312"/>
      <w:kern w:val="0"/>
      <w:sz w:val="30"/>
    </w:rPr>
  </w:style>
  <w:style w:type="paragraph" w:styleId="6">
    <w:name w:val="Normal Indent"/>
    <w:basedOn w:val="1"/>
    <w:qFormat/>
    <w:uiPriority w:val="0"/>
    <w:pPr>
      <w:ind w:firstLine="420" w:firstLineChars="200"/>
    </w:p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w:basedOn w:val="2"/>
    <w:qFormat/>
    <w:uiPriority w:val="0"/>
    <w:pPr>
      <w:ind w:firstLine="420" w:firstLineChars="100"/>
    </w:pPr>
  </w:style>
  <w:style w:type="paragraph" w:styleId="16">
    <w:name w:val="Body Text First Indent 2"/>
    <w:basedOn w:val="7"/>
    <w:next w:val="15"/>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引用1"/>
    <w:basedOn w:val="1"/>
    <w:next w:val="1"/>
    <w:qFormat/>
    <w:uiPriority w:val="29"/>
    <w:pPr>
      <w:spacing w:line="500" w:lineRule="exact"/>
      <w:ind w:firstLine="200" w:firstLineChars="200"/>
    </w:pPr>
    <w:rPr>
      <w:rFonts w:ascii="Times New Roman" w:hAnsi="Times New Roman"/>
      <w:i/>
      <w:sz w:val="28"/>
      <w:szCs w:val="24"/>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字符"/>
    <w:link w:val="11"/>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字符"/>
    <w:link w:val="10"/>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字符"/>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8"/>
    <w:link w:val="3"/>
    <w:qFormat/>
    <w:uiPriority w:val="9"/>
    <w:rPr>
      <w:rFonts w:ascii="Times New Roman" w:hAnsi="Times New Roman"/>
      <w:b/>
      <w:bCs/>
      <w:kern w:val="44"/>
      <w:sz w:val="44"/>
      <w:szCs w:val="44"/>
    </w:rPr>
  </w:style>
  <w:style w:type="character" w:customStyle="1" w:styleId="32">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8"/>
    <w:link w:val="9"/>
    <w:semiHidden/>
    <w:qFormat/>
    <w:uiPriority w:val="99"/>
    <w:rPr>
      <w:rFonts w:ascii="Times New Roman" w:hAnsi="Times New Roman"/>
      <w:kern w:val="2"/>
      <w:sz w:val="18"/>
      <w:szCs w:val="18"/>
    </w:rPr>
  </w:style>
  <w:style w:type="character" w:customStyle="1" w:styleId="35">
    <w:name w:val="标题 3 字符"/>
    <w:basedOn w:val="18"/>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NormalCharacter"/>
    <w:qFormat/>
    <w:uiPriority w:val="0"/>
  </w:style>
  <w:style w:type="table" w:customStyle="1" w:styleId="39">
    <w:name w:val="Table Normal"/>
    <w:semiHidden/>
    <w:unhideWhenUsed/>
    <w:qFormat/>
    <w:uiPriority w:val="0"/>
    <w:tblPr>
      <w:tblCellMar>
        <w:top w:w="0" w:type="dxa"/>
        <w:left w:w="0" w:type="dxa"/>
        <w:bottom w:w="0" w:type="dxa"/>
        <w:right w:w="0" w:type="dxa"/>
      </w:tblCellMar>
    </w:tblPr>
  </w:style>
  <w:style w:type="paragraph" w:customStyle="1" w:styleId="40">
    <w:name w:val="Table Text"/>
    <w:basedOn w:val="1"/>
    <w:semiHidden/>
    <w:qFormat/>
    <w:uiPriority w:val="0"/>
    <w:rPr>
      <w:rFonts w:ascii="宋体" w:hAnsi="宋体" w:eastAsia="宋体" w:cs="宋体"/>
      <w:sz w:val="20"/>
      <w:szCs w:val="20"/>
      <w:lang w:val="en-US" w:eastAsia="en-US" w:bidi="ar-SA"/>
    </w:rPr>
  </w:style>
  <w:style w:type="character" w:customStyle="1" w:styleId="41">
    <w:name w:val="正文文本 Char"/>
    <w:basedOn w:val="18"/>
    <w:link w:val="2"/>
    <w:qFormat/>
    <w:uiPriority w:val="0"/>
    <w:rPr>
      <w:rFonts w:hint="default"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207.88</c:v>
                </c:pt>
                <c:pt idx="1">
                  <c:v>219.33</c:v>
                </c:pt>
              </c:numCache>
            </c:numRef>
          </c:val>
        </c:ser>
        <c:dLbls>
          <c:showLegendKey val="false"/>
          <c:showVal val="true"/>
          <c:showCatName val="false"/>
          <c:showSerName val="false"/>
          <c:showPercent val="false"/>
          <c:showBubbleSize val="false"/>
        </c:dLbls>
        <c:gapWidth val="150"/>
        <c:axId val="132649344"/>
        <c:axId val="132650880"/>
      </c:barChart>
      <c:catAx>
        <c:axId val="13264934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50880"/>
        <c:crosses val="autoZero"/>
        <c:auto val="true"/>
        <c:lblAlgn val="ctr"/>
        <c:lblOffset val="100"/>
        <c:noMultiLvlLbl val="false"/>
      </c:catAx>
      <c:valAx>
        <c:axId val="132650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false"/>
      <c:spPr>
        <a:noFill/>
        <a:ln>
          <a:noFill/>
        </a:ln>
        <a:effectLst/>
      </c:spPr>
    </c:title>
    <c:autoTitleDeleted val="false"/>
    <c:plotArea>
      <c:layout>
        <c:manualLayout>
          <c:layoutTarget val="inner"/>
          <c:xMode val="edge"/>
          <c:yMode val="edge"/>
          <c:x val="0.342013888888889"/>
          <c:y val="0.176388888888889"/>
          <c:w val="0.324305555555556"/>
          <c:h val="0.540509259259259"/>
        </c:manualLayout>
      </c:layout>
      <c:pieChart>
        <c:varyColors val="true"/>
        <c:ser>
          <c:idx val="0"/>
          <c:order val="0"/>
          <c:spPr/>
          <c:explosion val="0"/>
          <c:dLbls>
            <c:delete val="true"/>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formatCode="0%">
                  <c:v>0</c:v>
                </c:pt>
                <c:pt idx="2" c:formatCode="0%">
                  <c:v>0</c:v>
                </c:pt>
                <c:pt idx="3" c:formatCode="0%">
                  <c:v>0</c:v>
                </c:pt>
                <c:pt idx="4">
                  <c:v>0</c:v>
                </c:pt>
                <c:pt idx="5" c:formatCode="0%">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6"/>
          <c:h val="0.689814814814815"/>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0.9225</c:v>
                </c:pt>
                <c:pt idx="1">
                  <c:v>0.0775</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9"/>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207.88</c:v>
                </c:pt>
                <c:pt idx="1">
                  <c:v>219.33</c:v>
                </c:pt>
              </c:numCache>
            </c:numRef>
          </c:val>
        </c:ser>
        <c:dLbls>
          <c:showLegendKey val="false"/>
          <c:showVal val="true"/>
          <c:showCatName val="false"/>
          <c:showSerName val="false"/>
          <c:showPercent val="false"/>
          <c:showBubbleSize val="false"/>
        </c:dLbls>
        <c:gapWidth val="150"/>
        <c:axId val="133066112"/>
        <c:axId val="133084288"/>
      </c:barChart>
      <c:catAx>
        <c:axId val="1330661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084288"/>
        <c:crosses val="autoZero"/>
        <c:auto val="true"/>
        <c:lblAlgn val="ctr"/>
        <c:lblOffset val="100"/>
        <c:noMultiLvlLbl val="false"/>
      </c:catAx>
      <c:valAx>
        <c:axId val="13308428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5"/>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207.88</c:v>
                </c:pt>
                <c:pt idx="1">
                  <c:v>219.33</c:v>
                </c:pt>
              </c:numCache>
            </c:numRef>
          </c:val>
        </c:ser>
        <c:dLbls>
          <c:showLegendKey val="false"/>
          <c:showVal val="true"/>
          <c:showCatName val="false"/>
          <c:showSerName val="false"/>
          <c:showPercent val="false"/>
          <c:showBubbleSize val="false"/>
        </c:dLbls>
        <c:gapWidth val="150"/>
        <c:axId val="133142016"/>
        <c:axId val="133143552"/>
      </c:barChart>
      <c:catAx>
        <c:axId val="1331420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143552"/>
        <c:crosses val="autoZero"/>
        <c:auto val="true"/>
        <c:lblAlgn val="ctr"/>
        <c:lblOffset val="100"/>
        <c:noMultiLvlLbl val="false"/>
      </c:catAx>
      <c:valAx>
        <c:axId val="13314355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66388888888889"/>
          <c:y val="0.104814814814815"/>
          <c:w val="0.474222222222222"/>
          <c:h val="0.79037037037037"/>
        </c:manualLayout>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1"/>
                  <c:y val="0.097738043161271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[决算公开插图制作示例.xlsx]图6!$A$2:$A$5</c:f>
              <c:strCache>
                <c:ptCount val="4"/>
                <c:pt idx="0">
                  <c:v>教育（类）支出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189.63</c:v>
                </c:pt>
                <c:pt idx="1">
                  <c:v>13.7</c:v>
                </c:pt>
                <c:pt idx="2">
                  <c:v>7.56</c:v>
                </c:pt>
                <c:pt idx="3">
                  <c:v>8.44</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3112472160356"/>
          <c:y val="0.112477987421384"/>
          <c:w val="0.433017817371938"/>
          <c:h val="0.782591194968553"/>
        </c:manualLayout>
      </c:layout>
      <c:pieChart>
        <c:varyColors val="true"/>
        <c:ser>
          <c:idx val="0"/>
          <c:order val="0"/>
          <c:explosion val="0"/>
          <c:dPt>
            <c:idx val="0"/>
            <c:bubble3D val="false"/>
          </c:dPt>
          <c:dPt>
            <c:idx val="1"/>
            <c:bubble3D val="false"/>
          </c:dPt>
          <c:dPt>
            <c:idx val="2"/>
            <c:bubble3D val="false"/>
          </c:dPt>
          <c:dLbls>
            <c:dLbl>
              <c:idx val="0"/>
              <c:layout>
                <c:manualLayout>
                  <c:x val="-0.0303979871097459"/>
                  <c:y val="-0.021282296640854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0.76</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07"/>
          <c:y val="0.34151738973956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14129</Words>
  <Characters>14878</Characters>
  <Lines>58</Lines>
  <Paragraphs>16</Paragraphs>
  <TotalTime>18</TotalTime>
  <ScaleCrop>false</ScaleCrop>
  <LinksUpToDate>false</LinksUpToDate>
  <CharactersWithSpaces>15226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2023-11-30T09:25:39Z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81CB3081E07A4989959C459DE5B873F4_13</vt:lpwstr>
  </property>
</Properties>
</file>