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outlineLvl w:val="0"/>
        <w:rPr>
          <w:rFonts w:ascii="方正小标宋简体" w:hAnsi="宋体" w:eastAsia="方正小标宋简体"/>
          <w:sz w:val="72"/>
          <w:szCs w:val="72"/>
        </w:rPr>
      </w:pPr>
      <w:bookmarkStart w:id="73" w:name="_GoBack"/>
      <w:bookmarkEnd w:id="73"/>
      <w:bookmarkStart w:id="0" w:name="_Toc15377193"/>
      <w:bookmarkStart w:id="1" w:name="_Toc15378441"/>
      <w:bookmarkStart w:id="2" w:name="_Toc15396597"/>
      <w:bookmarkStart w:id="3" w:name="_Toc15377425"/>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pStyle w:val="2"/>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96476"/>
      <w:bookmarkStart w:id="8" w:name="_Toc15377426"/>
      <w:bookmarkStart w:id="9" w:name="_Toc15377194"/>
      <w:bookmarkStart w:id="10" w:name="_Toc15378442"/>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宋体" w:eastAsia="方正小标宋简体"/>
          <w:color w:val="000000"/>
          <w:sz w:val="72"/>
          <w:szCs w:val="72"/>
          <w:lang w:eastAsia="zh-CN"/>
        </w:rPr>
        <w:t>红十字会</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17</w:t>
      </w:r>
      <w:r>
        <w:rPr>
          <w:rFonts w:hint="eastAsia"/>
        </w:rPr>
        <w:t>日</w:t>
      </w:r>
    </w:p>
    <w:p/>
    <w:p>
      <w:pPr>
        <w:pStyle w:val="12"/>
        <w:adjustRightInd w:val="0"/>
        <w:snapToGrid w:val="0"/>
        <w:spacing w:before="0" w:line="440" w:lineRule="exact"/>
        <w:jc w:val="left"/>
        <w:rPr>
          <w:rFonts w:hint="eastAsia" w:ascii="Times New Roman" w:hAnsi="Times New Roman" w:eastAsia="宋体" w:cs="Times New Roman"/>
          <w:kern w:val="2"/>
          <w:sz w:val="24"/>
          <w:szCs w:val="24"/>
          <w:u w:val="none"/>
          <w:lang w:val="en-US" w:eastAsia="zh-CN" w:bidi="ar-SA"/>
        </w:rPr>
      </w:pPr>
      <w:r>
        <w:rPr>
          <w:rFonts w:hint="eastAsia"/>
          <w:sz w:val="24"/>
        </w:rPr>
        <w:t>第一部分</w:t>
      </w:r>
      <w:r>
        <w:rPr>
          <w:sz w:val="24"/>
        </w:rPr>
        <w:t xml:space="preserve"> </w:t>
      </w:r>
      <w:r>
        <w:rPr>
          <w:rFonts w:hint="eastAsia"/>
          <w:sz w:val="24"/>
        </w:rPr>
        <w:t>部门概况</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4</w:t>
      </w:r>
    </w:p>
    <w:p>
      <w:pPr>
        <w:pStyle w:val="14"/>
        <w:adjustRightInd w:val="0"/>
        <w:snapToGrid w:val="0"/>
        <w:spacing w:line="440" w:lineRule="exact"/>
        <w:jc w:val="left"/>
        <w:rPr>
          <w:rFonts w:hint="eastAsia"/>
          <w:sz w:val="24"/>
          <w:szCs w:val="24"/>
          <w:u w:val="none"/>
          <w:lang w:val="en-US" w:eastAsia="zh-CN"/>
        </w:rPr>
      </w:pPr>
      <w:r>
        <w:rPr>
          <w:rFonts w:hint="eastAsia"/>
          <w:sz w:val="24"/>
        </w:rPr>
        <w:t>一、部门职责及重点</w:t>
      </w:r>
      <w:r>
        <w:rPr>
          <w:sz w:val="24"/>
        </w:rPr>
        <w:t>工作</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4</w:t>
      </w:r>
    </w:p>
    <w:p>
      <w:pPr>
        <w:pStyle w:val="14"/>
        <w:adjustRightInd w:val="0"/>
        <w:snapToGrid w:val="0"/>
        <w:spacing w:line="440" w:lineRule="exact"/>
        <w:ind w:left="0" w:leftChars="0" w:firstLine="240" w:firstLineChars="100"/>
        <w:jc w:val="left"/>
        <w:rPr>
          <w:rFonts w:cstheme="minorBidi"/>
          <w:sz w:val="24"/>
          <w:szCs w:val="24"/>
        </w:rPr>
      </w:pPr>
      <w:r>
        <w:rPr>
          <w:rFonts w:hint="eastAsia"/>
          <w:sz w:val="24"/>
          <w:lang w:eastAsia="zh-CN"/>
        </w:rPr>
        <w:t>（一）</w:t>
      </w:r>
      <w:r>
        <w:rPr>
          <w:rFonts w:hint="eastAsia"/>
          <w:sz w:val="24"/>
        </w:rPr>
        <w:t>部门</w:t>
      </w:r>
      <w:r>
        <w:rPr>
          <w:rFonts w:hint="eastAsia"/>
          <w:sz w:val="24"/>
          <w:lang w:eastAsia="zh-CN"/>
        </w:rPr>
        <w:t>职责</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4</w:t>
      </w:r>
    </w:p>
    <w:p>
      <w:pPr>
        <w:pStyle w:val="14"/>
        <w:adjustRightInd w:val="0"/>
        <w:snapToGrid w:val="0"/>
        <w:spacing w:line="440" w:lineRule="exact"/>
        <w:ind w:left="0" w:leftChars="0" w:firstLine="240" w:firstLineChars="100"/>
        <w:jc w:val="left"/>
        <w:rPr>
          <w:rFonts w:hint="eastAsia" w:ascii="Times New Roman" w:hAnsi="Times New Roman" w:eastAsia="宋体" w:cs="Times New Roman"/>
          <w:kern w:val="2"/>
          <w:sz w:val="24"/>
          <w:szCs w:val="24"/>
          <w:u w:val="none"/>
          <w:lang w:val="en-US" w:eastAsia="zh-CN" w:bidi="ar-SA"/>
        </w:rPr>
      </w:pPr>
      <w:r>
        <w:rPr>
          <w:rFonts w:hint="eastAsia"/>
          <w:sz w:val="24"/>
        </w:rPr>
        <w:t>（二）2022年重点工作完成情况</w:t>
      </w:r>
      <w:r>
        <w:rPr>
          <w:rFonts w:ascii="仿宋" w:hAnsi="仿宋" w:eastAsia="仿宋"/>
          <w:sz w:val="24"/>
          <w:szCs w:val="24"/>
          <w:u w:val="none"/>
        </w:rPr>
        <w:tab/>
      </w:r>
      <w:r>
        <w:rPr>
          <w:rFonts w:hint="eastAsia" w:cs="Times New Roman"/>
          <w:kern w:val="2"/>
          <w:sz w:val="24"/>
          <w:szCs w:val="24"/>
          <w:u w:val="none"/>
          <w:lang w:val="en-US" w:eastAsia="zh-CN" w:bidi="ar-SA"/>
        </w:rPr>
        <w:t>5</w:t>
      </w:r>
    </w:p>
    <w:p>
      <w:pPr>
        <w:pStyle w:val="14"/>
        <w:adjustRightInd w:val="0"/>
        <w:snapToGrid w:val="0"/>
        <w:spacing w:line="440" w:lineRule="exact"/>
        <w:jc w:val="left"/>
        <w:rPr>
          <w:rFonts w:hint="default" w:ascii="Times New Roman" w:hAnsi="Times New Roman" w:eastAsia="宋体" w:cs="Times New Roman"/>
          <w:kern w:val="2"/>
          <w:sz w:val="24"/>
          <w:szCs w:val="24"/>
          <w:u w:val="none"/>
          <w:lang w:val="en-US" w:eastAsia="zh-CN" w:bidi="ar-SA"/>
        </w:rPr>
      </w:pPr>
      <w:r>
        <w:rPr>
          <w:rFonts w:hint="eastAsia"/>
          <w:sz w:val="24"/>
        </w:rPr>
        <w:t>二、机构设置</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9</w:t>
      </w:r>
    </w:p>
    <w:p>
      <w:pPr>
        <w:pStyle w:val="12"/>
        <w:adjustRightInd w:val="0"/>
        <w:snapToGrid w:val="0"/>
        <w:spacing w:before="0" w:line="440" w:lineRule="exact"/>
        <w:jc w:val="left"/>
        <w:rPr>
          <w:rFonts w:hint="default"/>
          <w:sz w:val="24"/>
          <w:szCs w:val="24"/>
          <w:lang w:val="en-US"/>
        </w:rPr>
      </w:pPr>
      <w:r>
        <w:rPr>
          <w:rFonts w:hint="eastAsia"/>
          <w:sz w:val="24"/>
        </w:rPr>
        <w:t>第二部分 2022年度部门决算情况说明</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10</w:t>
      </w:r>
    </w:p>
    <w:p>
      <w:pPr>
        <w:pStyle w:val="14"/>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ascii="仿宋" w:hAnsi="仿宋" w:eastAsia="仿宋"/>
          <w:sz w:val="24"/>
          <w:szCs w:val="24"/>
          <w:u w:val="none"/>
        </w:rPr>
        <w:tab/>
      </w:r>
      <w:r>
        <w:rPr>
          <w:rFonts w:hint="eastAsia"/>
          <w:sz w:val="24"/>
          <w:szCs w:val="24"/>
          <w:u w:val="none"/>
          <w:lang w:val="en-US" w:eastAsia="zh-CN"/>
        </w:rPr>
        <w:t>10</w:t>
      </w:r>
    </w:p>
    <w:p>
      <w:pPr>
        <w:pStyle w:val="14"/>
        <w:adjustRightInd w:val="0"/>
        <w:snapToGrid w:val="0"/>
        <w:spacing w:line="440" w:lineRule="exact"/>
        <w:jc w:val="left"/>
        <w:rPr>
          <w:rFonts w:hint="default" w:ascii="仿宋" w:hAnsi="仿宋" w:eastAsia="仿宋" w:cstheme="minorBidi"/>
          <w:sz w:val="24"/>
          <w:lang w:val="en-US"/>
        </w:rPr>
      </w:pPr>
      <w:r>
        <w:rPr>
          <w:rFonts w:hint="eastAsia"/>
          <w:sz w:val="24"/>
        </w:rPr>
        <w:t>二、收入决算情况说明</w:t>
      </w:r>
      <w:r>
        <w:rPr>
          <w:rFonts w:ascii="仿宋" w:hAnsi="仿宋" w:eastAsia="仿宋"/>
          <w:sz w:val="24"/>
          <w:szCs w:val="24"/>
          <w:u w:val="none"/>
        </w:rPr>
        <w:tab/>
      </w:r>
      <w:r>
        <w:rPr>
          <w:rFonts w:hint="eastAsia"/>
          <w:sz w:val="24"/>
          <w:szCs w:val="24"/>
          <w:u w:val="none"/>
          <w:lang w:val="en-US" w:eastAsia="zh-CN"/>
        </w:rPr>
        <w:t>10</w:t>
      </w:r>
    </w:p>
    <w:p>
      <w:pPr>
        <w:pStyle w:val="14"/>
        <w:adjustRightInd w:val="0"/>
        <w:snapToGrid w:val="0"/>
        <w:spacing w:line="440" w:lineRule="exact"/>
        <w:jc w:val="left"/>
        <w:rPr>
          <w:rFonts w:hint="default" w:ascii="仿宋" w:hAnsi="仿宋" w:eastAsia="仿宋" w:cstheme="minorBidi"/>
          <w:sz w:val="24"/>
          <w:lang w:val="en-US"/>
        </w:rPr>
      </w:pPr>
      <w:r>
        <w:rPr>
          <w:rFonts w:hint="eastAsia"/>
          <w:sz w:val="24"/>
        </w:rPr>
        <w:t>三、支出决算情况说明</w:t>
      </w:r>
      <w:r>
        <w:rPr>
          <w:rFonts w:ascii="仿宋" w:hAnsi="仿宋" w:eastAsia="仿宋"/>
          <w:sz w:val="24"/>
          <w:szCs w:val="24"/>
          <w:u w:val="none"/>
        </w:rPr>
        <w:tab/>
      </w:r>
      <w:r>
        <w:rPr>
          <w:rFonts w:hint="eastAsia"/>
          <w:sz w:val="24"/>
          <w:szCs w:val="24"/>
          <w:u w:val="none"/>
          <w:lang w:val="en-US" w:eastAsia="zh-CN"/>
        </w:rPr>
        <w:t>11</w:t>
      </w:r>
    </w:p>
    <w:p>
      <w:pPr>
        <w:pStyle w:val="14"/>
        <w:adjustRightInd w:val="0"/>
        <w:snapToGrid w:val="0"/>
        <w:spacing w:line="440" w:lineRule="exact"/>
        <w:jc w:val="left"/>
        <w:rPr>
          <w:rFonts w:hint="eastAsia"/>
          <w:sz w:val="24"/>
          <w:szCs w:val="24"/>
          <w:u w:val="none"/>
          <w:lang w:val="en-US" w:eastAsia="zh-CN"/>
        </w:rPr>
      </w:pPr>
      <w:r>
        <w:rPr>
          <w:rFonts w:hint="eastAsia"/>
          <w:sz w:val="24"/>
        </w:rPr>
        <w:t>四、财政拨款收入支出决算总体情况说明</w:t>
      </w:r>
      <w:r>
        <w:rPr>
          <w:rFonts w:ascii="仿宋" w:hAnsi="仿宋" w:eastAsia="仿宋"/>
          <w:sz w:val="24"/>
          <w:szCs w:val="24"/>
          <w:u w:val="none"/>
        </w:rPr>
        <w:tab/>
      </w:r>
      <w:r>
        <w:rPr>
          <w:rFonts w:hint="eastAsia"/>
          <w:sz w:val="24"/>
          <w:szCs w:val="24"/>
          <w:u w:val="none"/>
          <w:lang w:val="en-US" w:eastAsia="zh-CN"/>
        </w:rPr>
        <w:t>12</w:t>
      </w:r>
    </w:p>
    <w:p>
      <w:pPr>
        <w:pStyle w:val="14"/>
        <w:adjustRightInd w:val="0"/>
        <w:snapToGrid w:val="0"/>
        <w:spacing w:line="440" w:lineRule="exact"/>
        <w:jc w:val="left"/>
        <w:rPr>
          <w:rFonts w:hint="eastAsia"/>
          <w:sz w:val="24"/>
          <w:szCs w:val="24"/>
          <w:u w:val="none"/>
          <w:lang w:val="en-US" w:eastAsia="zh-CN"/>
        </w:rPr>
      </w:pPr>
      <w:r>
        <w:rPr>
          <w:rFonts w:hint="eastAsia"/>
          <w:sz w:val="24"/>
        </w:rPr>
        <w:t>五、一般公共预算财政拨款支出决算情况说明</w:t>
      </w:r>
      <w:r>
        <w:rPr>
          <w:rFonts w:ascii="仿宋" w:hAnsi="仿宋" w:eastAsia="仿宋"/>
          <w:sz w:val="24"/>
          <w:szCs w:val="24"/>
          <w:u w:val="none"/>
        </w:rPr>
        <w:tab/>
      </w:r>
      <w:r>
        <w:rPr>
          <w:rFonts w:hint="eastAsia"/>
          <w:sz w:val="24"/>
          <w:szCs w:val="24"/>
          <w:u w:val="none"/>
          <w:lang w:val="en-US" w:eastAsia="zh-CN"/>
        </w:rPr>
        <w:t>13</w:t>
      </w:r>
    </w:p>
    <w:p>
      <w:pPr>
        <w:pStyle w:val="14"/>
        <w:adjustRightInd w:val="0"/>
        <w:snapToGrid w:val="0"/>
        <w:spacing w:line="440" w:lineRule="exact"/>
        <w:jc w:val="left"/>
        <w:rPr>
          <w:rFonts w:hint="eastAsia"/>
          <w:sz w:val="24"/>
          <w:szCs w:val="24"/>
          <w:u w:val="none"/>
          <w:lang w:val="en-US" w:eastAsia="zh-CN"/>
        </w:rPr>
      </w:pPr>
      <w:r>
        <w:rPr>
          <w:rFonts w:hint="eastAsia"/>
          <w:sz w:val="24"/>
        </w:rPr>
        <w:t>六、一般公共预算财政拨款基本支出决算情况说明</w:t>
      </w:r>
      <w:r>
        <w:rPr>
          <w:rFonts w:ascii="仿宋" w:hAnsi="仿宋" w:eastAsia="仿宋"/>
          <w:sz w:val="24"/>
          <w:szCs w:val="24"/>
          <w:u w:val="none"/>
        </w:rPr>
        <w:tab/>
      </w:r>
      <w:r>
        <w:rPr>
          <w:rFonts w:hint="eastAsia"/>
          <w:sz w:val="24"/>
          <w:szCs w:val="24"/>
          <w:u w:val="none"/>
          <w:lang w:val="en-US" w:eastAsia="zh-CN"/>
        </w:rPr>
        <w:t>15</w:t>
      </w:r>
    </w:p>
    <w:p>
      <w:pPr>
        <w:pStyle w:val="14"/>
        <w:adjustRightInd w:val="0"/>
        <w:snapToGrid w:val="0"/>
        <w:spacing w:line="440" w:lineRule="exact"/>
        <w:jc w:val="left"/>
        <w:rPr>
          <w:rFonts w:hint="default" w:ascii="仿宋" w:hAnsi="仿宋" w:eastAsia="仿宋" w:cstheme="minorBidi"/>
          <w:sz w:val="24"/>
          <w:lang w:val="en-US"/>
        </w:rPr>
      </w:pPr>
      <w:r>
        <w:rPr>
          <w:rFonts w:hint="eastAsia"/>
          <w:sz w:val="24"/>
        </w:rPr>
        <w:t>七、财政拨款“三公”经费支出决算情况说明</w:t>
      </w:r>
      <w:r>
        <w:rPr>
          <w:rFonts w:ascii="仿宋" w:hAnsi="仿宋" w:eastAsia="仿宋"/>
          <w:sz w:val="24"/>
          <w:szCs w:val="24"/>
          <w:u w:val="none"/>
        </w:rPr>
        <w:tab/>
      </w:r>
      <w:r>
        <w:rPr>
          <w:rFonts w:hint="eastAsia"/>
          <w:sz w:val="24"/>
          <w:szCs w:val="24"/>
          <w:u w:val="none"/>
          <w:lang w:val="en-US" w:eastAsia="zh-CN"/>
        </w:rPr>
        <w:t>15</w:t>
      </w:r>
    </w:p>
    <w:p>
      <w:pPr>
        <w:pStyle w:val="14"/>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ascii="仿宋" w:hAnsi="仿宋" w:eastAsia="仿宋"/>
          <w:sz w:val="24"/>
          <w:szCs w:val="24"/>
          <w:u w:val="none"/>
        </w:rPr>
        <w:tab/>
      </w:r>
      <w:r>
        <w:rPr>
          <w:rFonts w:hint="eastAsia"/>
          <w:sz w:val="24"/>
          <w:szCs w:val="24"/>
          <w:u w:val="none"/>
          <w:lang w:val="en-US" w:eastAsia="zh-CN"/>
        </w:rPr>
        <w:t>17</w:t>
      </w:r>
    </w:p>
    <w:p>
      <w:pPr>
        <w:pStyle w:val="14"/>
        <w:adjustRightInd w:val="0"/>
        <w:snapToGrid w:val="0"/>
        <w:spacing w:line="440" w:lineRule="exact"/>
        <w:ind w:leftChars="0"/>
        <w:jc w:val="left"/>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九、国有资本经营预算支出决算情况说明</w:t>
      </w:r>
      <w:r>
        <w:rPr>
          <w:rFonts w:ascii="仿宋" w:hAnsi="仿宋" w:eastAsia="仿宋"/>
          <w:sz w:val="24"/>
          <w:szCs w:val="24"/>
          <w:u w:val="none"/>
        </w:rPr>
        <w:tab/>
      </w:r>
      <w:r>
        <w:rPr>
          <w:rFonts w:hint="eastAsia"/>
          <w:sz w:val="24"/>
          <w:szCs w:val="24"/>
          <w:u w:val="none"/>
          <w:lang w:val="en-US" w:eastAsia="zh-CN"/>
        </w:rPr>
        <w:t>17</w:t>
      </w:r>
    </w:p>
    <w:p>
      <w:pPr>
        <w:pStyle w:val="14"/>
        <w:adjustRightInd w:val="0"/>
        <w:snapToGrid w:val="0"/>
        <w:spacing w:line="440" w:lineRule="exact"/>
        <w:jc w:val="left"/>
        <w:rPr>
          <w:rFonts w:hint="eastAsia"/>
          <w:sz w:val="24"/>
          <w:szCs w:val="24"/>
          <w:u w:val="none"/>
          <w:lang w:val="en-US" w:eastAsia="zh-CN"/>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ascii="仿宋" w:hAnsi="仿宋" w:eastAsia="仿宋"/>
          <w:sz w:val="24"/>
          <w:szCs w:val="24"/>
          <w:u w:val="none"/>
        </w:rPr>
        <w:tab/>
      </w:r>
      <w:r>
        <w:rPr>
          <w:rFonts w:hint="eastAsia"/>
          <w:sz w:val="24"/>
          <w:szCs w:val="24"/>
          <w:u w:val="none"/>
          <w:lang w:val="en-US" w:eastAsia="zh-CN"/>
        </w:rPr>
        <w:t>17</w:t>
      </w:r>
    </w:p>
    <w:p>
      <w:pPr>
        <w:pStyle w:val="14"/>
        <w:adjustRightInd w:val="0"/>
        <w:snapToGrid w:val="0"/>
        <w:spacing w:line="440" w:lineRule="exact"/>
        <w:ind w:left="0" w:leftChars="0" w:firstLine="0" w:firstLineChars="0"/>
        <w:jc w:val="left"/>
        <w:rPr>
          <w:rFonts w:hint="default"/>
          <w:sz w:val="24"/>
          <w:szCs w:val="24"/>
          <w:u w:val="none"/>
          <w:lang w:val="en-US" w:eastAsia="zh-CN"/>
        </w:rPr>
      </w:pPr>
      <w:r>
        <w:rPr>
          <w:rFonts w:hint="eastAsia" w:ascii="仿宋" w:hAnsi="仿宋" w:eastAsia="仿宋" w:cs="Times New Roman"/>
          <w:kern w:val="2"/>
          <w:sz w:val="24"/>
          <w:szCs w:val="28"/>
          <w:lang w:val="en-US" w:eastAsia="zh-CN" w:bidi="ar-SA"/>
        </w:rPr>
        <w:t>第三部分 名词解释</w:t>
      </w:r>
      <w:r>
        <w:rPr>
          <w:rFonts w:ascii="仿宋" w:hAnsi="仿宋" w:eastAsia="仿宋"/>
          <w:sz w:val="24"/>
          <w:szCs w:val="24"/>
          <w:u w:val="none"/>
        </w:rPr>
        <w:tab/>
      </w:r>
      <w:r>
        <w:rPr>
          <w:rFonts w:hint="eastAsia"/>
          <w:sz w:val="24"/>
          <w:szCs w:val="24"/>
          <w:u w:val="none"/>
          <w:lang w:val="en-US" w:eastAsia="zh-CN"/>
        </w:rPr>
        <w:t>19</w:t>
      </w:r>
    </w:p>
    <w:p>
      <w:pPr>
        <w:pStyle w:val="12"/>
        <w:adjustRightInd w:val="0"/>
        <w:snapToGrid w:val="0"/>
        <w:spacing w:before="0" w:line="440" w:lineRule="exact"/>
        <w:jc w:val="left"/>
        <w:rPr>
          <w:rFonts w:hint="default" w:ascii="仿宋" w:hAnsi="仿宋" w:eastAsia="仿宋" w:cs="仿宋"/>
          <w:sz w:val="24"/>
          <w:szCs w:val="24"/>
          <w:lang w:val="en-US" w:eastAsia="zh-CN"/>
        </w:rPr>
      </w:pPr>
      <w:r>
        <w:rPr>
          <w:rFonts w:hint="eastAsia"/>
          <w:sz w:val="24"/>
        </w:rPr>
        <w:t>第四部分</w:t>
      </w:r>
      <w:r>
        <w:rPr>
          <w:sz w:val="24"/>
        </w:rPr>
        <w:t xml:space="preserve"> </w:t>
      </w:r>
      <w:r>
        <w:rPr>
          <w:rFonts w:hint="eastAsia"/>
          <w:sz w:val="24"/>
        </w:rPr>
        <w:t>附件</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21</w:t>
      </w:r>
    </w:p>
    <w:p>
      <w:pPr>
        <w:pStyle w:val="12"/>
        <w:adjustRightInd w:val="0"/>
        <w:snapToGrid w:val="0"/>
        <w:spacing w:before="0" w:line="440" w:lineRule="exact"/>
        <w:jc w:val="left"/>
        <w:rPr>
          <w:rFonts w:hint="default" w:ascii="Times New Roman" w:hAnsi="Times New Roman" w:eastAsia="宋体" w:cs="Times New Roman"/>
          <w:kern w:val="2"/>
          <w:sz w:val="24"/>
          <w:szCs w:val="24"/>
          <w:u w:val="none"/>
          <w:lang w:val="en-US" w:eastAsia="zh-CN" w:bidi="ar-SA"/>
        </w:rPr>
      </w:pPr>
      <w:r>
        <w:rPr>
          <w:rFonts w:hint="eastAsia"/>
          <w:sz w:val="24"/>
        </w:rPr>
        <w:t>第五部分</w:t>
      </w:r>
      <w:r>
        <w:rPr>
          <w:sz w:val="24"/>
        </w:rPr>
        <w:t xml:space="preserve"> </w:t>
      </w:r>
      <w:r>
        <w:rPr>
          <w:rFonts w:hint="eastAsia"/>
          <w:sz w:val="24"/>
        </w:rPr>
        <w:t>附表</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29</w:t>
      </w:r>
    </w:p>
    <w:p>
      <w:pPr>
        <w:pStyle w:val="12"/>
        <w:adjustRightInd w:val="0"/>
        <w:snapToGrid w:val="0"/>
        <w:spacing w:before="0" w:line="440" w:lineRule="exact"/>
        <w:ind w:firstLine="480" w:firstLineChars="200"/>
        <w:jc w:val="left"/>
        <w:rPr>
          <w:rFonts w:hint="default" w:ascii="Times New Roman" w:hAnsi="Times New Roman" w:eastAsia="宋体" w:cs="Times New Roman"/>
          <w:kern w:val="2"/>
          <w:sz w:val="24"/>
          <w:szCs w:val="24"/>
          <w:u w:val="none"/>
          <w:lang w:val="en-US" w:eastAsia="zh-CN" w:bidi="ar-SA"/>
        </w:rPr>
      </w:pPr>
      <w:r>
        <w:rPr>
          <w:rStyle w:val="19"/>
          <w:rFonts w:hint="eastAsia" w:asciiTheme="minorEastAsia" w:hAnsiTheme="minorEastAsia" w:eastAsiaTheme="minorEastAsia" w:cstheme="minorEastAsia"/>
          <w:color w:val="auto"/>
          <w:kern w:val="2"/>
          <w:sz w:val="24"/>
          <w:szCs w:val="24"/>
          <w:u w:color="FFFFFF" w:themeColor="background1"/>
          <w:lang w:val="en-US" w:eastAsia="zh-CN" w:bidi="ar-SA"/>
        </w:rPr>
        <w:t>一、收入支出决算总表</w:t>
      </w:r>
      <w:r>
        <w:rPr>
          <w:rStyle w:val="19"/>
          <w:rFonts w:hint="eastAsia" w:asciiTheme="minorEastAsia" w:hAnsiTheme="minorEastAsia" w:eastAsiaTheme="minorEastAsia" w:cstheme="minorEastAsia"/>
          <w:color w:val="auto"/>
          <w:kern w:val="2"/>
          <w:sz w:val="24"/>
          <w:szCs w:val="24"/>
          <w:u w:color="FFFFFF" w:themeColor="background1"/>
          <w:lang w:val="en-US" w:eastAsia="zh-CN" w:bidi="ar-SA"/>
        </w:rPr>
        <w:tab/>
      </w:r>
      <w:r>
        <w:rPr>
          <w:rFonts w:hint="eastAsia" w:ascii="Times New Roman" w:hAnsi="Times New Roman" w:eastAsia="宋体" w:cs="Times New Roman"/>
          <w:kern w:val="2"/>
          <w:sz w:val="24"/>
          <w:szCs w:val="24"/>
          <w:u w:val="none"/>
          <w:lang w:val="en-US" w:eastAsia="zh-CN" w:bidi="ar-SA"/>
        </w:rPr>
        <w:t>29</w:t>
      </w:r>
    </w:p>
    <w:p>
      <w:pPr>
        <w:pStyle w:val="14"/>
        <w:adjustRightInd w:val="0"/>
        <w:snapToGrid w:val="0"/>
        <w:spacing w:line="440" w:lineRule="exact"/>
        <w:ind w:left="0" w:leftChars="0" w:firstLine="480" w:firstLineChars="200"/>
        <w:jc w:val="left"/>
        <w:rPr>
          <w:rFonts w:hint="default" w:ascii="仿宋" w:hAnsi="仿宋" w:eastAsia="仿宋" w:cs="仿宋"/>
          <w:kern w:val="2"/>
          <w:sz w:val="24"/>
          <w:szCs w:val="24"/>
          <w:lang w:val="en-US" w:eastAsia="zh-CN" w:bidi="ar-SA"/>
        </w:rPr>
      </w:pPr>
      <w:r>
        <w:rPr>
          <w:rStyle w:val="19"/>
          <w:rFonts w:hint="eastAsia" w:asciiTheme="minorEastAsia" w:hAnsiTheme="minorEastAsia" w:eastAsiaTheme="minorEastAsia" w:cstheme="minorEastAsia"/>
          <w:color w:val="auto"/>
          <w:sz w:val="24"/>
          <w:u w:val="none"/>
        </w:rPr>
        <w:t>二、收入决算表</w:t>
      </w:r>
      <w:r>
        <w:rPr>
          <w:rStyle w:val="19"/>
          <w:rFonts w:hint="eastAsia" w:asciiTheme="minorEastAsia" w:hAnsiTheme="minorEastAsia" w:eastAsiaTheme="minorEastAsia" w:cstheme="minorEastAsia"/>
          <w:color w:val="auto"/>
          <w:sz w:val="24"/>
          <w:u w:val="none"/>
        </w:rPr>
        <w:tab/>
      </w:r>
      <w:r>
        <w:rPr>
          <w:rFonts w:hint="eastAsia" w:ascii="Times New Roman" w:hAnsi="Times New Roman" w:eastAsia="宋体" w:cs="Times New Roman"/>
          <w:kern w:val="2"/>
          <w:sz w:val="24"/>
          <w:szCs w:val="24"/>
          <w:u w:val="none"/>
          <w:lang w:val="en-US" w:eastAsia="zh-CN" w:bidi="ar-SA"/>
        </w:rPr>
        <w:t>29</w:t>
      </w:r>
    </w:p>
    <w:p>
      <w:pPr>
        <w:pStyle w:val="14"/>
        <w:adjustRightInd w:val="0"/>
        <w:snapToGrid w:val="0"/>
        <w:spacing w:line="440" w:lineRule="exact"/>
        <w:ind w:left="0" w:leftChars="0" w:firstLine="480" w:firstLineChars="200"/>
        <w:jc w:val="left"/>
        <w:rPr>
          <w:rFonts w:hint="default" w:ascii="仿宋" w:hAnsi="仿宋" w:eastAsia="仿宋" w:cs="仿宋"/>
          <w:kern w:val="2"/>
          <w:sz w:val="24"/>
          <w:szCs w:val="24"/>
          <w:lang w:val="en-US" w:eastAsia="zh-CN" w:bidi="ar-SA"/>
        </w:rPr>
      </w:pPr>
      <w:r>
        <w:rPr>
          <w:rStyle w:val="19"/>
          <w:rFonts w:hint="eastAsia" w:asciiTheme="minorEastAsia" w:hAnsiTheme="minorEastAsia" w:eastAsiaTheme="minorEastAsia" w:cstheme="minorEastAsia"/>
          <w:color w:val="auto"/>
          <w:sz w:val="24"/>
          <w:u w:val="none"/>
        </w:rPr>
        <w:t>三、支出决算表</w:t>
      </w:r>
      <w:r>
        <w:rPr>
          <w:rStyle w:val="19"/>
          <w:rFonts w:hint="eastAsia" w:asciiTheme="minorEastAsia" w:hAnsiTheme="minorEastAsia" w:eastAsiaTheme="minorEastAsia" w:cstheme="minorEastAsia"/>
          <w:color w:val="auto"/>
          <w:sz w:val="24"/>
          <w:u w:val="none"/>
        </w:rPr>
        <w:tab/>
      </w:r>
      <w:r>
        <w:rPr>
          <w:rFonts w:hint="eastAsia" w:ascii="Times New Roman" w:hAnsi="Times New Roman" w:eastAsia="宋体" w:cs="Times New Roman"/>
          <w:kern w:val="2"/>
          <w:sz w:val="24"/>
          <w:szCs w:val="24"/>
          <w:u w:val="none"/>
          <w:lang w:val="en-US" w:eastAsia="zh-CN" w:bidi="ar-SA"/>
        </w:rPr>
        <w:t>29</w:t>
      </w:r>
    </w:p>
    <w:p>
      <w:pPr>
        <w:pStyle w:val="14"/>
        <w:adjustRightInd w:val="0"/>
        <w:snapToGrid w:val="0"/>
        <w:spacing w:line="440" w:lineRule="exact"/>
        <w:ind w:left="0" w:leftChars="0" w:firstLine="480" w:firstLineChars="200"/>
        <w:jc w:val="left"/>
        <w:rPr>
          <w:rFonts w:hint="default" w:ascii="Times New Roman" w:hAnsi="Times New Roman" w:eastAsia="宋体" w:cs="Times New Roman"/>
          <w:kern w:val="2"/>
          <w:sz w:val="24"/>
          <w:szCs w:val="24"/>
          <w:u w:val="none"/>
          <w:lang w:val="en-US" w:eastAsia="zh-CN" w:bidi="ar-SA"/>
        </w:rPr>
      </w:pPr>
      <w:r>
        <w:rPr>
          <w:rStyle w:val="19"/>
          <w:rFonts w:hint="eastAsia" w:asciiTheme="minorEastAsia" w:hAnsiTheme="minorEastAsia" w:eastAsiaTheme="minorEastAsia" w:cstheme="minorEastAsia"/>
          <w:color w:val="auto"/>
          <w:sz w:val="24"/>
          <w:u w:val="none"/>
        </w:rPr>
        <w:t>四、财政拨款收入支出决算总表</w:t>
      </w:r>
      <w:r>
        <w:rPr>
          <w:rStyle w:val="19"/>
          <w:rFonts w:hint="eastAsia" w:asciiTheme="minorEastAsia" w:hAnsiTheme="minorEastAsia" w:eastAsiaTheme="minorEastAsia" w:cstheme="minorEastAsia"/>
          <w:color w:val="auto"/>
          <w:sz w:val="24"/>
          <w:u w:val="none"/>
        </w:rPr>
        <w:tab/>
      </w:r>
      <w:r>
        <w:rPr>
          <w:rFonts w:hint="eastAsia" w:ascii="Times New Roman" w:hAnsi="Times New Roman" w:eastAsia="宋体" w:cs="Times New Roman"/>
          <w:kern w:val="2"/>
          <w:sz w:val="24"/>
          <w:szCs w:val="24"/>
          <w:u w:val="none"/>
          <w:lang w:val="en-US" w:eastAsia="zh-CN" w:bidi="ar-SA"/>
        </w:rPr>
        <w:t>29</w:t>
      </w:r>
    </w:p>
    <w:p>
      <w:pPr>
        <w:pStyle w:val="14"/>
        <w:adjustRightInd w:val="0"/>
        <w:snapToGrid w:val="0"/>
        <w:spacing w:line="440" w:lineRule="exact"/>
        <w:ind w:left="0" w:leftChars="0" w:firstLine="480" w:firstLineChars="200"/>
        <w:jc w:val="left"/>
        <w:rPr>
          <w:rFonts w:hint="default" w:ascii="Times New Roman" w:hAnsi="Times New Roman" w:eastAsia="宋体" w:cs="Times New Roman"/>
          <w:kern w:val="2"/>
          <w:sz w:val="24"/>
          <w:szCs w:val="24"/>
          <w:u w:val="none"/>
          <w:lang w:val="en-US" w:eastAsia="zh-CN" w:bidi="ar-SA"/>
        </w:rPr>
      </w:pPr>
      <w:r>
        <w:rPr>
          <w:rStyle w:val="19"/>
          <w:rFonts w:hint="eastAsia" w:asciiTheme="minorEastAsia" w:hAnsiTheme="minorEastAsia" w:eastAsiaTheme="minorEastAsia" w:cstheme="minorEastAsia"/>
          <w:color w:val="auto"/>
          <w:sz w:val="24"/>
          <w:u w:val="none"/>
        </w:rPr>
        <w:t>五、财政拨款支出决算明细表</w:t>
      </w:r>
      <w:r>
        <w:rPr>
          <w:rStyle w:val="19"/>
          <w:rFonts w:hint="eastAsia" w:asciiTheme="minorEastAsia" w:hAnsiTheme="minorEastAsia" w:eastAsiaTheme="minorEastAsia" w:cstheme="minorEastAsia"/>
          <w:color w:val="auto"/>
          <w:sz w:val="24"/>
          <w:u w:val="none"/>
        </w:rPr>
        <w:tab/>
      </w:r>
      <w:r>
        <w:rPr>
          <w:rFonts w:hint="eastAsia" w:ascii="Times New Roman" w:hAnsi="Times New Roman" w:eastAsia="宋体" w:cs="Times New Roman"/>
          <w:kern w:val="2"/>
          <w:sz w:val="24"/>
          <w:szCs w:val="24"/>
          <w:u w:val="none"/>
          <w:lang w:val="en-US" w:eastAsia="zh-CN" w:bidi="ar-SA"/>
        </w:rPr>
        <w:t>29</w:t>
      </w:r>
    </w:p>
    <w:p>
      <w:pPr>
        <w:pStyle w:val="14"/>
        <w:adjustRightInd w:val="0"/>
        <w:snapToGrid w:val="0"/>
        <w:spacing w:line="440" w:lineRule="exact"/>
        <w:ind w:left="0" w:leftChars="0" w:firstLine="480" w:firstLineChars="200"/>
        <w:jc w:val="left"/>
        <w:rPr>
          <w:rFonts w:hint="eastAsia" w:ascii="Times New Roman" w:hAnsi="Times New Roman" w:eastAsia="宋体" w:cs="Times New Roman"/>
          <w:kern w:val="2"/>
          <w:sz w:val="24"/>
          <w:szCs w:val="24"/>
          <w:u w:val="none"/>
          <w:lang w:val="en-US" w:eastAsia="zh-CN" w:bidi="ar-SA"/>
        </w:rPr>
      </w:pPr>
      <w:r>
        <w:rPr>
          <w:rStyle w:val="19"/>
          <w:rFonts w:hint="eastAsia" w:asciiTheme="minorEastAsia" w:hAnsiTheme="minorEastAsia" w:eastAsiaTheme="minorEastAsia" w:cstheme="minorEastAsia"/>
          <w:color w:val="auto"/>
          <w:sz w:val="24"/>
          <w:u w:val="none"/>
        </w:rPr>
        <w:t>六、一般公共预算财政拨款支出决算表</w:t>
      </w:r>
      <w:r>
        <w:rPr>
          <w:rStyle w:val="19"/>
          <w:rFonts w:hint="eastAsia" w:asciiTheme="minorEastAsia" w:hAnsiTheme="minorEastAsia" w:eastAsiaTheme="minorEastAsia" w:cstheme="minorEastAsia"/>
          <w:color w:val="auto"/>
          <w:sz w:val="24"/>
          <w:u w:val="none"/>
        </w:rPr>
        <w:tab/>
      </w:r>
      <w:r>
        <w:rPr>
          <w:rFonts w:hint="eastAsia" w:ascii="Times New Roman" w:hAnsi="Times New Roman" w:eastAsia="宋体" w:cs="Times New Roman"/>
          <w:kern w:val="2"/>
          <w:sz w:val="24"/>
          <w:szCs w:val="24"/>
          <w:u w:val="none"/>
          <w:lang w:val="en-US" w:eastAsia="zh-CN" w:bidi="ar-SA"/>
        </w:rPr>
        <w:t>29</w:t>
      </w:r>
    </w:p>
    <w:p>
      <w:pPr>
        <w:pStyle w:val="14"/>
        <w:adjustRightInd w:val="0"/>
        <w:snapToGrid w:val="0"/>
        <w:spacing w:line="440" w:lineRule="exact"/>
        <w:ind w:left="0" w:leftChars="0" w:firstLine="480" w:firstLineChars="200"/>
        <w:jc w:val="left"/>
        <w:rPr>
          <w:rStyle w:val="19"/>
          <w:rFonts w:hint="default" w:asciiTheme="minorEastAsia" w:hAnsiTheme="minorEastAsia" w:eastAsiaTheme="minorEastAsia" w:cstheme="minorEastAsia"/>
          <w:color w:val="auto"/>
          <w:sz w:val="24"/>
          <w:u w:val="none"/>
          <w:lang w:val="en-US" w:eastAsia="zh-CN"/>
        </w:rPr>
      </w:pPr>
      <w:r>
        <w:rPr>
          <w:rStyle w:val="19"/>
          <w:rFonts w:hint="eastAsia" w:asciiTheme="minorEastAsia" w:hAnsiTheme="minorEastAsia" w:eastAsiaTheme="minorEastAsia" w:cstheme="minorEastAsia"/>
          <w:color w:val="auto"/>
          <w:sz w:val="24"/>
          <w:u w:val="none"/>
        </w:rPr>
        <w:t>七、一般公共预算财政拨款支出决算明细表</w:t>
      </w:r>
      <w:r>
        <w:rPr>
          <w:rStyle w:val="19"/>
          <w:rFonts w:hint="eastAsia" w:asciiTheme="minorEastAsia" w:hAnsiTheme="minorEastAsia" w:eastAsiaTheme="minorEastAsia" w:cstheme="minorEastAsia"/>
          <w:color w:val="auto"/>
          <w:sz w:val="24"/>
          <w:u w:val="none"/>
        </w:rPr>
        <w:tab/>
      </w:r>
      <w:r>
        <w:rPr>
          <w:rFonts w:hint="eastAsia" w:ascii="Times New Roman" w:hAnsi="Times New Roman" w:eastAsia="宋体" w:cs="Times New Roman"/>
          <w:kern w:val="2"/>
          <w:sz w:val="24"/>
          <w:szCs w:val="24"/>
          <w:u w:val="none"/>
          <w:lang w:val="en-US" w:eastAsia="zh-CN" w:bidi="ar-SA"/>
        </w:rPr>
        <w:t>29</w:t>
      </w:r>
    </w:p>
    <w:p>
      <w:pPr>
        <w:pStyle w:val="14"/>
        <w:adjustRightInd w:val="0"/>
        <w:snapToGrid w:val="0"/>
        <w:spacing w:line="440" w:lineRule="exact"/>
        <w:ind w:left="0" w:leftChars="0" w:firstLine="480" w:firstLineChars="200"/>
        <w:jc w:val="left"/>
        <w:rPr>
          <w:rStyle w:val="19"/>
          <w:rFonts w:hint="default" w:asciiTheme="minorEastAsia" w:hAnsiTheme="minorEastAsia" w:eastAsiaTheme="minorEastAsia" w:cstheme="minorEastAsia"/>
          <w:color w:val="auto"/>
          <w:sz w:val="24"/>
          <w:u w:val="none"/>
          <w:lang w:val="en-US" w:eastAsia="zh-CN"/>
        </w:rPr>
      </w:pPr>
      <w:r>
        <w:rPr>
          <w:rStyle w:val="19"/>
          <w:rFonts w:hint="eastAsia" w:asciiTheme="minorEastAsia" w:hAnsiTheme="minorEastAsia" w:eastAsiaTheme="minorEastAsia" w:cstheme="minorEastAsia"/>
          <w:color w:val="auto"/>
          <w:sz w:val="24"/>
          <w:u w:val="none"/>
        </w:rPr>
        <w:t>八、一般公共预算财政拨款基本支出决算明细表</w:t>
      </w:r>
      <w:r>
        <w:rPr>
          <w:rStyle w:val="19"/>
          <w:rFonts w:hint="eastAsia" w:asciiTheme="minorEastAsia" w:hAnsiTheme="minorEastAsia" w:eastAsiaTheme="minorEastAsia" w:cstheme="minorEastAsia"/>
          <w:color w:val="auto"/>
          <w:sz w:val="24"/>
          <w:u w:val="none"/>
        </w:rPr>
        <w:tab/>
      </w:r>
      <w:r>
        <w:rPr>
          <w:rFonts w:hint="eastAsia" w:ascii="Times New Roman" w:hAnsi="Times New Roman" w:eastAsia="宋体" w:cs="Times New Roman"/>
          <w:kern w:val="2"/>
          <w:sz w:val="24"/>
          <w:szCs w:val="24"/>
          <w:u w:val="none"/>
          <w:lang w:val="en-US" w:eastAsia="zh-CN" w:bidi="ar-SA"/>
        </w:rPr>
        <w:t>29</w:t>
      </w:r>
    </w:p>
    <w:p>
      <w:pPr>
        <w:pStyle w:val="12"/>
        <w:adjustRightInd w:val="0"/>
        <w:snapToGrid w:val="0"/>
        <w:spacing w:before="0" w:line="440" w:lineRule="exact"/>
        <w:ind w:firstLine="480" w:firstLineChars="200"/>
        <w:jc w:val="left"/>
        <w:rPr>
          <w:rFonts w:hint="default" w:ascii="仿宋" w:hAnsi="仿宋" w:eastAsia="仿宋" w:cs="仿宋"/>
          <w:sz w:val="24"/>
          <w:szCs w:val="24"/>
          <w:lang w:val="en-US" w:eastAsia="zh-CN"/>
        </w:rPr>
      </w:pPr>
      <w:r>
        <w:rPr>
          <w:rStyle w:val="19"/>
          <w:rFonts w:hint="eastAsia" w:asciiTheme="minorEastAsia" w:hAnsiTheme="minorEastAsia" w:eastAsiaTheme="minorEastAsia" w:cstheme="minorEastAsia"/>
          <w:color w:val="auto"/>
          <w:sz w:val="24"/>
          <w:u w:val="none"/>
        </w:rPr>
        <w:t>九、一般公共预算财政拨款项目支出决算表</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29</w:t>
      </w:r>
    </w:p>
    <w:p>
      <w:pPr>
        <w:pStyle w:val="12"/>
        <w:adjustRightInd w:val="0"/>
        <w:snapToGrid w:val="0"/>
        <w:spacing w:before="0" w:line="440" w:lineRule="exact"/>
        <w:ind w:firstLine="480" w:firstLineChars="200"/>
        <w:jc w:val="left"/>
        <w:rPr>
          <w:rStyle w:val="19"/>
          <w:rFonts w:hint="default" w:asciiTheme="minorEastAsia" w:hAnsiTheme="minorEastAsia" w:eastAsiaTheme="minorEastAsia" w:cstheme="minorEastAsia"/>
          <w:color w:val="auto"/>
          <w:sz w:val="24"/>
          <w:u w:val="none"/>
          <w:lang w:val="en-US"/>
        </w:rPr>
      </w:pPr>
      <w:r>
        <w:rPr>
          <w:rStyle w:val="19"/>
          <w:rFonts w:hint="eastAsia" w:asciiTheme="minorEastAsia" w:hAnsiTheme="minorEastAsia" w:eastAsiaTheme="minorEastAsia" w:cstheme="minorEastAsia"/>
          <w:color w:val="auto"/>
          <w:sz w:val="24"/>
          <w:u w:val="none"/>
        </w:rPr>
        <w:t>十、政府性基金预算财政拨款收入支出决算表</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29</w:t>
      </w:r>
    </w:p>
    <w:p>
      <w:pPr>
        <w:pStyle w:val="12"/>
        <w:adjustRightInd w:val="0"/>
        <w:snapToGrid w:val="0"/>
        <w:spacing w:before="0" w:line="440" w:lineRule="exact"/>
        <w:ind w:firstLine="480" w:firstLineChars="200"/>
        <w:jc w:val="left"/>
        <w:rPr>
          <w:rStyle w:val="19"/>
          <w:rFonts w:hint="eastAsia" w:asciiTheme="minorEastAsia" w:hAnsiTheme="minorEastAsia" w:eastAsiaTheme="minorEastAsia" w:cstheme="minorEastAsia"/>
          <w:color w:val="auto"/>
          <w:sz w:val="24"/>
          <w:u w:val="none"/>
        </w:rPr>
      </w:pPr>
      <w:r>
        <w:rPr>
          <w:rStyle w:val="19"/>
          <w:rFonts w:hint="eastAsia" w:asciiTheme="minorEastAsia" w:hAnsiTheme="minorEastAsia" w:eastAsiaTheme="minorEastAsia" w:cstheme="minorEastAsia"/>
          <w:color w:val="auto"/>
          <w:sz w:val="24"/>
          <w:u w:val="none"/>
        </w:rPr>
        <w:t>十一、国有资本经营预算财政拨款收入支出决算表</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29</w:t>
      </w:r>
    </w:p>
    <w:p>
      <w:pPr>
        <w:pStyle w:val="12"/>
        <w:adjustRightInd w:val="0"/>
        <w:snapToGrid w:val="0"/>
        <w:spacing w:before="0" w:line="440" w:lineRule="exact"/>
        <w:ind w:firstLine="480" w:firstLineChars="200"/>
        <w:jc w:val="left"/>
        <w:rPr>
          <w:rStyle w:val="19"/>
          <w:rFonts w:hint="eastAsia" w:asciiTheme="minorEastAsia" w:hAnsiTheme="minorEastAsia" w:eastAsiaTheme="minorEastAsia" w:cstheme="minorEastAsia"/>
          <w:color w:val="auto"/>
          <w:sz w:val="24"/>
          <w:u w:val="none"/>
        </w:rPr>
      </w:pPr>
      <w:r>
        <w:rPr>
          <w:rStyle w:val="19"/>
          <w:rFonts w:hint="eastAsia" w:asciiTheme="minorEastAsia" w:hAnsiTheme="minorEastAsia" w:eastAsiaTheme="minorEastAsia" w:cstheme="minorEastAsia"/>
          <w:color w:val="auto"/>
          <w:sz w:val="24"/>
          <w:u w:val="none"/>
        </w:rPr>
        <w:t>十二、国有资本经营预算财政拨款支出决算表</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29</w:t>
      </w:r>
    </w:p>
    <w:p>
      <w:pPr>
        <w:pStyle w:val="12"/>
        <w:adjustRightInd w:val="0"/>
        <w:snapToGrid w:val="0"/>
        <w:spacing w:before="0" w:line="440" w:lineRule="exact"/>
        <w:ind w:firstLine="480" w:firstLineChars="200"/>
        <w:jc w:val="left"/>
        <w:rPr>
          <w:rFonts w:hint="default" w:ascii="仿宋" w:hAnsi="仿宋" w:eastAsia="仿宋" w:cs="仿宋"/>
          <w:sz w:val="24"/>
          <w:szCs w:val="24"/>
          <w:lang w:val="en-US" w:eastAsia="zh-CN"/>
        </w:rPr>
      </w:pPr>
      <w:r>
        <w:rPr>
          <w:rStyle w:val="19"/>
          <w:rFonts w:hint="eastAsia" w:asciiTheme="minorEastAsia" w:hAnsiTheme="minorEastAsia" w:eastAsiaTheme="minorEastAsia" w:cstheme="minorEastAsia"/>
          <w:color w:val="auto"/>
          <w:sz w:val="24"/>
          <w:u w:val="none"/>
        </w:rPr>
        <w:t>十三、财政拨款“三公”经费支出决算表</w:t>
      </w:r>
      <w:r>
        <w:rPr>
          <w:rFonts w:ascii="仿宋" w:hAnsi="仿宋" w:eastAsia="仿宋"/>
          <w:sz w:val="24"/>
          <w:szCs w:val="24"/>
          <w:u w:val="none"/>
        </w:rPr>
        <w:tab/>
      </w:r>
      <w:r>
        <w:rPr>
          <w:rFonts w:hint="eastAsia" w:ascii="Times New Roman" w:hAnsi="Times New Roman" w:eastAsia="宋体" w:cs="Times New Roman"/>
          <w:kern w:val="2"/>
          <w:sz w:val="24"/>
          <w:szCs w:val="24"/>
          <w:u w:val="none"/>
          <w:lang w:val="en-US" w:eastAsia="zh-CN" w:bidi="ar-SA"/>
        </w:rPr>
        <w:t>29</w:t>
      </w:r>
    </w:p>
    <w:p>
      <w:pPr>
        <w:pStyle w:val="14"/>
        <w:adjustRightInd w:val="0"/>
        <w:snapToGrid w:val="0"/>
        <w:spacing w:line="440" w:lineRule="exact"/>
        <w:jc w:val="left"/>
        <w:rPr>
          <w:rStyle w:val="19"/>
          <w:rFonts w:hint="eastAsia" w:asciiTheme="minorEastAsia" w:hAnsiTheme="minorEastAsia" w:eastAsiaTheme="minorEastAsia" w:cstheme="minorEastAsia"/>
          <w:color w:val="auto"/>
          <w:sz w:val="24"/>
          <w:u w:val="none"/>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ind w:firstLine="640" w:firstLineChars="200"/>
        <w:rPr>
          <w:rFonts w:hint="eastAsia" w:ascii="黑体" w:hAnsi="黑体" w:eastAsia="黑体" w:cstheme="majorBidi"/>
          <w:b w:val="0"/>
        </w:rPr>
      </w:pPr>
      <w:bookmarkStart w:id="14" w:name="_Toc15377197"/>
      <w:bookmarkStart w:id="15" w:name="_Toc15396600"/>
      <w:bookmarkStart w:id="16" w:name="_Toc15396601"/>
      <w:bookmarkStart w:id="17" w:name="_Toc15377200"/>
      <w:r>
        <w:rPr>
          <w:rFonts w:hint="eastAsia" w:ascii="黑体" w:hAnsi="黑体" w:eastAsia="黑体" w:cstheme="majorBidi"/>
          <w:b w:val="0"/>
        </w:rPr>
        <w:t>一、</w:t>
      </w:r>
      <w:r>
        <w:rPr>
          <w:rFonts w:hint="eastAsia" w:ascii="黑体" w:hAnsi="黑体" w:eastAsia="黑体" w:cstheme="majorBidi"/>
          <w:b w:val="0"/>
          <w:lang w:eastAsia="zh-CN"/>
        </w:rPr>
        <w:t>部门职责</w:t>
      </w:r>
      <w:r>
        <w:rPr>
          <w:rFonts w:hint="eastAsia" w:ascii="黑体" w:hAnsi="黑体" w:eastAsia="黑体" w:cstheme="majorBidi"/>
          <w:b w:val="0"/>
        </w:rPr>
        <w:t>及</w:t>
      </w:r>
      <w:r>
        <w:rPr>
          <w:rFonts w:hint="eastAsia" w:ascii="黑体" w:hAnsi="黑体" w:eastAsia="黑体" w:cstheme="majorBidi"/>
          <w:b w:val="0"/>
          <w:lang w:eastAsia="zh-CN"/>
        </w:rPr>
        <w:t>重点</w:t>
      </w:r>
      <w:r>
        <w:rPr>
          <w:rFonts w:hint="eastAsia" w:ascii="黑体" w:hAnsi="黑体" w:eastAsia="黑体" w:cstheme="majorBidi"/>
          <w:b w:val="0"/>
        </w:rPr>
        <w:t>工作</w:t>
      </w:r>
      <w:bookmarkEnd w:id="14"/>
      <w:bookmarkEnd w:id="15"/>
      <w:bookmarkStart w:id="18" w:name="_Toc15378445"/>
      <w:bookmarkStart w:id="19" w:name="_Toc15377198"/>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部门职责</w:t>
      </w:r>
      <w:bookmarkEnd w:id="18"/>
      <w:bookmarkEnd w:id="19"/>
      <w:bookmarkStart w:id="20" w:name="_Toc15377199"/>
      <w:bookmarkStart w:id="21" w:name="_Toc15378446"/>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1.宣传和执行《中华人民共和国红十字会法》和《中华人民共和国红十字标志使用办法》；</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开展备灾救灾工作。制定应急预案，建立应急救援队伍；储备救灾物资，建设和管理备灾救灾设施；在自然灾害和突发事件中，开展救护和救助工作；根据自然灾害和突发事件的具体情况，由总会向国内外发出呼吁，依法接受国内外组织和个人的捐赠；地方各级红十字会在辖区内发出呼吁，依法接受国内外组织和个人的捐赠；及时向灾区群众和受难者提供急需的人道援助，参与灾后重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开展应急救护和防病知识的宣传、普及、培训；在机关、企事业单位、社区、农村、学校和易发生意外伤害的行业和人群中开展初级卫生救护培训，组织群众参加意外伤害和自然灾害的现场救护；提高应急条件下的应急救助能力和水平；</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4.建设和管理中国造血干细胞捐献者资料库；开展捐献造血干细胞的宣传动员、组织工作；</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5.开展无偿献血的宣传推动工作，与各级人民政府共同对先进单位和个人进行表彰奖励；</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6.开展社会救助及相关服务工作。对易受损人群进行救助，为困难群众提供服务；在社区、农村中建立红十字服务站，开展服务群众、宣传培训、募捐救助等活动；开展帮助寻找失散亲人、重建家庭联系等其他人道服务工作；</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7.依法开展和推动遗体、器官（组织）捐献工作；开展艾滋病预防控制宣传和教育、关心爱护艾滋病病毒感染者、患者及其他人道救助工作；</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8.开展有益于青少年身心健康的红十字青少年活动；</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9.开展红十字志愿服务活动；</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10.宣传国际人道法、红十字运动基本原则，总会承担中国国际人道法国家委员会秘书处的日常工作；</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11.依法开展募捐活动；在公共场所设置红十字募捐箱并进行管理；依照法律法规自主处分募捐款物；</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12.兴办符合红十字会宗旨的社会福利事业；</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13.参加国际人道救援工作；开展与国际红十字组织和各国红十字会或红新月会及其他国际组织的交流与合作；</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14.完成人民政府委托事宜。</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（二）2022年重点工作完成情况</w:t>
      </w:r>
      <w:bookmarkEnd w:id="20"/>
      <w:bookmarkEnd w:id="21"/>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1.扎实开展应急救护“百万培训”项目。</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今年以来，</w:t>
      </w:r>
      <w:r>
        <w:rPr>
          <w:rFonts w:hint="eastAsia" w:ascii="仿宋" w:hAnsi="仿宋" w:eastAsia="仿宋"/>
          <w:sz w:val="32"/>
          <w:szCs w:val="32"/>
          <w:lang w:eastAsia="zh-CN"/>
        </w:rPr>
        <w:t>我</w:t>
      </w:r>
      <w:r>
        <w:rPr>
          <w:rFonts w:hint="eastAsia" w:ascii="仿宋" w:hAnsi="仿宋" w:eastAsia="仿宋"/>
          <w:sz w:val="32"/>
          <w:szCs w:val="32"/>
        </w:rPr>
        <w:t>会以“五进”活动为载体，对</w:t>
      </w:r>
      <w:r>
        <w:rPr>
          <w:rFonts w:hint="eastAsia" w:ascii="仿宋" w:hAnsi="仿宋" w:eastAsia="仿宋"/>
          <w:sz w:val="32"/>
          <w:szCs w:val="32"/>
          <w:lang w:val="en-US" w:eastAsia="zh-CN"/>
        </w:rPr>
        <w:t>乡镇村组干部</w:t>
      </w:r>
      <w:r>
        <w:rPr>
          <w:rFonts w:hint="eastAsia" w:ascii="仿宋" w:hAnsi="仿宋" w:eastAsia="仿宋"/>
          <w:sz w:val="32"/>
          <w:szCs w:val="32"/>
        </w:rPr>
        <w:t>、</w:t>
      </w:r>
      <w:r>
        <w:rPr>
          <w:rFonts w:hint="eastAsia" w:ascii="仿宋" w:hAnsi="仿宋" w:eastAsia="仿宋"/>
          <w:sz w:val="32"/>
          <w:szCs w:val="32"/>
          <w:lang w:val="en-US" w:eastAsia="zh-CN"/>
        </w:rPr>
        <w:t>剑阁血浆站</w:t>
      </w:r>
      <w:r>
        <w:rPr>
          <w:rFonts w:hint="eastAsia" w:ascii="仿宋" w:hAnsi="仿宋" w:eastAsia="仿宋"/>
          <w:sz w:val="32"/>
          <w:szCs w:val="32"/>
        </w:rPr>
        <w:t>从业人员等群体扎实开展应</w:t>
      </w:r>
      <w:r>
        <w:rPr>
          <w:rFonts w:hint="eastAsia" w:ascii="仿宋" w:hAnsi="仿宋" w:eastAsia="仿宋"/>
          <w:color w:val="auto"/>
          <w:sz w:val="32"/>
          <w:szCs w:val="32"/>
        </w:rPr>
        <w:t>急救护知识培训</w:t>
      </w:r>
      <w:r>
        <w:rPr>
          <w:rFonts w:hint="eastAsia" w:ascii="仿宋" w:hAnsi="仿宋" w:eastAsia="仿宋"/>
          <w:color w:val="auto"/>
          <w:sz w:val="32"/>
          <w:szCs w:val="32"/>
          <w:lang w:eastAsia="zh-CN"/>
        </w:rPr>
        <w:t>。目前，</w:t>
      </w:r>
      <w:r>
        <w:rPr>
          <w:rFonts w:hint="eastAsia" w:ascii="仿宋" w:hAnsi="仿宋" w:eastAsia="仿宋"/>
          <w:sz w:val="32"/>
          <w:szCs w:val="32"/>
          <w:lang w:eastAsia="zh-CN"/>
        </w:rPr>
        <w:t>全县共举办培训班1</w:t>
      </w:r>
      <w:r>
        <w:rPr>
          <w:rFonts w:hint="eastAsia" w:ascii="仿宋" w:hAnsi="仿宋" w:eastAsia="仿宋"/>
          <w:sz w:val="32"/>
          <w:szCs w:val="32"/>
          <w:lang w:val="en-US" w:eastAsia="zh-CN"/>
        </w:rPr>
        <w:t>53</w:t>
      </w:r>
      <w:r>
        <w:rPr>
          <w:rFonts w:hint="eastAsia" w:ascii="仿宋" w:hAnsi="仿宋" w:eastAsia="仿宋"/>
          <w:sz w:val="32"/>
          <w:szCs w:val="32"/>
          <w:lang w:eastAsia="zh-CN"/>
        </w:rPr>
        <w:t>期，参训总人数达到</w:t>
      </w:r>
      <w:r>
        <w:rPr>
          <w:rFonts w:hint="eastAsia" w:ascii="仿宋" w:hAnsi="仿宋" w:eastAsia="仿宋"/>
          <w:sz w:val="32"/>
          <w:szCs w:val="32"/>
          <w:lang w:val="en-US" w:eastAsia="zh-CN"/>
        </w:rPr>
        <w:t>8957</w:t>
      </w:r>
      <w:r>
        <w:rPr>
          <w:rFonts w:hint="eastAsia" w:ascii="仿宋" w:hAnsi="仿宋" w:eastAsia="仿宋"/>
          <w:sz w:val="32"/>
          <w:szCs w:val="32"/>
          <w:lang w:eastAsia="zh-CN"/>
        </w:rPr>
        <w:t>人，占市目标任务</w:t>
      </w:r>
      <w:r>
        <w:rPr>
          <w:rFonts w:hint="eastAsia" w:ascii="仿宋" w:hAnsi="仿宋" w:eastAsia="仿宋"/>
          <w:sz w:val="32"/>
          <w:szCs w:val="32"/>
          <w:lang w:val="en-US" w:eastAsia="zh-CN"/>
        </w:rPr>
        <w:t>7</w:t>
      </w:r>
      <w:r>
        <w:rPr>
          <w:rFonts w:hint="eastAsia" w:ascii="仿宋" w:hAnsi="仿宋" w:eastAsia="仿宋"/>
          <w:sz w:val="32"/>
          <w:szCs w:val="32"/>
          <w:lang w:eastAsia="zh-CN"/>
        </w:rPr>
        <w:t>700人的</w:t>
      </w:r>
      <w:r>
        <w:rPr>
          <w:rFonts w:hint="eastAsia" w:ascii="仿宋" w:hAnsi="仿宋" w:eastAsia="仿宋"/>
          <w:sz w:val="32"/>
          <w:szCs w:val="32"/>
          <w:lang w:val="en-US" w:eastAsia="zh-CN"/>
        </w:rPr>
        <w:t>116.32</w:t>
      </w:r>
      <w:r>
        <w:rPr>
          <w:rFonts w:hint="eastAsia" w:ascii="仿宋" w:hAnsi="仿宋" w:eastAsia="仿宋"/>
          <w:sz w:val="32"/>
          <w:szCs w:val="32"/>
          <w:lang w:eastAsia="zh-CN"/>
        </w:rPr>
        <w:t>%。其中，举办普及性培训班次1</w:t>
      </w:r>
      <w:r>
        <w:rPr>
          <w:rFonts w:hint="eastAsia" w:ascii="仿宋" w:hAnsi="仿宋" w:eastAsia="仿宋"/>
          <w:sz w:val="32"/>
          <w:szCs w:val="32"/>
          <w:lang w:val="en-US" w:eastAsia="zh-CN"/>
        </w:rPr>
        <w:t>43</w:t>
      </w:r>
      <w:r>
        <w:rPr>
          <w:rFonts w:hint="eastAsia" w:ascii="仿宋" w:hAnsi="仿宋" w:eastAsia="仿宋"/>
          <w:sz w:val="32"/>
          <w:szCs w:val="32"/>
          <w:lang w:eastAsia="zh-CN"/>
        </w:rPr>
        <w:t>期</w:t>
      </w:r>
      <w:r>
        <w:rPr>
          <w:rFonts w:hint="eastAsia" w:ascii="仿宋" w:hAnsi="仿宋" w:eastAsia="仿宋"/>
          <w:sz w:val="32"/>
          <w:szCs w:val="32"/>
          <w:lang w:val="en-US" w:eastAsia="zh-CN"/>
        </w:rPr>
        <w:t>8250</w:t>
      </w:r>
      <w:r>
        <w:rPr>
          <w:rFonts w:hint="eastAsia" w:ascii="仿宋" w:hAnsi="仿宋" w:eastAsia="仿宋"/>
          <w:sz w:val="32"/>
          <w:szCs w:val="32"/>
          <w:lang w:eastAsia="zh-CN"/>
        </w:rPr>
        <w:t>人，占目标任务</w:t>
      </w:r>
      <w:r>
        <w:rPr>
          <w:rFonts w:hint="eastAsia" w:ascii="仿宋" w:hAnsi="仿宋" w:eastAsia="仿宋"/>
          <w:sz w:val="32"/>
          <w:szCs w:val="32"/>
          <w:lang w:val="en-US" w:eastAsia="zh-CN"/>
        </w:rPr>
        <w:t>7</w:t>
      </w:r>
      <w:r>
        <w:rPr>
          <w:rFonts w:hint="eastAsia" w:ascii="仿宋" w:hAnsi="仿宋" w:eastAsia="仿宋"/>
          <w:sz w:val="32"/>
          <w:szCs w:val="32"/>
          <w:lang w:eastAsia="zh-CN"/>
        </w:rPr>
        <w:t>000人的</w:t>
      </w:r>
      <w:r>
        <w:rPr>
          <w:rFonts w:hint="eastAsia" w:ascii="仿宋" w:hAnsi="仿宋" w:eastAsia="仿宋"/>
          <w:sz w:val="32"/>
          <w:szCs w:val="32"/>
          <w:lang w:val="en-US" w:eastAsia="zh-CN"/>
        </w:rPr>
        <w:t>117.85</w:t>
      </w:r>
      <w:r>
        <w:rPr>
          <w:rFonts w:hint="eastAsia" w:ascii="仿宋" w:hAnsi="仿宋" w:eastAsia="仿宋"/>
          <w:sz w:val="32"/>
          <w:szCs w:val="32"/>
          <w:lang w:eastAsia="zh-CN"/>
        </w:rPr>
        <w:t>%；举办救护员培训班次10期7</w:t>
      </w:r>
      <w:r>
        <w:rPr>
          <w:rFonts w:hint="eastAsia" w:ascii="仿宋" w:hAnsi="仿宋" w:eastAsia="仿宋"/>
          <w:sz w:val="32"/>
          <w:szCs w:val="32"/>
          <w:lang w:val="en-US" w:eastAsia="zh-CN"/>
        </w:rPr>
        <w:t>07</w:t>
      </w:r>
      <w:r>
        <w:rPr>
          <w:rFonts w:hint="eastAsia" w:ascii="仿宋" w:hAnsi="仿宋" w:eastAsia="仿宋"/>
          <w:sz w:val="32"/>
          <w:szCs w:val="32"/>
          <w:lang w:eastAsia="zh-CN"/>
        </w:rPr>
        <w:t>人，占目标任务700人的101%。</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2.突出主责主业，强化核心业务，拓宽人道工作领域。</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）开展慰问活动。</w:t>
      </w:r>
      <w:r>
        <w:rPr>
          <w:rFonts w:hint="eastAsia" w:ascii="仿宋" w:hAnsi="仿宋" w:eastAsia="仿宋"/>
          <w:sz w:val="32"/>
          <w:szCs w:val="32"/>
          <w:lang w:eastAsia="zh-CN"/>
        </w:rPr>
        <w:t>我会以脱贫动态监测户为重点</w:t>
      </w:r>
      <w:r>
        <w:rPr>
          <w:rFonts w:hint="eastAsia" w:ascii="仿宋" w:hAnsi="仿宋" w:eastAsia="仿宋"/>
          <w:sz w:val="32"/>
          <w:szCs w:val="32"/>
          <w:lang w:val="en-US" w:eastAsia="zh-CN"/>
        </w:rPr>
        <w:t>，争取及自购6.45万元的</w:t>
      </w:r>
      <w:r>
        <w:rPr>
          <w:rFonts w:hint="eastAsia" w:ascii="仿宋" w:hAnsi="仿宋" w:eastAsia="仿宋"/>
          <w:sz w:val="32"/>
          <w:szCs w:val="32"/>
        </w:rPr>
        <w:t>物</w:t>
      </w:r>
      <w:r>
        <w:rPr>
          <w:rFonts w:hint="eastAsia" w:ascii="仿宋" w:hAnsi="仿宋" w:eastAsia="仿宋"/>
          <w:sz w:val="32"/>
          <w:szCs w:val="32"/>
          <w:lang w:eastAsia="zh-CN"/>
        </w:rPr>
        <w:t>资</w:t>
      </w:r>
      <w:r>
        <w:rPr>
          <w:rFonts w:hint="eastAsia" w:ascii="仿宋" w:hAnsi="仿宋" w:eastAsia="仿宋"/>
          <w:sz w:val="32"/>
          <w:szCs w:val="32"/>
          <w:lang w:val="en-US" w:eastAsia="zh-CN"/>
        </w:rPr>
        <w:t>，</w:t>
      </w:r>
      <w:r>
        <w:rPr>
          <w:rFonts w:hint="eastAsia" w:ascii="仿宋" w:hAnsi="仿宋" w:eastAsia="仿宋"/>
          <w:sz w:val="32"/>
          <w:szCs w:val="32"/>
          <w:lang w:eastAsia="zh-CN"/>
        </w:rPr>
        <w:t>扎实开展</w:t>
      </w:r>
      <w:r>
        <w:rPr>
          <w:rFonts w:hint="eastAsia" w:ascii="仿宋" w:hAnsi="仿宋" w:eastAsia="仿宋"/>
          <w:sz w:val="32"/>
          <w:szCs w:val="32"/>
          <w:lang w:val="en-US" w:eastAsia="zh-CN"/>
        </w:rPr>
        <w:t>“红十字博爱送万家”暨“送温暖”活动</w:t>
      </w:r>
      <w:r>
        <w:rPr>
          <w:rFonts w:hint="eastAsia" w:ascii="仿宋" w:hAnsi="仿宋" w:eastAsia="仿宋"/>
          <w:sz w:val="32"/>
          <w:szCs w:val="32"/>
          <w:lang w:eastAsia="zh-CN"/>
        </w:rPr>
        <w:t>，慰问</w:t>
      </w:r>
      <w:r>
        <w:rPr>
          <w:rFonts w:hint="eastAsia" w:ascii="仿宋" w:hAnsi="仿宋" w:eastAsia="仿宋"/>
          <w:sz w:val="32"/>
          <w:szCs w:val="32"/>
          <w:lang w:val="en-US" w:eastAsia="zh-CN"/>
        </w:rPr>
        <w:t>225户750人，积极主动为困难群众解决问题。</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）救助困难群体。</w:t>
      </w:r>
      <w:r>
        <w:rPr>
          <w:rFonts w:hint="eastAsia" w:ascii="仿宋" w:hAnsi="仿宋" w:eastAsia="仿宋"/>
          <w:sz w:val="32"/>
          <w:szCs w:val="32"/>
          <w:lang w:eastAsia="zh-CN"/>
        </w:rPr>
        <w:t>在全县范围内积极开展助孤、助困、助医等救助活动，报送“小天使基金”救助资料5人份，已通过申请4人，获得救助3人90000元；报送“天使阳光基金”救助资料2人份，已获得救助1人5000元；报送省红十字会人道救助2人，</w:t>
      </w:r>
      <w:r>
        <w:rPr>
          <w:rFonts w:hint="eastAsia" w:ascii="仿宋" w:hAnsi="仿宋" w:eastAsia="仿宋"/>
          <w:sz w:val="32"/>
          <w:szCs w:val="32"/>
          <w:lang w:val="en-US" w:eastAsia="zh-CN"/>
        </w:rPr>
        <w:t>已获得救助1人10000元</w:t>
      </w:r>
      <w:r>
        <w:rPr>
          <w:rFonts w:hint="eastAsia" w:ascii="仿宋" w:hAnsi="仿宋" w:eastAsia="仿宋"/>
          <w:sz w:val="32"/>
          <w:szCs w:val="32"/>
          <w:lang w:eastAsia="zh-CN"/>
        </w:rPr>
        <w:t>。对14名患有残疾、重大疾病的特殊困难群体实施临时救助，发放人道救助金3.3万元；对全县罕见病救助6人，发放救助金1.2万元。</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eastAsia="zh-CN"/>
        </w:rPr>
        <w:t>开展</w:t>
      </w:r>
      <w:r>
        <w:rPr>
          <w:rFonts w:hint="eastAsia" w:ascii="仿宋" w:hAnsi="仿宋" w:eastAsia="仿宋"/>
          <w:sz w:val="32"/>
          <w:szCs w:val="32"/>
          <w:lang w:val="en-US" w:eastAsia="zh-CN"/>
        </w:rPr>
        <w:t>备灾救灾。</w:t>
      </w:r>
      <w:r>
        <w:rPr>
          <w:rFonts w:hint="eastAsia" w:ascii="仿宋" w:hAnsi="仿宋" w:eastAsia="仿宋"/>
          <w:sz w:val="32"/>
          <w:szCs w:val="32"/>
          <w:lang w:eastAsia="zh-CN"/>
        </w:rPr>
        <w:t>在今年</w:t>
      </w:r>
      <w:r>
        <w:rPr>
          <w:rFonts w:hint="eastAsia" w:ascii="仿宋" w:hAnsi="仿宋" w:eastAsia="仿宋"/>
          <w:sz w:val="32"/>
          <w:szCs w:val="32"/>
          <w:lang w:val="en-US" w:eastAsia="zh-CN"/>
        </w:rPr>
        <w:t>“9·5”泸定地震、“10·11”剑阁疫情</w:t>
      </w:r>
      <w:r>
        <w:rPr>
          <w:rFonts w:hint="eastAsia" w:ascii="仿宋" w:hAnsi="仿宋" w:eastAsia="仿宋"/>
          <w:sz w:val="32"/>
          <w:szCs w:val="32"/>
          <w:lang w:eastAsia="zh-CN"/>
        </w:rPr>
        <w:t>发生后，</w:t>
      </w:r>
      <w:r>
        <w:rPr>
          <w:rFonts w:hint="eastAsia" w:ascii="仿宋" w:hAnsi="仿宋" w:eastAsia="仿宋"/>
          <w:sz w:val="32"/>
          <w:szCs w:val="32"/>
        </w:rPr>
        <w:t>第一时间</w:t>
      </w:r>
      <w:r>
        <w:rPr>
          <w:rFonts w:hint="eastAsia" w:ascii="仿宋" w:hAnsi="仿宋" w:eastAsia="仿宋"/>
          <w:sz w:val="32"/>
          <w:szCs w:val="32"/>
          <w:lang w:val="en-US" w:eastAsia="zh-CN"/>
        </w:rPr>
        <w:t>开展社会募捐，先后募集社会捐赠款物500余万元，其中，“9·5”泸定地震募集社会捐款216.37万元，“10·11”剑阁疫情募集社会捐款捐物达280余万元。</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）推动“三献”工作。在“5.8”世界红十字日，世界献血日等</w:t>
      </w:r>
      <w:r>
        <w:rPr>
          <w:rFonts w:hint="eastAsia" w:ascii="仿宋" w:hAnsi="仿宋" w:eastAsia="仿宋"/>
          <w:sz w:val="32"/>
          <w:szCs w:val="32"/>
          <w:lang w:eastAsia="zh-CN"/>
        </w:rPr>
        <w:t>节点</w:t>
      </w:r>
      <w:r>
        <w:rPr>
          <w:rFonts w:hint="eastAsia" w:ascii="仿宋" w:hAnsi="仿宋" w:eastAsia="仿宋"/>
          <w:sz w:val="32"/>
          <w:szCs w:val="32"/>
        </w:rPr>
        <w:t>，联合有关单位开展“三献”宣传活动</w:t>
      </w:r>
      <w:r>
        <w:rPr>
          <w:rFonts w:hint="eastAsia" w:ascii="仿宋" w:hAnsi="仿宋" w:eastAsia="仿宋"/>
          <w:sz w:val="32"/>
          <w:szCs w:val="32"/>
          <w:lang w:eastAsia="zh-CN"/>
        </w:rPr>
        <w:t>。</w:t>
      </w:r>
      <w:r>
        <w:rPr>
          <w:rFonts w:hint="eastAsia" w:ascii="仿宋" w:hAnsi="仿宋" w:eastAsia="仿宋"/>
          <w:sz w:val="32"/>
          <w:szCs w:val="32"/>
          <w:lang w:val="en-US" w:eastAsia="zh-CN"/>
        </w:rPr>
        <w:t>2022年，</w:t>
      </w:r>
      <w:r>
        <w:rPr>
          <w:rFonts w:hint="eastAsia" w:ascii="仿宋" w:hAnsi="仿宋" w:eastAsia="仿宋"/>
          <w:sz w:val="32"/>
          <w:szCs w:val="32"/>
        </w:rPr>
        <w:t>对3名造血干细胞志愿捐献配型再动员；强化舆论导向，突出典型宣传，新增人体（遗体）组织器官捐献志愿者登记</w:t>
      </w:r>
      <w:r>
        <w:rPr>
          <w:rFonts w:hint="eastAsia" w:ascii="仿宋" w:hAnsi="仿宋" w:eastAsia="仿宋"/>
          <w:sz w:val="32"/>
          <w:szCs w:val="32"/>
          <w:lang w:val="en-US" w:eastAsia="zh-CN"/>
        </w:rPr>
        <w:t>143</w:t>
      </w:r>
      <w:r>
        <w:rPr>
          <w:rFonts w:hint="eastAsia" w:ascii="仿宋" w:hAnsi="仿宋" w:eastAsia="仿宋"/>
          <w:sz w:val="32"/>
          <w:szCs w:val="32"/>
        </w:rPr>
        <w:t>人。对9名遗体、眼角膜、人体器官捐献者家属给予看望慰问，送上慰问金；清明前夕，开展以“春之生·生命的意义”为主题的人体器官捐献缅怀纪念宣传活动，对捐献者家属进行了看望慰问</w:t>
      </w:r>
      <w:r>
        <w:rPr>
          <w:rFonts w:hint="eastAsia" w:ascii="仿宋" w:hAnsi="仿宋" w:eastAsia="仿宋"/>
          <w:sz w:val="32"/>
          <w:szCs w:val="32"/>
          <w:lang w:val="en-US" w:eastAsia="zh-CN"/>
        </w:rPr>
        <w:t>。</w:t>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5）助力优化营商环境。积极与省红十字会对接，争取并申报应急救护体验馆建设项目。围绕剑（阁）上（城）东西部协作社会帮扶，加强与浙江上城区红十字会双边交流，积极编制帮扶项目，争取到位捐赠资金12万元，用于2022年度汉阳镇、剑门关镇、下寺镇、普安镇4乡镇红十字会建设，目前4个乡镇红十字基层组织已全部建设完成。积极召开剑阁爱心企业座谈会，对2022年度剑阁爱心企业颁发捐赠证书130张。</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）强化志愿服务。积极筹备红十字</w:t>
      </w:r>
      <w:r>
        <w:rPr>
          <w:rFonts w:hint="eastAsia" w:ascii="仿宋" w:hAnsi="仿宋" w:eastAsia="仿宋"/>
          <w:sz w:val="32"/>
          <w:szCs w:val="32"/>
          <w:lang w:val="en-US" w:eastAsia="zh-CN"/>
        </w:rPr>
        <w:t>救援队</w:t>
      </w:r>
      <w:r>
        <w:rPr>
          <w:rFonts w:hint="eastAsia" w:ascii="仿宋" w:hAnsi="仿宋" w:eastAsia="仿宋"/>
          <w:sz w:val="32"/>
          <w:szCs w:val="32"/>
        </w:rPr>
        <w:t>成立，感召更多志愿者服务群众</w:t>
      </w:r>
      <w:r>
        <w:rPr>
          <w:rFonts w:hint="eastAsia" w:ascii="仿宋" w:hAnsi="仿宋" w:eastAsia="仿宋"/>
          <w:sz w:val="32"/>
          <w:szCs w:val="32"/>
          <w:lang w:eastAsia="zh-CN"/>
        </w:rPr>
        <w:t>，</w:t>
      </w:r>
      <w:r>
        <w:rPr>
          <w:rFonts w:hint="eastAsia" w:ascii="仿宋" w:hAnsi="仿宋" w:eastAsia="仿宋"/>
          <w:sz w:val="32"/>
          <w:szCs w:val="32"/>
          <w:lang w:val="en-US" w:eastAsia="zh-CN"/>
        </w:rPr>
        <w:t>目前剑阁县红十字救援队已通过民政部门初审</w:t>
      </w:r>
      <w:r>
        <w:rPr>
          <w:rFonts w:hint="eastAsia" w:ascii="仿宋" w:hAnsi="仿宋" w:eastAsia="仿宋"/>
          <w:sz w:val="32"/>
          <w:szCs w:val="32"/>
        </w:rPr>
        <w:t>；组织帮帮我志愿者协会志愿者，积极参与红十字文化传播、疫情防控、人道关怀等志愿服务活动</w:t>
      </w:r>
      <w:r>
        <w:rPr>
          <w:rFonts w:hint="eastAsia" w:ascii="仿宋" w:hAnsi="仿宋" w:eastAsia="仿宋"/>
          <w:sz w:val="32"/>
          <w:szCs w:val="32"/>
          <w:lang w:eastAsia="zh-CN"/>
        </w:rPr>
        <w:t>，</w:t>
      </w:r>
      <w:r>
        <w:rPr>
          <w:rFonts w:hint="eastAsia" w:ascii="仿宋" w:hAnsi="仿宋" w:eastAsia="仿宋"/>
          <w:sz w:val="32"/>
          <w:szCs w:val="32"/>
          <w:lang w:val="en-US" w:eastAsia="zh-CN"/>
        </w:rPr>
        <w:t>组织志愿者397人次，志愿服务时长9700小时</w:t>
      </w:r>
      <w:r>
        <w:rPr>
          <w:rFonts w:hint="eastAsia" w:ascii="仿宋" w:hAnsi="仿宋" w:eastAsia="仿宋"/>
          <w:sz w:val="32"/>
          <w:szCs w:val="32"/>
          <w:lang w:eastAsia="zh-CN"/>
        </w:rPr>
        <w:t>，充分诠释了“人道、博爱、奉献”的红十字精神</w:t>
      </w:r>
      <w:r>
        <w:rPr>
          <w:rFonts w:hint="eastAsia" w:ascii="仿宋" w:hAnsi="仿宋" w:eastAsia="仿宋"/>
          <w:sz w:val="32"/>
          <w:szCs w:val="32"/>
        </w:rPr>
        <w:t>。</w:t>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3.拓展宣传方式，提升红十字影响力。</w:t>
      </w:r>
      <w:r>
        <w:rPr>
          <w:rFonts w:hint="eastAsia" w:ascii="仿宋" w:hAnsi="仿宋" w:eastAsia="仿宋"/>
          <w:sz w:val="32"/>
          <w:szCs w:val="32"/>
        </w:rPr>
        <w:t>通过设置宣传展板、发放宣传资料、现场讲解、举办应急救护知识讲堂等形式，在剑阁职中开展了以“生命教育，人道伴行”的主题的“5.8红十字博爱周”宣传活动，向师生宣传普及红十字运动基本知识、生命健康安全教育、三救三献等相关知识。</w:t>
      </w:r>
      <w:r>
        <w:rPr>
          <w:rFonts w:hint="eastAsia" w:ascii="仿宋" w:hAnsi="仿宋" w:eastAsia="仿宋"/>
          <w:sz w:val="32"/>
          <w:szCs w:val="32"/>
          <w:lang w:eastAsia="zh-CN"/>
        </w:rPr>
        <w:t>通过中国县域经济报、今日头条、剑阁融媒等媒体、网站发布等新媒体形式，</w:t>
      </w:r>
      <w:r>
        <w:rPr>
          <w:rFonts w:hint="eastAsia" w:ascii="仿宋" w:hAnsi="仿宋" w:eastAsia="仿宋"/>
          <w:sz w:val="32"/>
          <w:szCs w:val="32"/>
          <w:lang w:val="en-US" w:eastAsia="zh-CN"/>
        </w:rPr>
        <w:t>先后发表新闻稿件40余篇，</w:t>
      </w:r>
      <w:r>
        <w:rPr>
          <w:rFonts w:hint="eastAsia" w:ascii="仿宋" w:hAnsi="仿宋" w:eastAsia="仿宋"/>
          <w:sz w:val="32"/>
          <w:szCs w:val="32"/>
          <w:lang w:eastAsia="zh-CN"/>
        </w:rPr>
        <w:t>加大</w:t>
      </w:r>
      <w:r>
        <w:rPr>
          <w:rFonts w:hint="eastAsia" w:ascii="仿宋" w:hAnsi="仿宋" w:eastAsia="仿宋"/>
          <w:sz w:val="32"/>
          <w:szCs w:val="32"/>
        </w:rPr>
        <w:t>对爱心人士、红十字志愿者、受助弱势群体的宣传，弘扬社会正能量</w:t>
      </w:r>
      <w:r>
        <w:rPr>
          <w:rFonts w:hint="eastAsia" w:ascii="仿宋" w:hAnsi="仿宋" w:eastAsia="仿宋"/>
          <w:sz w:val="32"/>
          <w:szCs w:val="32"/>
          <w:lang w:eastAsia="zh-CN"/>
        </w:rPr>
        <w:t>，</w:t>
      </w:r>
      <w:r>
        <w:rPr>
          <w:rFonts w:hint="eastAsia" w:ascii="仿宋" w:hAnsi="仿宋" w:eastAsia="仿宋"/>
          <w:sz w:val="32"/>
          <w:szCs w:val="32"/>
        </w:rPr>
        <w:t>进一步扩大</w:t>
      </w:r>
      <w:r>
        <w:rPr>
          <w:rFonts w:hint="eastAsia" w:ascii="仿宋" w:hAnsi="仿宋" w:eastAsia="仿宋"/>
          <w:sz w:val="32"/>
          <w:szCs w:val="32"/>
          <w:lang w:eastAsia="zh-CN"/>
        </w:rPr>
        <w:t>了</w:t>
      </w:r>
      <w:r>
        <w:rPr>
          <w:rFonts w:hint="eastAsia" w:ascii="仿宋" w:hAnsi="仿宋" w:eastAsia="仿宋"/>
          <w:sz w:val="32"/>
          <w:szCs w:val="32"/>
        </w:rPr>
        <w:t>红十字会的社会影响。</w:t>
      </w:r>
      <w:r>
        <w:rPr>
          <w:rFonts w:hint="eastAsia" w:ascii="仿宋" w:hAnsi="仿宋" w:eastAsia="仿宋"/>
          <w:sz w:val="32"/>
          <w:szCs w:val="32"/>
          <w:lang w:val="en-US" w:eastAsia="zh-CN"/>
        </w:rPr>
        <w:t>向中国红十字会推荐王祥波作为全国红十字志愿典型。</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4.积极推动脱贫攻坚与乡村振兴有效衔接。</w:t>
      </w:r>
      <w:r>
        <w:rPr>
          <w:rFonts w:hint="eastAsia" w:ascii="仿宋" w:hAnsi="仿宋" w:eastAsia="仿宋"/>
          <w:sz w:val="32"/>
          <w:szCs w:val="32"/>
          <w:lang w:eastAsia="zh-CN"/>
        </w:rPr>
        <w:t>严格落实“四个不摘”要求，</w:t>
      </w:r>
      <w:r>
        <w:rPr>
          <w:rFonts w:hint="eastAsia" w:ascii="仿宋" w:hAnsi="仿宋" w:eastAsia="仿宋"/>
          <w:sz w:val="32"/>
          <w:szCs w:val="32"/>
        </w:rPr>
        <w:t>健全防止返贫监测帮扶机制</w:t>
      </w:r>
      <w:r>
        <w:rPr>
          <w:rFonts w:hint="eastAsia" w:ascii="仿宋" w:hAnsi="仿宋" w:eastAsia="仿宋"/>
          <w:sz w:val="32"/>
          <w:szCs w:val="32"/>
          <w:lang w:eastAsia="zh-CN"/>
        </w:rPr>
        <w:t>，创新推进服务乡村振兴红十字“1+6+X”行动；</w:t>
      </w:r>
      <w:r>
        <w:rPr>
          <w:rFonts w:hint="eastAsia" w:ascii="仿宋" w:hAnsi="仿宋" w:eastAsia="仿宋"/>
          <w:sz w:val="32"/>
          <w:szCs w:val="32"/>
        </w:rPr>
        <w:t>聚焦阶段性任务，从</w:t>
      </w:r>
      <w:r>
        <w:rPr>
          <w:rFonts w:hint="eastAsia" w:ascii="仿宋" w:hAnsi="仿宋" w:eastAsia="仿宋"/>
          <w:sz w:val="32"/>
          <w:szCs w:val="32"/>
          <w:lang w:eastAsia="zh-CN"/>
        </w:rPr>
        <w:t>疫情防控、</w:t>
      </w:r>
      <w:r>
        <w:rPr>
          <w:rFonts w:hint="eastAsia" w:ascii="仿宋" w:hAnsi="仿宋" w:eastAsia="仿宋"/>
          <w:sz w:val="32"/>
          <w:szCs w:val="32"/>
        </w:rPr>
        <w:t>产业、政策、治理等方面入手，找准脱贫攻坚与乡村振兴有效衔接的着力点</w:t>
      </w:r>
      <w:r>
        <w:rPr>
          <w:rFonts w:hint="eastAsia" w:ascii="仿宋" w:hAnsi="仿宋" w:eastAsia="仿宋"/>
          <w:sz w:val="32"/>
          <w:szCs w:val="32"/>
          <w:lang w:eastAsia="zh-CN"/>
        </w:rPr>
        <w:t>，有序、有力、有效开展工作</w:t>
      </w:r>
      <w:r>
        <w:rPr>
          <w:rFonts w:hint="eastAsia" w:ascii="仿宋" w:hAnsi="仿宋" w:eastAsia="仿宋"/>
          <w:sz w:val="32"/>
          <w:szCs w:val="32"/>
        </w:rPr>
        <w:t>。</w:t>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5.扎实抓好向上争取和项目工作。</w:t>
      </w:r>
      <w:r>
        <w:rPr>
          <w:rFonts w:hint="eastAsia" w:ascii="仿宋" w:hAnsi="仿宋" w:eastAsia="仿宋"/>
          <w:sz w:val="32"/>
          <w:szCs w:val="32"/>
          <w:lang w:eastAsia="zh-CN"/>
        </w:rPr>
        <w:t>建立政府主导、红会引领、社会参与的慈善募捐模式，积极与</w:t>
      </w:r>
      <w:r>
        <w:rPr>
          <w:rFonts w:hint="eastAsia" w:ascii="仿宋" w:hAnsi="仿宋" w:eastAsia="仿宋"/>
          <w:sz w:val="32"/>
          <w:szCs w:val="32"/>
          <w:lang w:val="en-US" w:eastAsia="zh-CN"/>
        </w:rPr>
        <w:t>社会爱心人士</w:t>
      </w:r>
      <w:r>
        <w:rPr>
          <w:rFonts w:hint="eastAsia" w:ascii="仿宋" w:hAnsi="仿宋" w:eastAsia="仿宋"/>
          <w:sz w:val="32"/>
          <w:szCs w:val="32"/>
          <w:lang w:eastAsia="zh-CN"/>
        </w:rPr>
        <w:t>沟通对接，携手爱心企业向</w:t>
      </w:r>
      <w:r>
        <w:rPr>
          <w:rFonts w:hint="eastAsia" w:ascii="仿宋" w:hAnsi="仿宋" w:eastAsia="仿宋"/>
          <w:sz w:val="32"/>
          <w:szCs w:val="32"/>
          <w:lang w:val="en-US" w:eastAsia="zh-CN"/>
        </w:rPr>
        <w:t>剑阁县纪委监委、剑阁县白龙镇</w:t>
      </w:r>
      <w:r>
        <w:rPr>
          <w:rFonts w:hint="eastAsia" w:ascii="仿宋" w:hAnsi="仿宋" w:eastAsia="仿宋"/>
          <w:sz w:val="32"/>
          <w:szCs w:val="32"/>
          <w:lang w:eastAsia="zh-CN"/>
        </w:rPr>
        <w:t>捐赠</w:t>
      </w:r>
      <w:r>
        <w:rPr>
          <w:rFonts w:hint="eastAsia" w:ascii="仿宋" w:hAnsi="仿宋" w:eastAsia="仿宋"/>
          <w:sz w:val="32"/>
          <w:szCs w:val="32"/>
          <w:lang w:val="en-US" w:eastAsia="zh-CN"/>
        </w:rPr>
        <w:t>资金30万元</w:t>
      </w:r>
      <w:r>
        <w:rPr>
          <w:rFonts w:hint="eastAsia" w:ascii="仿宋" w:hAnsi="仿宋" w:eastAsia="仿宋"/>
          <w:sz w:val="32"/>
          <w:szCs w:val="32"/>
          <w:lang w:eastAsia="zh-CN"/>
        </w:rPr>
        <w:t>；积极与省市红十字会和浙江上城区红十字会沟通对接，达成协作共识，争取对我县政策和项目支持，争取到位捐赠资金</w:t>
      </w:r>
      <w:r>
        <w:rPr>
          <w:rFonts w:hint="eastAsia" w:ascii="仿宋" w:hAnsi="仿宋" w:eastAsia="仿宋"/>
          <w:sz w:val="32"/>
          <w:szCs w:val="32"/>
          <w:lang w:val="en-US" w:eastAsia="zh-CN"/>
        </w:rPr>
        <w:t>12</w:t>
      </w:r>
      <w:r>
        <w:rPr>
          <w:rFonts w:hint="eastAsia" w:ascii="仿宋" w:hAnsi="仿宋" w:eastAsia="仿宋"/>
          <w:sz w:val="32"/>
          <w:szCs w:val="32"/>
          <w:lang w:eastAsia="zh-CN"/>
        </w:rPr>
        <w:t>万元。今年</w:t>
      </w:r>
      <w:r>
        <w:rPr>
          <w:rFonts w:hint="eastAsia" w:ascii="仿宋" w:hAnsi="仿宋" w:eastAsia="仿宋"/>
          <w:sz w:val="32"/>
          <w:szCs w:val="32"/>
        </w:rPr>
        <w:t>，</w:t>
      </w:r>
      <w:r>
        <w:rPr>
          <w:rFonts w:hint="eastAsia" w:ascii="仿宋" w:hAnsi="仿宋" w:eastAsia="仿宋"/>
          <w:sz w:val="32"/>
          <w:szCs w:val="32"/>
          <w:lang w:val="en-US" w:eastAsia="zh-CN"/>
        </w:rPr>
        <w:t>成功签约剑阁县信承再生资源处理回收项目1个，项目总投资2500万元；当年到位资金1000万元；完成建利假日酒店项目入库登记等工作；圆满完成了60万元向上争取资金任务。</w:t>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6.常态化开展疫情防控工作。</w:t>
      </w:r>
      <w:r>
        <w:rPr>
          <w:rFonts w:hint="eastAsia" w:ascii="仿宋" w:hAnsi="仿宋" w:eastAsia="仿宋"/>
          <w:sz w:val="32"/>
          <w:szCs w:val="32"/>
        </w:rPr>
        <w:t>按照县委、县政府有关疫情防控安排部署和县委书记杨祖斌的指示，落实主体责任，聚焦疫情防控工作履行好“四方责任”；按照疫情防控“五有”要求，</w:t>
      </w:r>
      <w:r>
        <w:rPr>
          <w:rFonts w:hint="eastAsia" w:ascii="仿宋" w:hAnsi="仿宋" w:eastAsia="仿宋"/>
          <w:sz w:val="32"/>
          <w:szCs w:val="32"/>
          <w:lang w:eastAsia="zh-CN"/>
        </w:rPr>
        <w:t>常态化做好</w:t>
      </w:r>
      <w:r>
        <w:rPr>
          <w:rFonts w:hint="eastAsia" w:ascii="仿宋" w:hAnsi="仿宋" w:eastAsia="仿宋"/>
          <w:sz w:val="32"/>
          <w:szCs w:val="32"/>
        </w:rPr>
        <w:t>疫情防控工作。</w:t>
      </w:r>
      <w:r>
        <w:rPr>
          <w:rFonts w:hint="eastAsia" w:ascii="仿宋" w:hAnsi="仿宋" w:eastAsia="仿宋"/>
          <w:sz w:val="32"/>
          <w:szCs w:val="32"/>
          <w:lang w:val="en-US" w:eastAsia="zh-CN"/>
        </w:rPr>
        <w:t>及时向普安镇、下寺镇等单位调拨防疫物资15万余件，向剑阁职中、剑门关高中、剑阁中学、剑州中学、学校隔离点配发蔬菜15吨、方便食品757箱、牛奶305箱，为普安镇配发蔬菜14吨，为下寺镇、普安镇及一线志愿者方便食品1118箱、饮用水1060件，及时解决疫情防控一线志愿者和隔离师生生活保障。</w:t>
      </w:r>
    </w:p>
    <w:p>
      <w:pPr>
        <w:pStyle w:val="4"/>
        <w:ind w:firstLine="640" w:firstLineChars="200"/>
        <w:rPr>
          <w:rStyle w:val="30"/>
          <w:b w:val="0"/>
          <w:bCs w:val="0"/>
        </w:rPr>
      </w:pPr>
      <w:r>
        <w:rPr>
          <w:rFonts w:hint="eastAsia" w:ascii="黑体" w:hAnsi="黑体" w:eastAsia="黑体"/>
          <w:b w:val="0"/>
          <w:lang w:eastAsia="zh-CN"/>
        </w:rPr>
        <w:t>二、</w:t>
      </w:r>
      <w:r>
        <w:rPr>
          <w:rFonts w:hint="eastAsia" w:ascii="黑体" w:hAnsi="黑体" w:eastAsia="黑体"/>
          <w:b w:val="0"/>
        </w:rPr>
        <w:t>机</w:t>
      </w:r>
      <w:r>
        <w:rPr>
          <w:rStyle w:val="30"/>
          <w:rFonts w:hint="eastAsia" w:ascii="黑体" w:hAnsi="黑体" w:eastAsia="黑体"/>
          <w:b w:val="0"/>
          <w:bCs w:val="0"/>
        </w:rPr>
        <w:t>构设置</w:t>
      </w:r>
      <w:bookmarkEnd w:id="16"/>
      <w:bookmarkEnd w:id="17"/>
    </w:p>
    <w:p>
      <w:pPr>
        <w:pStyle w:val="2"/>
        <w:adjustRightInd w:val="0"/>
        <w:snapToGrid w:val="0"/>
        <w:spacing w:before="93" w:line="600" w:lineRule="exact"/>
        <w:ind w:firstLine="640" w:firstLineChars="200"/>
        <w:rPr>
          <w:rFonts w:ascii="仿宋" w:hAnsi="仿宋" w:eastAsia="仿宋"/>
          <w:sz w:val="32"/>
          <w:szCs w:val="32"/>
        </w:rPr>
      </w:pPr>
      <w:r>
        <w:rPr>
          <w:rFonts w:hint="eastAsia" w:ascii="仿宋_GB2312" w:eastAsia="仿宋_GB2312" w:cs="仿宋_GB2312"/>
          <w:color w:val="000000"/>
          <w:kern w:val="0"/>
          <w:sz w:val="32"/>
          <w:szCs w:val="32"/>
        </w:rPr>
        <w:t>本单位属参照公务员法管理的事业单位。无下属单位。</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9"/>
          <w:rFonts w:ascii="黑体" w:hAnsi="黑体" w:eastAsia="黑体"/>
          <w:b w:val="0"/>
          <w:bCs/>
        </w:rPr>
      </w:pPr>
      <w:bookmarkStart w:id="22" w:name="_Toc15396602"/>
      <w:bookmarkStart w:id="23" w:name="_Toc15377204"/>
      <w:r>
        <w:rPr>
          <w:rFonts w:hint="eastAsia" w:ascii="黑体" w:hAnsi="黑体" w:eastAsia="黑体"/>
          <w:b w:val="0"/>
        </w:rPr>
        <w:t>第二部分 2022年度</w:t>
      </w:r>
      <w:r>
        <w:rPr>
          <w:rStyle w:val="29"/>
          <w:rFonts w:hint="eastAsia" w:ascii="黑体" w:hAnsi="黑体" w:eastAsia="黑体"/>
          <w:b w:val="0"/>
          <w:bCs/>
        </w:rPr>
        <w:t>部门决算情况说明</w:t>
      </w:r>
      <w:bookmarkEnd w:id="22"/>
      <w:bookmarkEnd w:id="23"/>
    </w:p>
    <w:p/>
    <w:p>
      <w:pPr>
        <w:pStyle w:val="28"/>
        <w:numPr>
          <w:ilvl w:val="0"/>
          <w:numId w:val="1"/>
        </w:numPr>
        <w:spacing w:line="600" w:lineRule="exact"/>
        <w:ind w:firstLineChars="0"/>
        <w:outlineLvl w:val="1"/>
        <w:rPr>
          <w:rStyle w:val="30"/>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110.66</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28.73</w:t>
      </w:r>
      <w:r>
        <w:rPr>
          <w:rFonts w:hint="eastAsia" w:ascii="仿宋" w:hAnsi="仿宋" w:eastAsia="仿宋"/>
          <w:sz w:val="32"/>
          <w:szCs w:val="32"/>
        </w:rPr>
        <w:t>万元，增长</w:t>
      </w:r>
      <w:r>
        <w:rPr>
          <w:rFonts w:hint="eastAsia" w:ascii="仿宋" w:hAnsi="仿宋" w:eastAsia="仿宋"/>
          <w:sz w:val="32"/>
          <w:szCs w:val="32"/>
          <w:lang w:val="en-US" w:eastAsia="zh-CN"/>
        </w:rPr>
        <w:t>35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项目增加，收、支增加</w:t>
      </w:r>
      <w:r>
        <w:rPr>
          <w:rFonts w:hint="eastAsia" w:ascii="仿宋" w:hAnsi="仿宋" w:eastAsia="仿宋"/>
          <w:sz w:val="32"/>
          <w:szCs w:val="32"/>
        </w:rPr>
        <w:t>。</w:t>
      </w:r>
    </w:p>
    <w:tbl>
      <w:tblPr>
        <w:tblStyle w:val="16"/>
        <w:tblW w:w="213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6"/>
        <w:gridCol w:w="1185"/>
        <w:gridCol w:w="1080"/>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2"/>
          <w:wAfter w:w="13065" w:type="dxa"/>
          <w:trHeight w:val="270" w:hRule="atLeast"/>
        </w:trPr>
        <w:tc>
          <w:tcPr>
            <w:tcW w:w="82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2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r>
              <w:drawing>
                <wp:inline distT="0" distB="0" distL="114300" distR="114300">
                  <wp:extent cx="5111750" cy="3593465"/>
                  <wp:effectExtent l="4445" t="4445" r="8255" b="215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8286" w:type="dxa"/>
            <w:tcBorders>
              <w:top w:val="nil"/>
              <w:left w:val="nil"/>
              <w:bottom w:val="nil"/>
              <w:right w:val="nil"/>
            </w:tcBorders>
            <w:shd w:val="clear" w:color="auto" w:fill="auto"/>
            <w:vAlign w:val="center"/>
          </w:tcPr>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28"/>
        <w:numPr>
          <w:ilvl w:val="0"/>
          <w:numId w:val="1"/>
        </w:numPr>
        <w:spacing w:line="600" w:lineRule="exact"/>
        <w:ind w:firstLineChars="0"/>
        <w:outlineLvl w:val="1"/>
        <w:rPr>
          <w:rStyle w:val="30"/>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30"/>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110.66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110.66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color w:val="000000"/>
          <w:sz w:val="32"/>
          <w:szCs w:val="32"/>
          <w:lang w:eastAsia="zh-CN"/>
        </w:rPr>
        <w:t>无</w:t>
      </w:r>
      <w:r>
        <w:rPr>
          <w:rFonts w:hint="eastAsia" w:ascii="仿宋" w:hAnsi="仿宋" w:eastAsia="仿宋"/>
          <w:sz w:val="32"/>
          <w:szCs w:val="32"/>
        </w:rPr>
        <w:t>政府性基金预算财政拨款收入</w:t>
      </w:r>
      <w:r>
        <w:rPr>
          <w:rFonts w:hint="eastAsia" w:ascii="仿宋" w:hAnsi="仿宋" w:eastAsia="仿宋"/>
          <w:sz w:val="32"/>
          <w:szCs w:val="32"/>
          <w:lang w:eastAsia="zh-CN"/>
        </w:rPr>
        <w:t>，无</w:t>
      </w:r>
      <w:r>
        <w:rPr>
          <w:rFonts w:hint="eastAsia" w:ascii="仿宋" w:hAnsi="仿宋" w:eastAsia="仿宋"/>
          <w:sz w:val="32"/>
          <w:szCs w:val="32"/>
        </w:rPr>
        <w:t>国有资本经营预算财政拨款收入</w:t>
      </w:r>
      <w:r>
        <w:rPr>
          <w:rFonts w:hint="eastAsia" w:ascii="仿宋" w:hAnsi="仿宋" w:eastAsia="仿宋"/>
          <w:sz w:val="32"/>
          <w:szCs w:val="32"/>
          <w:lang w:eastAsia="zh-CN"/>
        </w:rPr>
        <w:t>，无</w:t>
      </w:r>
      <w:r>
        <w:rPr>
          <w:rFonts w:hint="eastAsia" w:ascii="仿宋" w:hAnsi="仿宋" w:eastAsia="仿宋"/>
          <w:sz w:val="32"/>
          <w:szCs w:val="32"/>
        </w:rPr>
        <w:t>上级补助收入，</w:t>
      </w:r>
      <w:r>
        <w:rPr>
          <w:rFonts w:hint="eastAsia" w:ascii="仿宋" w:hAnsi="仿宋" w:eastAsia="仿宋"/>
          <w:sz w:val="32"/>
          <w:szCs w:val="32"/>
          <w:lang w:eastAsia="zh-CN"/>
        </w:rPr>
        <w:t>无</w:t>
      </w:r>
      <w:r>
        <w:rPr>
          <w:rFonts w:hint="eastAsia" w:ascii="仿宋" w:hAnsi="仿宋" w:eastAsia="仿宋"/>
          <w:sz w:val="32"/>
          <w:szCs w:val="32"/>
        </w:rPr>
        <w:t>事业收入</w:t>
      </w:r>
      <w:r>
        <w:rPr>
          <w:rFonts w:hint="eastAsia" w:ascii="仿宋" w:hAnsi="仿宋" w:eastAsia="仿宋"/>
          <w:sz w:val="32"/>
          <w:szCs w:val="32"/>
          <w:lang w:eastAsia="zh-CN"/>
        </w:rPr>
        <w:t>，无</w:t>
      </w:r>
      <w:r>
        <w:rPr>
          <w:rFonts w:hint="eastAsia" w:ascii="仿宋" w:hAnsi="仿宋" w:eastAsia="仿宋"/>
          <w:sz w:val="32"/>
          <w:szCs w:val="32"/>
        </w:rPr>
        <w:t>经营收入，</w:t>
      </w:r>
      <w:r>
        <w:rPr>
          <w:rFonts w:hint="eastAsia" w:ascii="仿宋" w:hAnsi="仿宋" w:eastAsia="仿宋"/>
          <w:sz w:val="32"/>
          <w:szCs w:val="32"/>
          <w:lang w:eastAsia="zh-CN"/>
        </w:rPr>
        <w:t>无</w:t>
      </w:r>
      <w:r>
        <w:rPr>
          <w:rFonts w:hint="eastAsia" w:ascii="仿宋" w:hAnsi="仿宋" w:eastAsia="仿宋"/>
          <w:sz w:val="32"/>
          <w:szCs w:val="32"/>
        </w:rPr>
        <w:t>附属单位上缴收入，</w:t>
      </w:r>
      <w:r>
        <w:rPr>
          <w:rFonts w:hint="eastAsia" w:ascii="仿宋" w:hAnsi="仿宋" w:eastAsia="仿宋"/>
          <w:sz w:val="32"/>
          <w:szCs w:val="32"/>
          <w:lang w:eastAsia="zh-CN"/>
        </w:rPr>
        <w:t>无</w:t>
      </w:r>
      <w:r>
        <w:rPr>
          <w:rFonts w:hint="eastAsia" w:ascii="仿宋" w:hAnsi="仿宋" w:eastAsia="仿宋"/>
          <w:sz w:val="32"/>
          <w:szCs w:val="32"/>
        </w:rPr>
        <w:t>其他收入。</w:t>
      </w:r>
    </w:p>
    <w:p>
      <w:pPr>
        <w:pStyle w:val="8"/>
        <w:rPr>
          <w:rFonts w:hint="eastAsia" w:ascii="仿宋" w:hAnsi="仿宋" w:eastAsia="仿宋"/>
          <w:sz w:val="32"/>
          <w:szCs w:val="32"/>
        </w:rPr>
      </w:pPr>
    </w:p>
    <w:p>
      <w:pPr>
        <w:pStyle w:val="8"/>
        <w:tabs>
          <w:tab w:val="left" w:pos="6635"/>
        </w:tabs>
        <w:spacing w:line="240" w:lineRule="auto"/>
        <w:ind w:left="960" w:hanging="960" w:hangingChars="300"/>
        <w:jc w:val="center"/>
      </w:pPr>
      <w:r>
        <w:drawing>
          <wp:inline distT="0" distB="0" distL="114300" distR="114300">
            <wp:extent cx="5207635" cy="3076575"/>
            <wp:effectExtent l="5080" t="4445" r="6985" b="508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8"/>
        <w:tabs>
          <w:tab w:val="left" w:pos="6635"/>
        </w:tabs>
        <w:spacing w:line="240" w:lineRule="auto"/>
        <w:ind w:left="960" w:hanging="960" w:hangingChars="300"/>
        <w:jc w:val="center"/>
      </w:pPr>
    </w:p>
    <w:p>
      <w:pPr>
        <w:pStyle w:val="8"/>
        <w:tabs>
          <w:tab w:val="left" w:pos="6635"/>
        </w:tabs>
        <w:spacing w:line="240" w:lineRule="auto"/>
        <w:ind w:left="960" w:hanging="960" w:hangingChars="300"/>
        <w:jc w:val="center"/>
        <w:rPr>
          <w:rFonts w:hint="eastAsia" w:ascii="仿宋" w:hAnsi="仿宋" w:eastAsia="仿宋"/>
          <w:sz w:val="32"/>
          <w:szCs w:val="32"/>
        </w:rPr>
      </w:pPr>
      <w:r>
        <w:rPr>
          <w:rFonts w:hint="eastAsia" w:ascii="仿宋" w:hAnsi="仿宋" w:eastAsia="仿宋"/>
          <w:sz w:val="32"/>
          <w:szCs w:val="32"/>
        </w:rPr>
        <w:t>（图2：收入决算结构图）（饼状图）</w:t>
      </w:r>
    </w:p>
    <w:p>
      <w:pPr>
        <w:pStyle w:val="8"/>
        <w:tabs>
          <w:tab w:val="left" w:pos="6635"/>
        </w:tabs>
        <w:spacing w:line="240" w:lineRule="auto"/>
        <w:ind w:left="960" w:hanging="960" w:hangingChars="300"/>
        <w:jc w:val="center"/>
        <w:rPr>
          <w:rFonts w:hint="eastAsia" w:ascii="仿宋" w:hAnsi="仿宋" w:eastAsia="仿宋"/>
          <w:sz w:val="32"/>
          <w:szCs w:val="32"/>
        </w:rPr>
      </w:pPr>
    </w:p>
    <w:p>
      <w:pPr>
        <w:pStyle w:val="28"/>
        <w:numPr>
          <w:ilvl w:val="0"/>
          <w:numId w:val="1"/>
        </w:numPr>
        <w:spacing w:line="600" w:lineRule="exact"/>
        <w:ind w:firstLineChars="0"/>
        <w:outlineLvl w:val="1"/>
        <w:rPr>
          <w:rStyle w:val="30"/>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30"/>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110.66</w:t>
      </w:r>
      <w:r>
        <w:rPr>
          <w:rFonts w:hint="eastAsia" w:ascii="仿宋" w:hAnsi="仿宋" w:eastAsia="仿宋"/>
          <w:sz w:val="32"/>
          <w:szCs w:val="32"/>
        </w:rPr>
        <w:t>万元，其中：基本支出</w:t>
      </w:r>
      <w:r>
        <w:rPr>
          <w:rFonts w:hint="eastAsia" w:ascii="仿宋" w:hAnsi="仿宋" w:eastAsia="仿宋"/>
          <w:sz w:val="32"/>
          <w:szCs w:val="32"/>
          <w:lang w:val="en-US" w:eastAsia="zh-CN"/>
        </w:rPr>
        <w:t>93.30</w:t>
      </w:r>
      <w:r>
        <w:rPr>
          <w:rFonts w:hint="eastAsia" w:ascii="仿宋" w:hAnsi="仿宋" w:eastAsia="仿宋"/>
          <w:sz w:val="32"/>
          <w:szCs w:val="32"/>
        </w:rPr>
        <w:t>万元，占</w:t>
      </w:r>
      <w:r>
        <w:rPr>
          <w:rFonts w:hint="eastAsia" w:ascii="仿宋" w:hAnsi="仿宋" w:eastAsia="仿宋"/>
          <w:sz w:val="32"/>
          <w:szCs w:val="32"/>
          <w:lang w:val="en-US" w:eastAsia="zh-CN"/>
        </w:rPr>
        <w:t>84.31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17.36</w:t>
      </w:r>
      <w:r>
        <w:rPr>
          <w:rFonts w:hint="eastAsia" w:ascii="仿宋" w:hAnsi="仿宋" w:eastAsia="仿宋"/>
          <w:sz w:val="32"/>
          <w:szCs w:val="32"/>
        </w:rPr>
        <w:t>万元，占</w:t>
      </w:r>
      <w:r>
        <w:rPr>
          <w:rFonts w:hint="eastAsia" w:ascii="仿宋" w:hAnsi="仿宋" w:eastAsia="仿宋"/>
          <w:sz w:val="32"/>
          <w:szCs w:val="32"/>
          <w:lang w:val="en-US" w:eastAsia="zh-CN"/>
        </w:rPr>
        <w:t>15.69</w:t>
      </w:r>
      <w:r>
        <w:rPr>
          <w:rFonts w:ascii="仿宋" w:hAnsi="仿宋" w:eastAsia="仿宋"/>
          <w:sz w:val="32"/>
          <w:szCs w:val="32"/>
        </w:rPr>
        <w:t>%</w:t>
      </w:r>
      <w:r>
        <w:rPr>
          <w:rFonts w:hint="eastAsia" w:ascii="仿宋" w:hAnsi="仿宋" w:eastAsia="仿宋"/>
          <w:sz w:val="32"/>
          <w:szCs w:val="32"/>
        </w:rPr>
        <w:t>；</w:t>
      </w:r>
    </w:p>
    <w:p>
      <w:pPr>
        <w:pStyle w:val="8"/>
        <w:jc w:val="center"/>
        <w:rPr>
          <w:rFonts w:hint="eastAsia" w:ascii="仿宋" w:hAnsi="仿宋" w:eastAsia="仿宋"/>
          <w:sz w:val="32"/>
          <w:szCs w:val="32"/>
        </w:rPr>
      </w:pPr>
    </w:p>
    <w:p>
      <w:pPr>
        <w:pStyle w:val="8"/>
        <w:jc w:val="center"/>
        <w:rPr>
          <w:rFonts w:hint="eastAsia" w:ascii="仿宋" w:hAnsi="仿宋" w:eastAsia="仿宋"/>
          <w:sz w:val="32"/>
          <w:szCs w:val="32"/>
        </w:rPr>
      </w:pPr>
      <w:r>
        <w:drawing>
          <wp:anchor distT="0" distB="0" distL="114300" distR="114300" simplePos="0" relativeHeight="251659264" behindDoc="0" locked="0" layoutInCell="1" allowOverlap="1">
            <wp:simplePos x="0" y="0"/>
            <wp:positionH relativeFrom="column">
              <wp:posOffset>178435</wp:posOffset>
            </wp:positionH>
            <wp:positionV relativeFrom="paragraph">
              <wp:posOffset>215265</wp:posOffset>
            </wp:positionV>
            <wp:extent cx="4789170" cy="2702560"/>
            <wp:effectExtent l="4445" t="4445" r="6985" b="17145"/>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pStyle w:val="8"/>
        <w:jc w:val="center"/>
        <w:rPr>
          <w:rFonts w:hint="eastAsia" w:ascii="仿宋" w:hAnsi="仿宋"/>
          <w:sz w:val="32"/>
          <w:szCs w:val="32"/>
          <w:lang w:eastAsia="zh-CN"/>
        </w:rPr>
      </w:pPr>
    </w:p>
    <w:p>
      <w:pPr>
        <w:pStyle w:val="8"/>
        <w:jc w:val="center"/>
        <w:rPr>
          <w:rFonts w:hint="eastAsia" w:ascii="仿宋" w:hAnsi="仿宋"/>
          <w:sz w:val="32"/>
          <w:szCs w:val="32"/>
          <w:lang w:eastAsia="zh-CN"/>
        </w:rPr>
      </w:pPr>
    </w:p>
    <w:p>
      <w:pPr>
        <w:pStyle w:val="8"/>
        <w:jc w:val="center"/>
        <w:rPr>
          <w:rFonts w:hint="eastAsia" w:ascii="仿宋" w:hAnsi="仿宋"/>
          <w:sz w:val="32"/>
          <w:szCs w:val="32"/>
          <w:lang w:eastAsia="zh-CN"/>
        </w:rPr>
      </w:pPr>
    </w:p>
    <w:p>
      <w:pPr>
        <w:pStyle w:val="8"/>
        <w:jc w:val="center"/>
        <w:rPr>
          <w:rFonts w:hint="eastAsia" w:ascii="仿宋" w:hAnsi="仿宋"/>
          <w:sz w:val="32"/>
          <w:szCs w:val="32"/>
          <w:lang w:eastAsia="zh-CN"/>
        </w:rPr>
      </w:pPr>
    </w:p>
    <w:p>
      <w:pPr>
        <w:pStyle w:val="8"/>
        <w:jc w:val="center"/>
        <w:rPr>
          <w:rFonts w:hint="eastAsia" w:ascii="仿宋" w:hAnsi="仿宋"/>
          <w:sz w:val="32"/>
          <w:szCs w:val="32"/>
          <w:lang w:eastAsia="zh-CN"/>
        </w:rPr>
      </w:pPr>
    </w:p>
    <w:p>
      <w:pPr>
        <w:pStyle w:val="8"/>
        <w:jc w:val="center"/>
        <w:rPr>
          <w:rFonts w:hint="eastAsia" w:ascii="仿宋" w:hAnsi="仿宋"/>
          <w:sz w:val="32"/>
          <w:szCs w:val="32"/>
          <w:lang w:eastAsia="zh-CN"/>
        </w:rPr>
      </w:pPr>
    </w:p>
    <w:p>
      <w:pPr>
        <w:pStyle w:val="8"/>
        <w:jc w:val="center"/>
        <w:rPr>
          <w:rFonts w:hint="eastAsia" w:ascii="仿宋" w:hAnsi="仿宋"/>
          <w:sz w:val="32"/>
          <w:szCs w:val="32"/>
          <w:lang w:eastAsia="zh-CN"/>
        </w:rPr>
      </w:pPr>
    </w:p>
    <w:p>
      <w:pPr>
        <w:pStyle w:val="8"/>
        <w:jc w:val="center"/>
        <w:rPr>
          <w:rFonts w:hint="eastAsia" w:ascii="仿宋" w:hAnsi="仿宋" w:eastAsia="仿宋"/>
          <w:sz w:val="32"/>
          <w:szCs w:val="32"/>
        </w:rPr>
      </w:pPr>
      <w:r>
        <w:rPr>
          <w:rFonts w:hint="eastAsia" w:ascii="仿宋" w:hAnsi="仿宋"/>
          <w:sz w:val="32"/>
          <w:szCs w:val="32"/>
          <w:lang w:eastAsia="zh-CN"/>
        </w:rPr>
        <w:t>（</w:t>
      </w:r>
      <w:r>
        <w:rPr>
          <w:rFonts w:hint="eastAsia" w:ascii="仿宋" w:hAnsi="仿宋" w:eastAsia="仿宋"/>
          <w:sz w:val="32"/>
          <w:szCs w:val="32"/>
        </w:rPr>
        <w:t>图3：支出决算结构图）（饼状图）</w:t>
      </w:r>
    </w:p>
    <w:p>
      <w:pPr>
        <w:spacing w:line="600" w:lineRule="exact"/>
        <w:ind w:firstLine="640" w:firstLineChars="200"/>
        <w:outlineLvl w:val="1"/>
        <w:rPr>
          <w:rStyle w:val="30"/>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110.66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28.73</w:t>
      </w:r>
      <w:r>
        <w:rPr>
          <w:rFonts w:hint="eastAsia" w:ascii="仿宋" w:hAnsi="仿宋" w:eastAsia="仿宋"/>
          <w:sz w:val="32"/>
          <w:szCs w:val="32"/>
        </w:rPr>
        <w:t>万元，增长</w:t>
      </w:r>
      <w:r>
        <w:rPr>
          <w:rFonts w:hint="eastAsia" w:ascii="仿宋" w:hAnsi="仿宋" w:eastAsia="仿宋"/>
          <w:sz w:val="32"/>
          <w:szCs w:val="32"/>
          <w:lang w:val="en-US" w:eastAsia="zh-CN"/>
        </w:rPr>
        <w:t>35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项目增加，收、支增加</w:t>
      </w:r>
      <w:r>
        <w:rPr>
          <w:rFonts w:hint="eastAsia" w:ascii="仿宋" w:hAnsi="仿宋" w:eastAsia="仿宋"/>
          <w:sz w:val="32"/>
          <w:szCs w:val="32"/>
        </w:rPr>
        <w:t>。</w:t>
      </w:r>
    </w:p>
    <w:p>
      <w:pPr>
        <w:spacing w:line="600" w:lineRule="exact"/>
        <w:ind w:firstLine="420" w:firstLineChars="200"/>
        <w:rPr>
          <w:rFonts w:hint="eastAsia" w:ascii="仿宋" w:hAnsi="仿宋" w:eastAsia="仿宋"/>
          <w:sz w:val="32"/>
          <w:szCs w:val="32"/>
        </w:rPr>
      </w:pPr>
      <w:r>
        <w:drawing>
          <wp:anchor distT="0" distB="0" distL="114300" distR="114300" simplePos="0" relativeHeight="251660288" behindDoc="0" locked="0" layoutInCell="1" allowOverlap="1">
            <wp:simplePos x="0" y="0"/>
            <wp:positionH relativeFrom="column">
              <wp:posOffset>513715</wp:posOffset>
            </wp:positionH>
            <wp:positionV relativeFrom="paragraph">
              <wp:posOffset>60325</wp:posOffset>
            </wp:positionV>
            <wp:extent cx="3978910" cy="3025140"/>
            <wp:effectExtent l="4445" t="5080" r="17145" b="17780"/>
            <wp:wrapSquare wrapText="bothSides"/>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110.66</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28.73</w:t>
      </w:r>
      <w:r>
        <w:rPr>
          <w:rFonts w:hint="eastAsia" w:ascii="仿宋" w:hAnsi="仿宋" w:eastAsia="仿宋"/>
          <w:sz w:val="32"/>
          <w:szCs w:val="32"/>
        </w:rPr>
        <w:t>万元，增长</w:t>
      </w:r>
      <w:r>
        <w:rPr>
          <w:rFonts w:hint="eastAsia" w:ascii="仿宋" w:hAnsi="仿宋" w:eastAsia="仿宋"/>
          <w:sz w:val="32"/>
          <w:szCs w:val="32"/>
          <w:lang w:val="en-US" w:eastAsia="zh-CN"/>
        </w:rPr>
        <w:t>35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项目增加，收、支增加</w:t>
      </w:r>
      <w:r>
        <w:rPr>
          <w:rFonts w:hint="eastAsia" w:ascii="仿宋" w:hAnsi="仿宋" w:eastAsia="仿宋"/>
          <w:sz w:val="32"/>
          <w:szCs w:val="32"/>
        </w:rPr>
        <w:t>。</w:t>
      </w:r>
    </w:p>
    <w:p>
      <w:pPr>
        <w:spacing w:line="600" w:lineRule="exact"/>
        <w:ind w:firstLine="420" w:firstLineChars="200"/>
      </w:pPr>
      <w:r>
        <w:drawing>
          <wp:anchor distT="0" distB="0" distL="114300" distR="114300" simplePos="0" relativeHeight="251661312" behindDoc="0" locked="0" layoutInCell="1" allowOverlap="1">
            <wp:simplePos x="0" y="0"/>
            <wp:positionH relativeFrom="column">
              <wp:posOffset>316230</wp:posOffset>
            </wp:positionH>
            <wp:positionV relativeFrom="paragraph">
              <wp:posOffset>270510</wp:posOffset>
            </wp:positionV>
            <wp:extent cx="4723130" cy="3808095"/>
            <wp:effectExtent l="4445" t="5080" r="15875" b="15875"/>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图5：一般公共预算财政拨款支出决算变动情况）（柱状图）</w:t>
      </w:r>
    </w:p>
    <w:p>
      <w:pPr>
        <w:pStyle w:val="2"/>
      </w:pPr>
    </w:p>
    <w:p>
      <w:pPr>
        <w:spacing w:line="600" w:lineRule="exact"/>
        <w:ind w:firstLine="642"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110.66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102.04</w:t>
      </w:r>
      <w:r>
        <w:rPr>
          <w:rFonts w:hint="eastAsia" w:ascii="仿宋" w:hAnsi="仿宋" w:eastAsia="仿宋"/>
          <w:sz w:val="32"/>
          <w:szCs w:val="32"/>
        </w:rPr>
        <w:t>万元，占</w:t>
      </w:r>
      <w:r>
        <w:rPr>
          <w:rFonts w:hint="eastAsia" w:ascii="仿宋" w:hAnsi="仿宋" w:eastAsia="仿宋"/>
          <w:sz w:val="32"/>
          <w:szCs w:val="32"/>
          <w:lang w:val="en-US" w:eastAsia="zh-CN"/>
        </w:rPr>
        <w:t>92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3.45</w:t>
      </w:r>
      <w:r>
        <w:rPr>
          <w:rFonts w:hint="eastAsia" w:ascii="仿宋" w:hAnsi="仿宋" w:eastAsia="仿宋"/>
          <w:sz w:val="32"/>
          <w:szCs w:val="32"/>
        </w:rPr>
        <w:t>万元，占</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5.17</w:t>
      </w:r>
      <w:r>
        <w:rPr>
          <w:rFonts w:hint="eastAsia" w:ascii="仿宋" w:hAnsi="仿宋" w:eastAsia="仿宋"/>
          <w:sz w:val="32"/>
          <w:szCs w:val="32"/>
        </w:rPr>
        <w:t>万元，占</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181610</wp:posOffset>
            </wp:positionH>
            <wp:positionV relativeFrom="paragraph">
              <wp:posOffset>234950</wp:posOffset>
            </wp:positionV>
            <wp:extent cx="4515485" cy="3101340"/>
            <wp:effectExtent l="4445" t="5080" r="13970" b="17780"/>
            <wp:wrapSquare wrapText="bothSides"/>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pStyle w:val="8"/>
        <w:rPr>
          <w:rFonts w:ascii="仿宋" w:hAnsi="仿宋" w:eastAsia="仿宋"/>
          <w:sz w:val="32"/>
          <w:szCs w:val="32"/>
        </w:rPr>
      </w:pPr>
    </w:p>
    <w:p>
      <w:pPr>
        <w:spacing w:line="600" w:lineRule="exact"/>
        <w:ind w:firstLine="640" w:firstLineChars="200"/>
        <w:jc w:val="center"/>
        <w:rPr>
          <w:rFonts w:hint="eastAsia" w:ascii="仿宋" w:hAnsi="仿宋" w:eastAsia="仿宋"/>
          <w:sz w:val="32"/>
          <w:szCs w:val="32"/>
        </w:rPr>
      </w:pPr>
    </w:p>
    <w:p>
      <w:pPr>
        <w:spacing w:line="600" w:lineRule="exact"/>
        <w:ind w:firstLine="640" w:firstLineChars="200"/>
        <w:jc w:val="center"/>
        <w:rPr>
          <w:rFonts w:hint="eastAsia" w:ascii="仿宋" w:hAnsi="仿宋" w:eastAsia="仿宋"/>
          <w:sz w:val="32"/>
          <w:szCs w:val="32"/>
        </w:rPr>
      </w:pPr>
    </w:p>
    <w:p>
      <w:pPr>
        <w:spacing w:line="600" w:lineRule="exact"/>
        <w:jc w:val="both"/>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图6：一般公共预算财政拨款支出决算结构）（饼状图）</w:t>
      </w:r>
    </w:p>
    <w:p>
      <w:pPr>
        <w:pStyle w:val="2"/>
      </w:pPr>
    </w:p>
    <w:p>
      <w:pPr>
        <w:spacing w:line="600" w:lineRule="exact"/>
        <w:ind w:firstLine="642"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2" w:firstLineChars="200"/>
        <w:outlineLvl w:val="2"/>
        <w:rPr>
          <w:rFonts w:ascii="仿宋" w:hAnsi="仿宋" w:eastAsia="仿宋"/>
          <w:sz w:val="32"/>
          <w:szCs w:val="32"/>
        </w:rPr>
      </w:pPr>
      <w:bookmarkStart w:id="37" w:name="_Toc15377444"/>
      <w:bookmarkStart w:id="38" w:name="_Toc15378460"/>
      <w:bookmarkStart w:id="39"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110.66万元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7"/>
      <w:bookmarkEnd w:id="38"/>
      <w:bookmarkEnd w:id="39"/>
    </w:p>
    <w:p>
      <w:pPr>
        <w:spacing w:line="600" w:lineRule="exact"/>
        <w:ind w:firstLine="642"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社会保障和就业（类）</w:t>
      </w:r>
      <w:r>
        <w:rPr>
          <w:rStyle w:val="18"/>
          <w:rFonts w:hint="eastAsia" w:ascii="仿宋" w:hAnsi="仿宋" w:eastAsia="仿宋" w:cs="仿宋"/>
          <w:color w:val="000000"/>
          <w:sz w:val="32"/>
          <w:szCs w:val="32"/>
        </w:rPr>
        <w:t>行政事业单位离退休</w:t>
      </w:r>
      <w:r>
        <w:rPr>
          <w:rStyle w:val="18"/>
          <w:rFonts w:hint="eastAsia" w:ascii="仿宋" w:hAnsi="仿宋" w:eastAsia="仿宋"/>
          <w:bCs/>
          <w:sz w:val="32"/>
          <w:szCs w:val="32"/>
        </w:rPr>
        <w:t>（款）</w:t>
      </w:r>
      <w:r>
        <w:rPr>
          <w:rStyle w:val="18"/>
          <w:rFonts w:hint="eastAsia" w:ascii="仿宋" w:hAnsi="仿宋" w:eastAsia="仿宋" w:cs="仿宋"/>
          <w:color w:val="000000"/>
          <w:sz w:val="32"/>
          <w:szCs w:val="32"/>
        </w:rPr>
        <w:t>机关事业单位基本养老保险缴费支出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6.89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2" w:firstLineChars="200"/>
        <w:rPr>
          <w:rStyle w:val="18"/>
          <w:rFonts w:ascii="仿宋" w:hAnsi="仿宋" w:eastAsia="仿宋"/>
          <w:b w:val="0"/>
          <w:bCs w:val="0"/>
          <w:color w:val="000000"/>
          <w:sz w:val="32"/>
          <w:szCs w:val="32"/>
        </w:rPr>
      </w:pPr>
      <w:r>
        <w:rPr>
          <w:rStyle w:val="18"/>
          <w:rFonts w:ascii="仿宋" w:hAnsi="仿宋" w:eastAsia="仿宋" w:cs="仿宋"/>
          <w:color w:val="000000"/>
          <w:sz w:val="32"/>
          <w:szCs w:val="32"/>
        </w:rPr>
        <w:t>2.</w:t>
      </w:r>
      <w:r>
        <w:rPr>
          <w:rFonts w:hint="eastAsia" w:ascii="仿宋" w:hAnsi="仿宋" w:eastAsia="仿宋"/>
          <w:b/>
          <w:bCs/>
          <w:sz w:val="32"/>
          <w:szCs w:val="32"/>
        </w:rPr>
        <w:t>卫生健康</w:t>
      </w:r>
      <w:r>
        <w:rPr>
          <w:rStyle w:val="18"/>
          <w:rFonts w:hint="eastAsia" w:ascii="仿宋" w:hAnsi="仿宋" w:eastAsia="仿宋" w:cs="仿宋"/>
          <w:color w:val="000000"/>
          <w:sz w:val="32"/>
          <w:szCs w:val="32"/>
        </w:rPr>
        <w:t>（类）</w:t>
      </w:r>
      <w:r>
        <w:rPr>
          <w:rStyle w:val="18"/>
          <w:rFonts w:hint="eastAsia" w:ascii="仿宋" w:hAnsi="仿宋" w:eastAsia="仿宋" w:cs="仿宋"/>
          <w:color w:val="000000"/>
          <w:sz w:val="32"/>
          <w:szCs w:val="32"/>
          <w:lang w:eastAsia="zh-CN"/>
        </w:rPr>
        <w:t>行政</w:t>
      </w:r>
      <w:r>
        <w:rPr>
          <w:rStyle w:val="18"/>
          <w:rFonts w:hint="eastAsia" w:ascii="仿宋" w:hAnsi="仿宋" w:eastAsia="仿宋" w:cs="仿宋"/>
          <w:color w:val="000000"/>
          <w:sz w:val="32"/>
          <w:szCs w:val="32"/>
        </w:rPr>
        <w:t>事业单位医疗保险（款）职工基本医疗保险缴费（项）</w:t>
      </w:r>
      <w:r>
        <w:rPr>
          <w:rStyle w:val="18"/>
          <w:rFonts w:ascii="仿宋" w:hAnsi="仿宋" w:eastAsia="仿宋" w:cs="仿宋"/>
          <w:color w:val="000000"/>
          <w:sz w:val="32"/>
          <w:szCs w:val="32"/>
        </w:rPr>
        <w:t>:</w:t>
      </w:r>
      <w:r>
        <w:rPr>
          <w:rStyle w:val="18"/>
          <w:rFonts w:hint="eastAsia" w:ascii="仿宋" w:hAnsi="仿宋" w:eastAsia="仿宋" w:cs="仿宋"/>
          <w:b w:val="0"/>
          <w:bCs w:val="0"/>
          <w:color w:val="000000"/>
          <w:sz w:val="32"/>
          <w:szCs w:val="32"/>
        </w:rPr>
        <w:t>支出决算为3.</w:t>
      </w:r>
      <w:r>
        <w:rPr>
          <w:rStyle w:val="18"/>
          <w:rFonts w:hint="eastAsia" w:ascii="仿宋" w:hAnsi="仿宋" w:eastAsia="仿宋" w:cs="仿宋"/>
          <w:b w:val="0"/>
          <w:bCs w:val="0"/>
          <w:color w:val="000000"/>
          <w:sz w:val="32"/>
          <w:szCs w:val="32"/>
          <w:lang w:val="en-US" w:eastAsia="zh-CN"/>
        </w:rPr>
        <w:t>45</w:t>
      </w:r>
      <w:r>
        <w:rPr>
          <w:rStyle w:val="18"/>
          <w:rFonts w:hint="eastAsia" w:ascii="仿宋" w:hAnsi="仿宋" w:eastAsia="仿宋" w:cs="仿宋"/>
          <w:b w:val="0"/>
          <w:bCs w:val="0"/>
          <w:color w:val="000000"/>
          <w:sz w:val="32"/>
          <w:szCs w:val="32"/>
        </w:rPr>
        <w:t>万元，完成预算</w:t>
      </w:r>
      <w:r>
        <w:rPr>
          <w:rStyle w:val="18"/>
          <w:rFonts w:ascii="仿宋" w:hAnsi="仿宋" w:eastAsia="仿宋" w:cs="仿宋"/>
          <w:b w:val="0"/>
          <w:bCs w:val="0"/>
          <w:color w:val="000000"/>
          <w:sz w:val="32"/>
          <w:szCs w:val="32"/>
        </w:rPr>
        <w:t>100%</w:t>
      </w:r>
      <w:r>
        <w:rPr>
          <w:rStyle w:val="18"/>
          <w:rFonts w:hint="eastAsia" w:ascii="仿宋" w:hAnsi="仿宋" w:eastAsia="仿宋" w:cs="仿宋"/>
          <w:b w:val="0"/>
          <w:bCs w:val="0"/>
          <w:color w:val="000000"/>
          <w:sz w:val="32"/>
          <w:szCs w:val="32"/>
        </w:rPr>
        <w:t>，决算数等于预算数。</w:t>
      </w:r>
    </w:p>
    <w:p>
      <w:pPr>
        <w:spacing w:line="600" w:lineRule="exact"/>
        <w:ind w:firstLine="642" w:firstLineChars="200"/>
        <w:rPr>
          <w:rStyle w:val="18"/>
          <w:rFonts w:ascii="仿宋" w:hAnsi="仿宋" w:eastAsia="仿宋"/>
          <w:b w:val="0"/>
          <w:bCs w:val="0"/>
          <w:color w:val="000000"/>
          <w:sz w:val="32"/>
          <w:szCs w:val="32"/>
        </w:rPr>
      </w:pPr>
      <w:r>
        <w:rPr>
          <w:rStyle w:val="18"/>
          <w:rFonts w:ascii="仿宋" w:hAnsi="仿宋" w:eastAsia="仿宋" w:cs="仿宋"/>
          <w:color w:val="000000"/>
          <w:sz w:val="32"/>
          <w:szCs w:val="32"/>
        </w:rPr>
        <w:t>3.</w:t>
      </w:r>
      <w:r>
        <w:rPr>
          <w:rStyle w:val="18"/>
          <w:rFonts w:hint="eastAsia" w:ascii="仿宋" w:hAnsi="仿宋" w:eastAsia="仿宋" w:cs="仿宋"/>
          <w:color w:val="000000"/>
          <w:sz w:val="32"/>
          <w:szCs w:val="32"/>
        </w:rPr>
        <w:t>红十字事业（类）行政运行（款）其他红十字事业支出（项）：</w:t>
      </w:r>
      <w:r>
        <w:rPr>
          <w:rStyle w:val="18"/>
          <w:rFonts w:hint="eastAsia" w:ascii="仿宋" w:hAnsi="仿宋" w:eastAsia="仿宋" w:cs="仿宋"/>
          <w:b w:val="0"/>
          <w:bCs w:val="0"/>
          <w:color w:val="000000"/>
          <w:sz w:val="32"/>
          <w:szCs w:val="32"/>
        </w:rPr>
        <w:t>支出决算为</w:t>
      </w:r>
      <w:r>
        <w:rPr>
          <w:rStyle w:val="18"/>
          <w:rFonts w:hint="eastAsia" w:ascii="仿宋" w:hAnsi="仿宋" w:eastAsia="仿宋" w:cs="仿宋"/>
          <w:b w:val="0"/>
          <w:bCs w:val="0"/>
          <w:color w:val="000000"/>
          <w:sz w:val="32"/>
          <w:szCs w:val="32"/>
          <w:lang w:val="en-US" w:eastAsia="zh-CN"/>
        </w:rPr>
        <w:t>17.36</w:t>
      </w:r>
      <w:r>
        <w:rPr>
          <w:rStyle w:val="18"/>
          <w:rFonts w:hint="eastAsia" w:ascii="仿宋" w:hAnsi="仿宋" w:eastAsia="仿宋" w:cs="仿宋"/>
          <w:b w:val="0"/>
          <w:bCs w:val="0"/>
          <w:color w:val="000000"/>
          <w:sz w:val="32"/>
          <w:szCs w:val="32"/>
        </w:rPr>
        <w:t>万元，完成预算</w:t>
      </w:r>
      <w:r>
        <w:rPr>
          <w:rStyle w:val="18"/>
          <w:rFonts w:ascii="仿宋" w:hAnsi="仿宋" w:eastAsia="仿宋" w:cs="仿宋"/>
          <w:b w:val="0"/>
          <w:bCs w:val="0"/>
          <w:color w:val="000000"/>
          <w:sz w:val="32"/>
          <w:szCs w:val="32"/>
        </w:rPr>
        <w:t>100%</w:t>
      </w:r>
      <w:r>
        <w:rPr>
          <w:rStyle w:val="18"/>
          <w:rFonts w:hint="eastAsia" w:ascii="仿宋" w:hAnsi="仿宋" w:eastAsia="仿宋" w:cs="仿宋"/>
          <w:b w:val="0"/>
          <w:bCs w:val="0"/>
          <w:color w:val="000000"/>
          <w:sz w:val="32"/>
          <w:szCs w:val="32"/>
        </w:rPr>
        <w:t>，决算数等于预算数。</w:t>
      </w:r>
    </w:p>
    <w:p>
      <w:pPr>
        <w:spacing w:line="600" w:lineRule="exact"/>
        <w:ind w:firstLine="642" w:firstLineChars="200"/>
        <w:rPr>
          <w:rStyle w:val="18"/>
          <w:rFonts w:ascii="仿宋" w:hAnsi="仿宋" w:eastAsia="仿宋"/>
          <w:b w:val="0"/>
          <w:bCs w:val="0"/>
          <w:color w:val="000000"/>
          <w:sz w:val="32"/>
          <w:szCs w:val="32"/>
        </w:rPr>
      </w:pPr>
      <w:r>
        <w:rPr>
          <w:rStyle w:val="18"/>
          <w:rFonts w:ascii="仿宋" w:hAnsi="仿宋" w:eastAsia="仿宋" w:cs="仿宋"/>
          <w:color w:val="000000"/>
          <w:sz w:val="32"/>
          <w:szCs w:val="32"/>
        </w:rPr>
        <w:t>4.</w:t>
      </w:r>
      <w:r>
        <w:rPr>
          <w:rStyle w:val="18"/>
          <w:rFonts w:hint="eastAsia" w:ascii="仿宋" w:hAnsi="仿宋" w:eastAsia="仿宋" w:cs="仿宋"/>
          <w:color w:val="000000"/>
          <w:sz w:val="32"/>
          <w:szCs w:val="32"/>
        </w:rPr>
        <w:t>住房保障支出（类）住房改革支出（款）住房公积金（项）：</w:t>
      </w:r>
      <w:r>
        <w:rPr>
          <w:rStyle w:val="18"/>
          <w:rFonts w:hint="eastAsia" w:ascii="仿宋" w:hAnsi="仿宋" w:eastAsia="仿宋" w:cs="仿宋"/>
          <w:b w:val="0"/>
          <w:bCs w:val="0"/>
          <w:color w:val="000000"/>
          <w:sz w:val="32"/>
          <w:szCs w:val="32"/>
        </w:rPr>
        <w:t>支出决算为</w:t>
      </w:r>
      <w:r>
        <w:rPr>
          <w:rStyle w:val="18"/>
          <w:rFonts w:hint="eastAsia" w:ascii="仿宋" w:hAnsi="仿宋" w:eastAsia="仿宋" w:cs="仿宋"/>
          <w:b w:val="0"/>
          <w:bCs w:val="0"/>
          <w:color w:val="000000"/>
          <w:sz w:val="32"/>
          <w:szCs w:val="32"/>
          <w:lang w:val="en-US" w:eastAsia="zh-CN"/>
        </w:rPr>
        <w:t>5.17</w:t>
      </w:r>
      <w:r>
        <w:rPr>
          <w:rStyle w:val="18"/>
          <w:rFonts w:hint="eastAsia" w:ascii="仿宋" w:hAnsi="仿宋" w:eastAsia="仿宋" w:cs="仿宋"/>
          <w:b w:val="0"/>
          <w:bCs w:val="0"/>
          <w:color w:val="000000"/>
          <w:sz w:val="32"/>
          <w:szCs w:val="32"/>
        </w:rPr>
        <w:t>万元，完成预算</w:t>
      </w:r>
      <w:r>
        <w:rPr>
          <w:rStyle w:val="18"/>
          <w:rFonts w:ascii="仿宋" w:hAnsi="仿宋" w:eastAsia="仿宋" w:cs="仿宋"/>
          <w:b w:val="0"/>
          <w:bCs w:val="0"/>
          <w:color w:val="000000"/>
          <w:sz w:val="32"/>
          <w:szCs w:val="32"/>
        </w:rPr>
        <w:t>100%</w:t>
      </w:r>
      <w:r>
        <w:rPr>
          <w:rStyle w:val="18"/>
          <w:rFonts w:hint="eastAsia" w:ascii="仿宋" w:hAnsi="仿宋" w:eastAsia="仿宋" w:cs="仿宋"/>
          <w:b w:val="0"/>
          <w:bCs w:val="0"/>
          <w:color w:val="000000"/>
          <w:sz w:val="32"/>
          <w:szCs w:val="32"/>
        </w:rPr>
        <w:t>，决算数等于预算数。</w:t>
      </w:r>
    </w:p>
    <w:p>
      <w:pPr>
        <w:spacing w:line="600" w:lineRule="exact"/>
        <w:ind w:firstLine="642" w:firstLineChars="200"/>
        <w:rPr>
          <w:rFonts w:ascii="仿宋" w:hAnsi="仿宋" w:eastAsia="仿宋"/>
          <w:sz w:val="32"/>
          <w:szCs w:val="32"/>
        </w:rPr>
      </w:pPr>
      <w:r>
        <w:rPr>
          <w:rStyle w:val="18"/>
          <w:rFonts w:ascii="仿宋" w:hAnsi="仿宋" w:eastAsia="仿宋" w:cs="仿宋"/>
          <w:color w:val="000000"/>
          <w:sz w:val="32"/>
          <w:szCs w:val="32"/>
        </w:rPr>
        <w:t>5.</w:t>
      </w:r>
      <w:r>
        <w:rPr>
          <w:rStyle w:val="18"/>
          <w:rFonts w:hint="eastAsia" w:ascii="仿宋" w:hAnsi="仿宋" w:eastAsia="仿宋" w:cs="仿宋"/>
          <w:color w:val="000000"/>
          <w:sz w:val="32"/>
          <w:szCs w:val="32"/>
        </w:rPr>
        <w:t>红十字事业（类）行政运行（款）行政运行（项）：</w:t>
      </w:r>
      <w:r>
        <w:rPr>
          <w:rStyle w:val="18"/>
          <w:rFonts w:hint="eastAsia" w:ascii="仿宋" w:hAnsi="仿宋" w:eastAsia="仿宋" w:cs="仿宋"/>
          <w:b w:val="0"/>
          <w:bCs w:val="0"/>
          <w:color w:val="000000"/>
          <w:sz w:val="32"/>
          <w:szCs w:val="32"/>
        </w:rPr>
        <w:t>支出决算为</w:t>
      </w:r>
      <w:r>
        <w:rPr>
          <w:rStyle w:val="18"/>
          <w:rFonts w:hint="eastAsia" w:ascii="仿宋" w:hAnsi="仿宋" w:eastAsia="仿宋" w:cs="仿宋"/>
          <w:b w:val="0"/>
          <w:bCs w:val="0"/>
          <w:color w:val="000000"/>
          <w:sz w:val="32"/>
          <w:szCs w:val="32"/>
          <w:lang w:val="en-US" w:eastAsia="zh-CN"/>
        </w:rPr>
        <w:t>77.79</w:t>
      </w:r>
      <w:r>
        <w:rPr>
          <w:rStyle w:val="18"/>
          <w:rFonts w:hint="eastAsia" w:ascii="仿宋" w:hAnsi="仿宋" w:eastAsia="仿宋" w:cs="仿宋"/>
          <w:b w:val="0"/>
          <w:bCs w:val="0"/>
          <w:color w:val="000000"/>
          <w:sz w:val="32"/>
          <w:szCs w:val="32"/>
        </w:rPr>
        <w:t>万元，完成预算</w:t>
      </w:r>
      <w:r>
        <w:rPr>
          <w:rStyle w:val="18"/>
          <w:rFonts w:ascii="仿宋" w:hAnsi="仿宋" w:eastAsia="仿宋" w:cs="仿宋"/>
          <w:b w:val="0"/>
          <w:bCs w:val="0"/>
          <w:color w:val="000000"/>
          <w:sz w:val="32"/>
          <w:szCs w:val="32"/>
        </w:rPr>
        <w:t>100%</w:t>
      </w:r>
      <w:r>
        <w:rPr>
          <w:rStyle w:val="18"/>
          <w:rFonts w:hint="eastAsia" w:ascii="仿宋" w:hAnsi="仿宋" w:eastAsia="仿宋" w:cs="仿宋"/>
          <w:b w:val="0"/>
          <w:bCs w:val="0"/>
          <w:color w:val="000000"/>
          <w:sz w:val="32"/>
          <w:szCs w:val="32"/>
        </w:rPr>
        <w:t>，决算数等于预算数。</w:t>
      </w:r>
    </w:p>
    <w:p>
      <w:pPr>
        <w:tabs>
          <w:tab w:val="right" w:pos="8306"/>
        </w:tabs>
        <w:spacing w:line="600" w:lineRule="exact"/>
        <w:ind w:firstLine="640"/>
        <w:outlineLvl w:val="1"/>
        <w:rPr>
          <w:rStyle w:val="30"/>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40"/>
      <w:bookmarkEnd w:id="41"/>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93.3</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83.77</w:t>
      </w:r>
      <w:r>
        <w:rPr>
          <w:rFonts w:hint="eastAsia" w:ascii="仿宋" w:hAnsi="仿宋" w:eastAsia="仿宋"/>
          <w:sz w:val="32"/>
          <w:szCs w:val="32"/>
        </w:rPr>
        <w:t>万元，主要包括：基本工资、津贴补贴、奖金、绩效工资、机关事业单位基本养老保险缴费、职业年金缴费、其他社会保障缴费、其他工资福利支出、奖励金、住房公积金、其他对个人和家庭的补助支出等。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9.53</w:t>
      </w:r>
      <w:r>
        <w:rPr>
          <w:rFonts w:hint="eastAsia" w:ascii="仿宋" w:hAnsi="仿宋" w:eastAsia="仿宋"/>
          <w:sz w:val="32"/>
          <w:szCs w:val="32"/>
        </w:rPr>
        <w:t>万元，主要包括：办公费、差旅费、会议费、培训费、公务接待费、工会经费、福利费、其他交通费等。</w:t>
      </w:r>
    </w:p>
    <w:p>
      <w:pPr>
        <w:spacing w:line="600" w:lineRule="exact"/>
        <w:ind w:firstLine="640"/>
        <w:outlineLvl w:val="1"/>
        <w:rPr>
          <w:rStyle w:val="30"/>
          <w:rFonts w:ascii="黑体" w:hAnsi="黑体" w:eastAsia="黑体"/>
          <w:b w:val="0"/>
        </w:rPr>
      </w:pPr>
      <w:bookmarkStart w:id="42" w:name="_Toc15377215"/>
      <w:bookmarkStart w:id="43"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0.35</w:t>
      </w:r>
      <w:r>
        <w:rPr>
          <w:rFonts w:hint="eastAsia" w:ascii="仿宋" w:hAnsi="仿宋" w:eastAsia="仿宋"/>
          <w:sz w:val="32"/>
          <w:szCs w:val="32"/>
        </w:rPr>
        <w:t>万元，完成预算</w:t>
      </w:r>
      <w:r>
        <w:rPr>
          <w:rFonts w:hint="eastAsia" w:ascii="仿宋" w:hAnsi="仿宋" w:eastAsia="仿宋"/>
          <w:sz w:val="32"/>
          <w:szCs w:val="32"/>
          <w:lang w:val="en-US" w:eastAsia="zh-CN"/>
        </w:rPr>
        <w:t>37</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0.73</w:t>
      </w:r>
      <w:r>
        <w:rPr>
          <w:rFonts w:hint="eastAsia" w:ascii="仿宋" w:hAnsi="仿宋" w:eastAsia="仿宋"/>
          <w:sz w:val="32"/>
          <w:szCs w:val="32"/>
        </w:rPr>
        <w:t>万元，下降</w:t>
      </w:r>
      <w:r>
        <w:rPr>
          <w:rFonts w:hint="eastAsia" w:ascii="仿宋" w:hAnsi="仿宋" w:eastAsia="仿宋"/>
          <w:sz w:val="32"/>
          <w:szCs w:val="32"/>
          <w:lang w:val="en-US" w:eastAsia="zh-CN"/>
        </w:rPr>
        <w:t>67</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因为疫情原因，工作中接待减少，节约支出</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0.35</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pPr>
    </w:p>
    <w:p>
      <w:pPr>
        <w:pStyle w:val="2"/>
      </w:pPr>
      <w:r>
        <w:drawing>
          <wp:inline distT="0" distB="0" distL="114300" distR="114300">
            <wp:extent cx="5030470" cy="2838450"/>
            <wp:effectExtent l="4445" t="4445" r="13335" b="1460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2"/>
        <w:rPr>
          <w:rFonts w:hint="eastAsia"/>
        </w:rPr>
      </w:pP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2"/>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2"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0.35</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37</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0.73</w:t>
      </w:r>
      <w:r>
        <w:rPr>
          <w:rFonts w:hint="eastAsia" w:ascii="仿宋_GB2312" w:eastAsia="仿宋_GB2312"/>
          <w:sz w:val="32"/>
          <w:szCs w:val="32"/>
        </w:rPr>
        <w:t>万元，下降</w:t>
      </w:r>
      <w:r>
        <w:rPr>
          <w:rFonts w:hint="eastAsia" w:ascii="仿宋_GB2312" w:eastAsia="仿宋_GB2312"/>
          <w:sz w:val="32"/>
          <w:szCs w:val="32"/>
          <w:lang w:val="en-US" w:eastAsia="zh-CN"/>
        </w:rPr>
        <w:t>67</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因为疫情原因，工作中接待减少，节约支出</w:t>
      </w:r>
      <w:r>
        <w:rPr>
          <w:rFonts w:hint="eastAsia" w:ascii="仿宋" w:hAnsi="仿宋" w:eastAsia="仿宋"/>
          <w:sz w:val="32"/>
          <w:szCs w:val="32"/>
        </w:rPr>
        <w:t>。</w:t>
      </w:r>
      <w:r>
        <w:rPr>
          <w:rFonts w:hint="eastAsia" w:ascii="仿宋_GB2312" w:eastAsia="仿宋_GB2312"/>
          <w:sz w:val="32"/>
          <w:szCs w:val="32"/>
        </w:rPr>
        <w:t>其中：</w:t>
      </w:r>
    </w:p>
    <w:p>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0.35</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6</w:t>
      </w:r>
      <w:r>
        <w:rPr>
          <w:rFonts w:hint="eastAsia" w:ascii="仿宋_GB2312" w:eastAsia="仿宋_GB2312"/>
          <w:sz w:val="32"/>
          <w:szCs w:val="32"/>
        </w:rPr>
        <w:t>批次，</w:t>
      </w:r>
      <w:r>
        <w:rPr>
          <w:rFonts w:hint="eastAsia" w:ascii="仿宋_GB2312" w:eastAsia="仿宋_GB2312"/>
          <w:sz w:val="32"/>
          <w:szCs w:val="32"/>
          <w:lang w:val="en-US" w:eastAsia="zh-CN"/>
        </w:rPr>
        <w:t>46</w:t>
      </w:r>
      <w:r>
        <w:rPr>
          <w:rFonts w:hint="eastAsia" w:ascii="仿宋_GB2312" w:eastAsia="仿宋_GB2312"/>
          <w:sz w:val="32"/>
          <w:szCs w:val="32"/>
        </w:rPr>
        <w:t>人次（包括陪同人员），共计支出</w:t>
      </w:r>
      <w:r>
        <w:rPr>
          <w:rFonts w:hint="eastAsia" w:ascii="仿宋_GB2312" w:eastAsia="仿宋_GB2312"/>
          <w:sz w:val="32"/>
          <w:szCs w:val="32"/>
          <w:lang w:val="en-US" w:eastAsia="zh-CN"/>
        </w:rPr>
        <w:t>0.35</w:t>
      </w:r>
      <w:r>
        <w:rPr>
          <w:rFonts w:hint="eastAsia" w:ascii="仿宋_GB2312" w:eastAsia="仿宋_GB2312"/>
          <w:sz w:val="32"/>
          <w:szCs w:val="32"/>
        </w:rPr>
        <w:t>万元。具体内容包括：</w:t>
      </w:r>
      <w:r>
        <w:rPr>
          <w:rFonts w:hint="eastAsia" w:ascii="仿宋_GB2312" w:eastAsia="仿宋_GB2312"/>
          <w:sz w:val="32"/>
          <w:szCs w:val="32"/>
          <w:lang w:eastAsia="zh-CN"/>
        </w:rPr>
        <w:t>苍溪县、朝天区红十字会调研交流用餐、乡镇基层组织来会交流用餐等。</w:t>
      </w:r>
    </w:p>
    <w:p>
      <w:pPr>
        <w:spacing w:line="600" w:lineRule="exact"/>
        <w:ind w:firstLine="642" w:firstLineChars="200"/>
        <w:rPr>
          <w:rFonts w:hint="eastAsia"/>
          <w:lang w:eastAsia="zh-CN"/>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outlineLvl w:val="1"/>
        <w:rPr>
          <w:rStyle w:val="30"/>
          <w:rFonts w:ascii="黑体" w:hAnsi="黑体" w:eastAsia="黑体"/>
        </w:rPr>
      </w:pPr>
      <w:bookmarkStart w:id="46" w:name="_Toc15377218"/>
      <w:bookmarkStart w:id="47" w:name="_Toc15396610"/>
      <w:r>
        <w:rPr>
          <w:rFonts w:hint="eastAsia" w:ascii="黑体" w:eastAsia="黑体"/>
          <w:sz w:val="32"/>
          <w:szCs w:val="32"/>
        </w:rPr>
        <w:t>八、</w:t>
      </w:r>
      <w:r>
        <w:rPr>
          <w:rStyle w:val="30"/>
          <w:rFonts w:hint="eastAsia" w:ascii="黑体" w:hAnsi="黑体" w:eastAsia="黑体"/>
          <w:b w:val="0"/>
        </w:rPr>
        <w:t>政府性基金预算支出决算情况说明</w:t>
      </w:r>
      <w:bookmarkEnd w:id="46"/>
      <w:bookmarkEnd w:id="47"/>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剑阁县红十字会</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政府性基金预算拨款支出。</w:t>
      </w:r>
    </w:p>
    <w:p>
      <w:pPr>
        <w:numPr>
          <w:ilvl w:val="0"/>
          <w:numId w:val="2"/>
        </w:numPr>
        <w:spacing w:line="600" w:lineRule="exact"/>
        <w:ind w:firstLine="640"/>
        <w:outlineLvl w:val="1"/>
        <w:rPr>
          <w:rStyle w:val="30"/>
          <w:rFonts w:ascii="黑体" w:hAnsi="黑体" w:eastAsia="黑体"/>
          <w:b w:val="0"/>
        </w:rPr>
      </w:pPr>
      <w:bookmarkStart w:id="48" w:name="_Toc15396611"/>
      <w:bookmarkStart w:id="49" w:name="_Toc15377219"/>
      <w:r>
        <w:rPr>
          <w:rStyle w:val="30"/>
          <w:rFonts w:hint="eastAsia" w:ascii="黑体" w:hAnsi="黑体" w:eastAsia="黑体"/>
          <w:b w:val="0"/>
        </w:rPr>
        <w:t>国有资本经营预算支出决算情况说明</w:t>
      </w:r>
      <w:bookmarkEnd w:id="48"/>
      <w:bookmarkEnd w:id="49"/>
    </w:p>
    <w:p>
      <w:pPr>
        <w:spacing w:line="600" w:lineRule="exact"/>
        <w:ind w:firstLine="640" w:firstLineChars="200"/>
        <w:rPr>
          <w:rFonts w:ascii="仿宋_GB2312" w:eastAsia="仿宋_GB2312"/>
          <w:color w:val="000000"/>
          <w:sz w:val="32"/>
          <w:szCs w:val="32"/>
        </w:rPr>
      </w:pPr>
      <w:bookmarkStart w:id="50" w:name="_Toc15396612"/>
      <w:bookmarkStart w:id="51" w:name="_Toc15377221"/>
      <w:r>
        <w:rPr>
          <w:rFonts w:hint="eastAsia" w:ascii="仿宋_GB2312" w:eastAsia="仿宋_GB2312"/>
          <w:color w:val="000000"/>
          <w:sz w:val="32"/>
          <w:szCs w:val="32"/>
          <w:lang w:eastAsia="zh-CN"/>
        </w:rPr>
        <w:t>剑阁县红十字会</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政府性基金预算拨款支出。</w:t>
      </w:r>
    </w:p>
    <w:p>
      <w:pPr>
        <w:numPr>
          <w:ilvl w:val="0"/>
          <w:numId w:val="2"/>
        </w:numPr>
        <w:spacing w:line="600" w:lineRule="exact"/>
        <w:ind w:firstLine="640"/>
        <w:outlineLvl w:val="1"/>
        <w:rPr>
          <w:rStyle w:val="30"/>
          <w:rFonts w:ascii="黑体" w:hAnsi="黑体" w:eastAsia="黑体"/>
          <w:b w:val="0"/>
        </w:rPr>
      </w:pPr>
      <w:r>
        <w:rPr>
          <w:rStyle w:val="30"/>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剑阁县红十字会</w:t>
      </w:r>
      <w:r>
        <w:rPr>
          <w:rFonts w:hint="eastAsia" w:ascii="仿宋_GB2312" w:eastAsia="仿宋_GB2312"/>
          <w:sz w:val="32"/>
          <w:szCs w:val="32"/>
        </w:rPr>
        <w:t>机关运行经费支出</w:t>
      </w:r>
      <w:r>
        <w:rPr>
          <w:rFonts w:hint="eastAsia" w:ascii="仿宋_GB2312" w:eastAsia="仿宋_GB2312"/>
          <w:sz w:val="32"/>
          <w:szCs w:val="32"/>
          <w:lang w:val="en-US" w:eastAsia="zh-CN"/>
        </w:rPr>
        <w:t>9.53</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0.13</w:t>
      </w:r>
      <w:r>
        <w:rPr>
          <w:rFonts w:hint="eastAsia" w:ascii="仿宋_GB2312" w:eastAsia="仿宋_GB2312"/>
          <w:sz w:val="32"/>
          <w:szCs w:val="32"/>
        </w:rPr>
        <w:t>万元，下降</w:t>
      </w: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公务接待费下降</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年，政府采购支出总额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万元，其中：政府采购货物支出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万元、政府采购工程支出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万元、政府采购服务支出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万元。授予中小企业合同金额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0%</w:t>
      </w:r>
      <w:r>
        <w:rPr>
          <w:rFonts w:hint="eastAsia" w:ascii="仿宋_GB2312" w:eastAsia="仿宋_GB2312" w:cs="仿宋_GB2312"/>
          <w:color w:val="000000"/>
          <w:sz w:val="32"/>
          <w:szCs w:val="32"/>
        </w:rPr>
        <w:t>，其中：授予小微企业合同金额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0%</w:t>
      </w:r>
      <w:r>
        <w:rPr>
          <w:rFonts w:hint="eastAsia" w:ascii="仿宋_GB2312" w:eastAsia="仿宋_GB2312" w:cs="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截至202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日，共有车辆</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辆，其中：部级领导干部用车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辆、特种专业技术用车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autoSpaceDE w:val="0"/>
        <w:autoSpaceDN w:val="0"/>
        <w:adjustRightInd w:val="0"/>
        <w:spacing w:line="600" w:lineRule="exact"/>
        <w:ind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根据预算绩效管理要求，本部门在2022年度预算编制阶段，组织对</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个项目编制了绩效目标，预算执行过程中，选取</w:t>
      </w:r>
      <w:r>
        <w:rPr>
          <w:rFonts w:hint="eastAsia" w:ascii="仿宋_GB2312" w:eastAsia="仿宋_GB2312" w:cs="仿宋_GB2312"/>
          <w:color w:val="000000"/>
          <w:sz w:val="32"/>
          <w:szCs w:val="32"/>
          <w:lang w:eastAsia="zh-CN"/>
        </w:rPr>
        <w:t>“应急救护百万培训项目”、“项目争取经费”“红十字会员代表大会及换届选举工作会”</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个项目开展</w:t>
      </w:r>
      <w:r>
        <w:rPr>
          <w:rFonts w:hint="eastAsia" w:ascii="仿宋_GB2312" w:eastAsia="仿宋_GB2312" w:cs="仿宋_GB2312"/>
          <w:color w:val="000000"/>
          <w:sz w:val="32"/>
          <w:szCs w:val="32"/>
          <w:lang w:eastAsia="zh-CN"/>
        </w:rPr>
        <w:t>了</w:t>
      </w:r>
      <w:r>
        <w:rPr>
          <w:rFonts w:hint="eastAsia" w:ascii="仿宋_GB2312" w:eastAsia="仿宋_GB2312" w:cs="仿宋_GB2312"/>
          <w:color w:val="000000"/>
          <w:sz w:val="32"/>
          <w:szCs w:val="32"/>
        </w:rPr>
        <w:t>绩效监控。</w:t>
      </w:r>
    </w:p>
    <w:p>
      <w:pPr>
        <w:autoSpaceDE w:val="0"/>
        <w:autoSpaceDN w:val="0"/>
        <w:adjustRightInd w:val="0"/>
        <w:spacing w:line="600" w:lineRule="exact"/>
        <w:ind w:firstLine="640" w:firstLineChars="200"/>
        <w:jc w:val="left"/>
        <w:rPr>
          <w:rFonts w:ascii="仿宋_GB2312" w:eastAsia="仿宋_GB2312"/>
          <w:b/>
          <w:sz w:val="32"/>
          <w:szCs w:val="32"/>
        </w:rPr>
      </w:pPr>
      <w:r>
        <w:rPr>
          <w:rFonts w:hint="eastAsia" w:ascii="仿宋_GB2312" w:eastAsia="仿宋_GB2312" w:cs="仿宋_GB2312"/>
          <w:color w:val="000000"/>
          <w:sz w:val="32"/>
          <w:szCs w:val="32"/>
        </w:rPr>
        <w:t>组织对2022年度一般公共预算全面开展绩效自评，形成</w:t>
      </w:r>
      <w:r>
        <w:rPr>
          <w:rFonts w:hint="eastAsia" w:ascii="仿宋_GB2312" w:eastAsia="仿宋_GB2312" w:cs="仿宋_GB2312"/>
          <w:color w:val="000000"/>
          <w:sz w:val="32"/>
          <w:szCs w:val="32"/>
          <w:lang w:eastAsia="zh-CN"/>
        </w:rPr>
        <w:t>剑阁县红十字会</w:t>
      </w:r>
      <w:r>
        <w:rPr>
          <w:rFonts w:hint="eastAsia" w:ascii="仿宋_GB2312" w:eastAsia="仿宋_GB2312" w:cs="仿宋_GB2312"/>
          <w:color w:val="000000"/>
          <w:sz w:val="32"/>
          <w:szCs w:val="32"/>
        </w:rPr>
        <w:t>部门整体（含部门预算项目）绩效自评报告</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其中，</w:t>
      </w:r>
      <w:r>
        <w:rPr>
          <w:rFonts w:hint="eastAsia" w:ascii="仿宋_GB2312" w:eastAsia="仿宋_GB2312" w:cs="仿宋_GB2312"/>
          <w:color w:val="000000"/>
          <w:sz w:val="32"/>
          <w:szCs w:val="32"/>
          <w:lang w:eastAsia="zh-CN"/>
        </w:rPr>
        <w:t>剑阁县红十字会</w:t>
      </w:r>
      <w:r>
        <w:rPr>
          <w:rFonts w:hint="eastAsia" w:ascii="仿宋_GB2312" w:eastAsia="仿宋_GB2312" w:cs="仿宋_GB2312"/>
          <w:color w:val="000000"/>
          <w:sz w:val="32"/>
          <w:szCs w:val="32"/>
        </w:rPr>
        <w:t>部门整体（含部门预算项目）绩效自评得分为</w:t>
      </w:r>
      <w:r>
        <w:rPr>
          <w:rFonts w:hint="eastAsia" w:ascii="仿宋_GB2312" w:eastAsia="仿宋_GB2312" w:cs="仿宋_GB2312"/>
          <w:color w:val="000000"/>
          <w:sz w:val="32"/>
          <w:szCs w:val="32"/>
          <w:lang w:val="en-US" w:eastAsia="zh-CN"/>
        </w:rPr>
        <w:t>90</w:t>
      </w:r>
      <w:r>
        <w:rPr>
          <w:rFonts w:hint="eastAsia" w:ascii="仿宋_GB2312" w:eastAsia="仿宋_GB2312" w:cs="仿宋_GB2312"/>
          <w:color w:val="000000"/>
          <w:sz w:val="32"/>
          <w:szCs w:val="32"/>
        </w:rPr>
        <w:t>分，绩效自评综述：</w:t>
      </w:r>
      <w:r>
        <w:rPr>
          <w:rFonts w:hint="eastAsia" w:ascii="仿宋_GB2312" w:eastAsia="仿宋_GB2312" w:cs="仿宋_GB2312"/>
          <w:color w:val="000000"/>
          <w:sz w:val="32"/>
          <w:szCs w:val="32"/>
          <w:lang w:val="en-US" w:eastAsia="zh-CN"/>
        </w:rPr>
        <w:t>2022</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红会整体支出</w:t>
      </w:r>
      <w:r>
        <w:rPr>
          <w:rFonts w:hint="eastAsia" w:ascii="仿宋_GB2312" w:eastAsia="仿宋_GB2312" w:cs="仿宋_GB2312"/>
          <w:color w:val="000000"/>
          <w:sz w:val="32"/>
          <w:szCs w:val="32"/>
        </w:rPr>
        <w:t>政策依据充分，目标制定明确</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按照计划有序实施，资金到位及时，经费使用严格按照相关财务管理制度执行，对资金的使用监管有力有效。整个</w:t>
      </w:r>
      <w:r>
        <w:rPr>
          <w:rFonts w:hint="eastAsia" w:ascii="仿宋_GB2312" w:eastAsia="仿宋_GB2312" w:cs="仿宋_GB2312"/>
          <w:color w:val="000000"/>
          <w:sz w:val="32"/>
          <w:szCs w:val="32"/>
          <w:lang w:eastAsia="zh-CN"/>
        </w:rPr>
        <w:t>支出</w:t>
      </w:r>
      <w:r>
        <w:rPr>
          <w:rFonts w:hint="eastAsia" w:ascii="仿宋_GB2312" w:eastAsia="仿宋_GB2312" w:cs="仿宋_GB2312"/>
          <w:color w:val="000000"/>
          <w:sz w:val="32"/>
          <w:szCs w:val="32"/>
        </w:rPr>
        <w:t>实施达到了预期的绩效目标</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绩效自评报告详见附件。</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9"/>
          <w:rFonts w:ascii="黑体" w:hAnsi="黑体" w:eastAsia="黑体"/>
          <w:b w:val="0"/>
        </w:rPr>
      </w:pPr>
      <w:bookmarkStart w:id="55" w:name="_Toc15377225"/>
      <w:bookmarkStart w:id="56" w:name="_Toc15396613"/>
      <w:r>
        <w:rPr>
          <w:rFonts w:hint="eastAsia" w:ascii="黑体" w:hAnsi="黑体" w:eastAsia="黑体"/>
          <w:sz w:val="44"/>
          <w:szCs w:val="44"/>
        </w:rPr>
        <w:t>名</w:t>
      </w:r>
      <w:r>
        <w:rPr>
          <w:rStyle w:val="29"/>
          <w:rFonts w:hint="eastAsia" w:ascii="黑体" w:hAnsi="黑体" w:eastAsia="黑体"/>
          <w:b w:val="0"/>
        </w:rPr>
        <w:t>词解释</w:t>
      </w:r>
      <w:bookmarkEnd w:id="55"/>
      <w:bookmarkEnd w:id="56"/>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4.</w:t>
      </w:r>
      <w:r>
        <w:rPr>
          <w:rFonts w:hint="eastAsia" w:ascii="仿宋_GB2312" w:eastAsia="仿宋_GB2312" w:cs="仿宋_GB2312"/>
          <w:color w:val="000000"/>
          <w:sz w:val="32"/>
          <w:szCs w:val="32"/>
        </w:rPr>
        <w:t>社会保障和就业（类）行政事业单位离退休（款）机关事业单位机保养老保险缴费（项）：指</w:t>
      </w:r>
      <w:r>
        <w:rPr>
          <w:rFonts w:hint="eastAsia" w:ascii="仿宋_GB2312" w:hAnsi="仿宋_GB2312" w:eastAsia="仿宋_GB2312" w:cs="仿宋_GB2312"/>
          <w:sz w:val="30"/>
          <w:szCs w:val="30"/>
        </w:rPr>
        <w:t>机关事业单位实施养老保险制度由单位缴纳的基本养老保险费的支出</w:t>
      </w:r>
      <w:r>
        <w:rPr>
          <w:rFonts w:hint="eastAsia" w:ascii="仿宋_GB2312" w:eastAsia="仿宋_GB2312" w:cs="仿宋_GB2312"/>
          <w:color w:val="000000"/>
          <w:sz w:val="32"/>
          <w:szCs w:val="32"/>
        </w:rPr>
        <w:t>。</w:t>
      </w:r>
    </w:p>
    <w:p>
      <w:pPr>
        <w:spacing w:line="576" w:lineRule="exact"/>
        <w:ind w:firstLine="600" w:firstLineChars="200"/>
        <w:rPr>
          <w:rFonts w:ascii="仿宋_GB2312" w:hAnsi="仿宋_GB2312" w:eastAsia="仿宋_GB2312"/>
          <w:sz w:val="30"/>
          <w:szCs w:val="30"/>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行政运行（类）其他红十字事业支出（项）：指反映其他用于红十字事业方面的支出。</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6.卫生健康（类）</w:t>
      </w:r>
      <w:r>
        <w:rPr>
          <w:rFonts w:hint="eastAsia" w:ascii="仿宋_GB2312" w:eastAsia="仿宋_GB2312" w:cs="仿宋_GB2312"/>
          <w:color w:val="000000"/>
          <w:sz w:val="32"/>
          <w:szCs w:val="32"/>
          <w:lang w:eastAsia="zh-CN"/>
        </w:rPr>
        <w:t>行政</w:t>
      </w:r>
      <w:r>
        <w:rPr>
          <w:rFonts w:hint="eastAsia" w:ascii="仿宋_GB2312" w:eastAsia="仿宋_GB2312" w:cs="仿宋_GB2312"/>
          <w:color w:val="000000"/>
          <w:sz w:val="32"/>
          <w:szCs w:val="32"/>
        </w:rPr>
        <w:t>事业单位医疗保险（款）职工基本医疗保险缴费（项）：指财政部门安排的事业单位基本医疗保险缴费经费，未参加医疗保险的事业单位的公费医疗经费，按国家规定享受离休人员待遇的医疗经费。</w:t>
      </w:r>
    </w:p>
    <w:p>
      <w:pPr>
        <w:spacing w:line="576"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7.</w:t>
      </w:r>
      <w:r>
        <w:rPr>
          <w:rFonts w:hint="eastAsia" w:ascii="仿宋_GB2312" w:eastAsia="仿宋_GB2312" w:cs="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numPr>
          <w:ilvl w:val="0"/>
          <w:numId w:val="4"/>
        </w:numPr>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hint="eastAsia"/>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7"/>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val="en-US" w:eastAsia="zh-CN"/>
        </w:rPr>
        <w:t>10</w:t>
      </w:r>
      <w:r>
        <w:rPr>
          <w:rFonts w:ascii="仿宋_GB2312" w:eastAsia="仿宋_GB2312" w:cs="仿宋_GB2312"/>
          <w:sz w:val="32"/>
          <w:szCs w:val="32"/>
        </w:rPr>
        <w:t>.</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sz w:val="32"/>
          <w:szCs w:val="32"/>
        </w:rPr>
      </w:pPr>
      <w:r>
        <w:rPr>
          <w:rFonts w:hint="eastAsia" w:ascii="仿宋_GB2312" w:hAnsi="Times New Roman" w:eastAsia="仿宋_GB2312"/>
          <w:b w:val="0"/>
          <w:bCs w:val="0"/>
          <w:color w:val="auto"/>
          <w:sz w:val="32"/>
          <w:szCs w:val="32"/>
          <w:lang w:val="en-US" w:eastAsia="zh-CN"/>
        </w:rPr>
        <w:t>11.</w:t>
      </w:r>
      <w:r>
        <w:rPr>
          <w:rFonts w:hint="eastAsia" w:ascii="仿宋_GB2312" w:hAnsi="Times New Roman" w:eastAsia="仿宋_GB2312"/>
          <w:b w:val="0"/>
          <w:bCs w:val="0"/>
          <w:color w:val="auto"/>
          <w:sz w:val="32"/>
          <w:szCs w:val="32"/>
        </w:rPr>
        <w:t>机关运行经费：</w:t>
      </w:r>
      <w:r>
        <w:rPr>
          <w:rFonts w:hint="eastAsia" w:ascii="仿宋_GB2312" w:eastAsia="仿宋_GB2312"/>
          <w:sz w:val="32"/>
          <w:szCs w:val="32"/>
        </w:rPr>
        <w:t>为保障含参照公务员法管理的事业单位运行用于购买货物和服务的各项资金，包括办公及印刷费、邮电费、差旅费、会议费、福利费、日常维修费、专用材料及一般设备购置费、办公用房水电费</w:t>
      </w:r>
      <w:r>
        <w:rPr>
          <w:rFonts w:hint="eastAsia" w:ascii="仿宋_GB2312" w:eastAsia="仿宋_GB2312"/>
          <w:sz w:val="32"/>
          <w:szCs w:val="32"/>
          <w:lang w:eastAsia="zh-CN"/>
        </w:rPr>
        <w:t>、</w:t>
      </w:r>
      <w:r>
        <w:rPr>
          <w:rFonts w:hint="eastAsia" w:ascii="仿宋_GB2312" w:eastAsia="仿宋_GB2312"/>
          <w:sz w:val="32"/>
          <w:szCs w:val="32"/>
        </w:rPr>
        <w:t>公务用车运行维护费以及其他费用。</w:t>
      </w:r>
    </w:p>
    <w:p>
      <w:pPr>
        <w:spacing w:line="600" w:lineRule="exact"/>
        <w:jc w:val="center"/>
        <w:outlineLvl w:val="0"/>
        <w:rPr>
          <w:rFonts w:hint="eastAsia" w:ascii="黑体" w:hAnsi="黑体" w:eastAsia="黑体" w:cs="黑体"/>
          <w:sz w:val="36"/>
          <w:szCs w:val="36"/>
        </w:rPr>
      </w:pPr>
    </w:p>
    <w:p>
      <w:pPr>
        <w:spacing w:line="600" w:lineRule="exact"/>
        <w:jc w:val="center"/>
        <w:outlineLvl w:val="0"/>
        <w:rPr>
          <w:rStyle w:val="29"/>
          <w:rFonts w:ascii="黑体" w:hAnsi="黑体" w:eastAsia="黑体"/>
          <w:b w:val="0"/>
        </w:rPr>
      </w:pPr>
      <w:bookmarkStart w:id="57" w:name="_Toc15377226"/>
      <w:r>
        <w:rPr>
          <w:rFonts w:ascii="宋体"/>
          <w:b/>
          <w:sz w:val="44"/>
          <w:szCs w:val="44"/>
        </w:rPr>
        <w:br w:type="page"/>
      </w:r>
      <w:bookmarkStart w:id="58" w:name="_Toc15396614"/>
      <w:r>
        <w:rPr>
          <w:rFonts w:hint="eastAsia" w:ascii="黑体" w:hAnsi="黑体" w:eastAsia="黑体"/>
          <w:sz w:val="44"/>
          <w:szCs w:val="44"/>
        </w:rPr>
        <w:t>第</w:t>
      </w:r>
      <w:r>
        <w:rPr>
          <w:rStyle w:val="29"/>
          <w:rFonts w:hint="eastAsia" w:ascii="黑体" w:hAnsi="黑体" w:eastAsia="黑体"/>
          <w:b w:val="0"/>
        </w:rPr>
        <w:t>四部分 附件</w:t>
      </w:r>
      <w:bookmarkEnd w:id="58"/>
    </w:p>
    <w:p>
      <w:pPr>
        <w:spacing w:line="572" w:lineRule="exact"/>
        <w:ind w:firstLine="640" w:firstLineChars="200"/>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spacing w:line="576" w:lineRule="exact"/>
        <w:ind w:left="0" w:leftChars="0"/>
        <w:contextualSpacing/>
        <w:jc w:val="center"/>
        <w:textAlignment w:val="auto"/>
        <w:rPr>
          <w:rFonts w:hint="eastAsia" w:ascii="方正小标宋简体" w:hAnsi="方正小标宋简体" w:eastAsia="方正小标宋简体" w:cs="方正小标宋简体"/>
          <w:b/>
          <w:bCs w:val="0"/>
          <w:sz w:val="40"/>
          <w:szCs w:val="40"/>
          <w:highlight w:val="none"/>
          <w:shd w:val="clear" w:color="auto" w:fill="FFFFFF"/>
        </w:rPr>
      </w:pPr>
    </w:p>
    <w:p>
      <w:pPr>
        <w:keepNext w:val="0"/>
        <w:keepLines w:val="0"/>
        <w:pageBreakBefore w:val="0"/>
        <w:widowControl w:val="0"/>
        <w:kinsoku/>
        <w:wordWrap/>
        <w:overflowPunct/>
        <w:topLinePunct w:val="0"/>
        <w:autoSpaceDE/>
        <w:autoSpaceDN/>
        <w:bidi w:val="0"/>
        <w:spacing w:line="576" w:lineRule="exact"/>
        <w:ind w:left="0" w:leftChars="0"/>
        <w:contextualSpacing/>
        <w:jc w:val="center"/>
        <w:textAlignment w:val="auto"/>
        <w:rPr>
          <w:rFonts w:hint="eastAsia" w:ascii="方正小标宋简体" w:hAnsi="方正小标宋简体" w:eastAsia="方正小标宋简体" w:cs="方正小标宋简体"/>
          <w:b/>
          <w:bCs w:val="0"/>
          <w:sz w:val="40"/>
          <w:szCs w:val="40"/>
          <w:shd w:val="clear" w:color="auto" w:fill="FFFFFF"/>
          <w:lang w:eastAsia="zh-CN"/>
        </w:rPr>
      </w:pPr>
      <w:r>
        <w:rPr>
          <w:rFonts w:hint="eastAsia" w:ascii="方正小标宋简体" w:hAnsi="方正小标宋简体" w:eastAsia="方正小标宋简体" w:cs="方正小标宋简体"/>
          <w:b/>
          <w:bCs w:val="0"/>
          <w:sz w:val="40"/>
          <w:szCs w:val="40"/>
          <w:highlight w:val="none"/>
          <w:shd w:val="clear" w:color="auto" w:fill="FFFFFF"/>
        </w:rPr>
        <w:t>20</w:t>
      </w:r>
      <w:r>
        <w:rPr>
          <w:rFonts w:hint="eastAsia" w:ascii="方正小标宋简体" w:hAnsi="方正小标宋简体" w:eastAsia="方正小标宋简体" w:cs="方正小标宋简体"/>
          <w:b/>
          <w:bCs w:val="0"/>
          <w:sz w:val="40"/>
          <w:szCs w:val="40"/>
          <w:highlight w:val="none"/>
          <w:shd w:val="clear" w:color="auto" w:fill="FFFFFF"/>
          <w:lang w:val="en-US" w:eastAsia="zh-CN"/>
        </w:rPr>
        <w:t>22</w:t>
      </w:r>
      <w:r>
        <w:rPr>
          <w:rFonts w:hint="eastAsia" w:ascii="方正小标宋简体" w:hAnsi="方正小标宋简体" w:eastAsia="方正小标宋简体" w:cs="方正小标宋简体"/>
          <w:b/>
          <w:bCs w:val="0"/>
          <w:sz w:val="40"/>
          <w:szCs w:val="40"/>
          <w:highlight w:val="none"/>
          <w:shd w:val="clear" w:color="auto" w:fill="FFFFFF"/>
        </w:rPr>
        <w:t>年</w:t>
      </w:r>
      <w:r>
        <w:rPr>
          <w:rFonts w:hint="eastAsia" w:ascii="方正小标宋简体" w:hAnsi="方正小标宋简体" w:eastAsia="方正小标宋简体" w:cs="方正小标宋简体"/>
          <w:b/>
          <w:bCs w:val="0"/>
          <w:sz w:val="40"/>
          <w:szCs w:val="40"/>
          <w:shd w:val="clear" w:color="auto" w:fill="FFFFFF"/>
          <w:lang w:eastAsia="zh-CN"/>
        </w:rPr>
        <w:t>剑阁县红十字会</w:t>
      </w:r>
    </w:p>
    <w:p>
      <w:pPr>
        <w:keepNext w:val="0"/>
        <w:keepLines w:val="0"/>
        <w:pageBreakBefore w:val="0"/>
        <w:widowControl w:val="0"/>
        <w:kinsoku/>
        <w:wordWrap/>
        <w:overflowPunct/>
        <w:topLinePunct w:val="0"/>
        <w:autoSpaceDE/>
        <w:autoSpaceDN/>
        <w:bidi w:val="0"/>
        <w:spacing w:line="576" w:lineRule="exact"/>
        <w:ind w:left="0" w:leftChars="0"/>
        <w:contextualSpacing/>
        <w:jc w:val="center"/>
        <w:textAlignment w:val="auto"/>
        <w:rPr>
          <w:rFonts w:hint="eastAsia" w:ascii="方正小标宋简体" w:hAnsi="方正小标宋简体" w:eastAsia="方正小标宋简体" w:cs="方正小标宋简体"/>
          <w:b/>
          <w:bCs w:val="0"/>
          <w:sz w:val="40"/>
          <w:szCs w:val="40"/>
          <w:highlight w:val="none"/>
          <w:shd w:val="clear" w:color="auto" w:fill="FFFFFF"/>
          <w:lang w:eastAsia="zh-CN"/>
        </w:rPr>
      </w:pPr>
      <w:r>
        <w:rPr>
          <w:rFonts w:hint="eastAsia" w:ascii="方正小标宋简体" w:hAnsi="方正小标宋简体" w:eastAsia="方正小标宋简体" w:cs="方正小标宋简体"/>
          <w:b/>
          <w:bCs w:val="0"/>
          <w:sz w:val="40"/>
          <w:szCs w:val="40"/>
          <w:shd w:val="clear" w:color="auto" w:fill="FFFFFF"/>
        </w:rPr>
        <w:t>部门整体支出绩效评价报告</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480" w:firstLineChars="200"/>
        <w:contextualSpacing/>
        <w:jc w:val="both"/>
        <w:textAlignment w:val="auto"/>
        <w:rPr>
          <w:rFonts w:ascii="黑体" w:hAnsi="宋体" w:eastAsia="黑体" w:cs="宋体"/>
          <w:color w:val="000000"/>
          <w:kern w:val="0"/>
          <w:sz w:val="24"/>
          <w:szCs w:val="32"/>
          <w:highlight w:val="none"/>
          <w:shd w:val="clear" w:color="auto" w:fill="FFFFFF"/>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黑体" w:hAnsi="黑体" w:eastAsia="黑体" w:cs="黑体"/>
          <w:color w:val="000000"/>
          <w:kern w:val="0"/>
          <w:sz w:val="32"/>
          <w:szCs w:val="32"/>
          <w:highlight w:val="none"/>
          <w:shd w:val="clear" w:color="auto" w:fill="FFFFFF"/>
          <w:lang w:val="zh-CN"/>
        </w:rPr>
      </w:pPr>
      <w:r>
        <w:rPr>
          <w:rFonts w:hint="eastAsia" w:ascii="黑体" w:hAnsi="黑体" w:eastAsia="黑体" w:cs="黑体"/>
          <w:color w:val="000000"/>
          <w:kern w:val="0"/>
          <w:sz w:val="32"/>
          <w:szCs w:val="32"/>
          <w:highlight w:val="none"/>
          <w:shd w:val="clear" w:color="auto" w:fill="FFFFFF"/>
          <w:lang w:val="zh-CN"/>
        </w:rPr>
        <w:t>部门（单位）基本情况</w:t>
      </w:r>
    </w:p>
    <w:p>
      <w:pPr>
        <w:pStyle w:val="2"/>
        <w:keepNext w:val="0"/>
        <w:keepLines w:val="0"/>
        <w:pageBreakBefore w:val="0"/>
        <w:widowControl w:val="0"/>
        <w:kinsoku/>
        <w:wordWrap/>
        <w:overflowPunct/>
        <w:topLinePunct w:val="0"/>
        <w:autoSpaceDE/>
        <w:autoSpaceDN/>
        <w:bidi w:val="0"/>
        <w:adjustRightInd w:val="0"/>
        <w:snapToGrid w:val="0"/>
        <w:spacing w:beforeLines="0" w:after="0" w:afterAutospacing="0" w:line="576" w:lineRule="exact"/>
        <w:ind w:left="0" w:leftChars="0" w:firstLine="674" w:firstLineChars="21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kern w:val="0"/>
          <w:sz w:val="32"/>
          <w:szCs w:val="32"/>
          <w:highlight w:val="none"/>
          <w:shd w:val="clear" w:color="auto" w:fill="FFFFFF"/>
          <w:lang w:val="zh-CN" w:eastAsia="zh-CN" w:bidi="ar-SA"/>
        </w:rPr>
        <w:t>（一）机构组成。</w:t>
      </w:r>
      <w:r>
        <w:rPr>
          <w:rFonts w:hint="eastAsia" w:ascii="仿宋_GB2312" w:hAnsi="仿宋_GB2312" w:eastAsia="仿宋_GB2312" w:cs="仿宋_GB2312"/>
          <w:sz w:val="32"/>
          <w:szCs w:val="32"/>
        </w:rPr>
        <w:t>剑阁县红十字会属参公管理的事业单位，核定总编制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名，其中参公</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名，工勤编制1名。内设办公室、赈济救护部、事业发展部等3个部室。无下属单位。</w:t>
      </w:r>
    </w:p>
    <w:p>
      <w:pPr>
        <w:keepNext w:val="0"/>
        <w:keepLines w:val="0"/>
        <w:pageBreakBefore w:val="0"/>
        <w:widowControl w:val="0"/>
        <w:shd w:val="clear" w:color="auto" w:fill="FFFFFF"/>
        <w:kinsoku/>
        <w:wordWrap/>
        <w:overflowPunct/>
        <w:topLinePunct w:val="0"/>
        <w:autoSpaceDE/>
        <w:autoSpaceDN/>
        <w:bidi w:val="0"/>
        <w:spacing w:afterAutospacing="0" w:line="576" w:lineRule="exact"/>
        <w:ind w:left="0" w:leftChars="0" w:firstLine="480"/>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eastAsia="zh-CN" w:bidi="ar-SA"/>
        </w:rPr>
      </w:pPr>
      <w:r>
        <w:rPr>
          <w:rFonts w:hint="eastAsia" w:ascii="楷体_GB2312" w:hAnsi="楷体_GB2312" w:eastAsia="楷体_GB2312" w:cs="楷体_GB2312"/>
          <w:b/>
          <w:bCs/>
          <w:color w:val="000000"/>
          <w:kern w:val="0"/>
          <w:sz w:val="32"/>
          <w:szCs w:val="32"/>
          <w:highlight w:val="none"/>
          <w:shd w:val="clear" w:color="auto" w:fill="FFFFFF"/>
          <w:lang w:val="zh-CN" w:eastAsia="zh-CN" w:bidi="ar-SA"/>
        </w:rPr>
        <w:t>（二）机构职能和人员概况。</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val="zh-CN"/>
        </w:rPr>
        <w:t>机构职能</w:t>
      </w:r>
    </w:p>
    <w:p>
      <w:pPr>
        <w:keepNext w:val="0"/>
        <w:keepLines w:val="0"/>
        <w:pageBreakBefore w:val="0"/>
        <w:widowControl w:val="0"/>
        <w:shd w:val="clear" w:color="auto" w:fill="FFFFFF"/>
        <w:kinsoku/>
        <w:wordWrap/>
        <w:overflowPunct/>
        <w:topLinePunct w:val="0"/>
        <w:autoSpaceDE/>
        <w:autoSpaceDN/>
        <w:bidi w:val="0"/>
        <w:spacing w:afterAutospacing="0"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1</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宣传和执行《中华人民共和国红十字会法》和《中华人民共和国红十字标志使用办法》；</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2</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开展备灾救灾工作。制定应急预案，建立应急救援队伍；储备救灾物资，建设和管理备灾救灾设施；在自然灾害和突发事件中，开展救护和救助工作；根据自然灾害和突发事件的具体情况，由总会向国内外发出呼吁，依法接受国内外组织和个人的捐赠；地方各级红十字会在辖区内发出呼吁，依法接受国内外组织和个人的捐赠；及时向灾区群众和受难者提供急需的人道援助，参与灾后重建</w:t>
      </w:r>
      <w:r>
        <w:rPr>
          <w:rFonts w:hint="eastAsia" w:ascii="仿宋_GB2312" w:hAnsi="仿宋_GB2312" w:eastAsia="仿宋_GB2312" w:cs="仿宋_GB2312"/>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3</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开展应急救护和防病知识的宣传、普及、培训；在机关、企事业单位、社区、农村、学校和易发生意外伤害的行业和人群中开展初级卫生救护培训，组织群众参加意外伤害和自然灾害的现场救护；提高应急条件下的应急救助能力和水平；</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4</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建设和管理中国造血干细胞捐献者资料库；开展捐献造血干细胞的宣传动员、组织工作；</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5</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开展无偿献血的宣传推动工作，对先进单位和个人进行表彰奖励；</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6</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开展社会救助及相关服务工作。对易受损人群进行救助，为困难群众提供服务；在社区、农村中建立红十字服务站，开展服务群众、宣传培训、募捐救助等活动；开展帮助寻找失散亲人、重建家庭联系等其他人道服务工作；</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7</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依法开展和推动遗体、器官（组织）捐献工作；开展艾滋病预防控制宣传和教育、关心爱护艾滋病病毒感染者、患者及其他人道救助工作；</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8</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开展有益于青少年身心健康的红十字青少年活动；</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9</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开展红十字志愿服务活动；</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10</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宣传国际人道法、红十字运动基本原则；</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11</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依法开展募捐活动；在公共场所设置红十字募捐箱并进行管理；依照法律法规自主处分募捐款物；</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12</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兴办符合红十字会宗旨的社会福利事业；</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13</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参加国际人道救援工作；开展与国际红十字组织和各国红十字会或红新月会及其他国际组织的交流与合作；</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cs="仿宋_GB2312"/>
          <w:kern w:val="0"/>
          <w:sz w:val="32"/>
          <w:szCs w:val="32"/>
          <w:lang w:eastAsia="zh-CN"/>
        </w:rPr>
        <w:t>（</w:t>
      </w:r>
      <w:r>
        <w:rPr>
          <w:rFonts w:hint="eastAsia" w:ascii="仿宋_GB2312" w:hAnsi="仿宋_GB2312" w:cs="仿宋_GB2312"/>
          <w:kern w:val="0"/>
          <w:sz w:val="32"/>
          <w:szCs w:val="32"/>
          <w:lang w:val="en-US" w:eastAsia="zh-CN"/>
        </w:rPr>
        <w:t>14</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完成人民政府委托事宜。</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val="zh-CN"/>
        </w:rPr>
        <w:t>人员概况。</w:t>
      </w:r>
    </w:p>
    <w:p>
      <w:pPr>
        <w:keepNext w:val="0"/>
        <w:keepLines w:val="0"/>
        <w:pageBreakBefore w:val="0"/>
        <w:widowControl w:val="0"/>
        <w:shd w:val="clear" w:color="auto" w:fill="FFFFFF"/>
        <w:kinsoku/>
        <w:wordWrap/>
        <w:overflowPunct/>
        <w:topLinePunct w:val="0"/>
        <w:autoSpaceDE/>
        <w:autoSpaceDN/>
        <w:bidi w:val="0"/>
        <w:spacing w:line="576" w:lineRule="exact"/>
        <w:ind w:left="0" w:leftChars="0" w:firstLine="48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在职人员总数</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val="zh-CN"/>
        </w:rPr>
        <w:t>人，其中参公人员</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lang w:val="zh-CN" w:eastAsia="zh-CN"/>
        </w:rPr>
        <w:t>机关</w:t>
      </w:r>
      <w:r>
        <w:rPr>
          <w:rFonts w:hint="eastAsia" w:ascii="仿宋_GB2312" w:hAnsi="仿宋_GB2312" w:eastAsia="仿宋_GB2312" w:cs="仿宋_GB2312"/>
          <w:kern w:val="0"/>
          <w:sz w:val="32"/>
          <w:szCs w:val="32"/>
          <w:lang w:val="zh-CN"/>
        </w:rPr>
        <w:t>工勤人员1人</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zh-CN"/>
        </w:rPr>
        <w:t>退休人员1人。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黑体" w:hAnsi="黑体" w:eastAsia="黑体" w:cs="黑体"/>
          <w:color w:val="000000"/>
          <w:kern w:val="0"/>
          <w:sz w:val="32"/>
          <w:szCs w:val="32"/>
          <w:highlight w:val="none"/>
          <w:shd w:val="clear" w:color="auto" w:fill="FFFFFF"/>
        </w:rPr>
      </w:pPr>
      <w:r>
        <w:rPr>
          <w:rFonts w:hint="eastAsia" w:ascii="黑体" w:hAnsi="黑体" w:eastAsia="黑体" w:cs="黑体"/>
          <w:color w:val="000000"/>
          <w:kern w:val="0"/>
          <w:sz w:val="32"/>
          <w:szCs w:val="32"/>
          <w:highlight w:val="none"/>
          <w:shd w:val="clear" w:color="auto" w:fill="FFFFFF"/>
        </w:rPr>
        <w:t>二、</w:t>
      </w:r>
      <w:r>
        <w:rPr>
          <w:rFonts w:hint="eastAsia" w:ascii="黑体" w:hAnsi="黑体" w:eastAsia="黑体" w:cs="黑体"/>
          <w:color w:val="000000"/>
          <w:kern w:val="0"/>
          <w:sz w:val="32"/>
          <w:szCs w:val="32"/>
          <w:highlight w:val="none"/>
          <w:shd w:val="clear" w:color="auto" w:fill="FFFFFF"/>
          <w:lang w:eastAsia="zh-CN"/>
        </w:rPr>
        <w:t>部门</w:t>
      </w:r>
      <w:r>
        <w:rPr>
          <w:rFonts w:hint="eastAsia" w:ascii="黑体" w:hAnsi="黑体" w:eastAsia="黑体" w:cs="黑体"/>
          <w:color w:val="000000"/>
          <w:kern w:val="0"/>
          <w:sz w:val="32"/>
          <w:szCs w:val="32"/>
          <w:highlight w:val="none"/>
          <w:shd w:val="clear" w:color="auto" w:fill="FFFFFF"/>
        </w:rPr>
        <w:t>资金收支情况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（一）部门总体收支情况。</w:t>
      </w:r>
    </w:p>
    <w:p>
      <w:pPr>
        <w:keepNext w:val="0"/>
        <w:keepLines w:val="0"/>
        <w:pageBreakBefore w:val="0"/>
        <w:widowControl w:val="0"/>
        <w:kinsoku/>
        <w:wordWrap/>
        <w:overflowPunct/>
        <w:topLinePunct w:val="0"/>
        <w:autoSpaceDE/>
        <w:autoSpaceDN/>
        <w:bidi w:val="0"/>
        <w:spacing w:line="576" w:lineRule="exact"/>
        <w:ind w:left="0" w:leftChars="0" w:firstLine="64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1.部门财政拨款收入情况。</w:t>
      </w:r>
      <w:r>
        <w:rPr>
          <w:rFonts w:hint="eastAsia" w:ascii="仿宋_GB2312" w:hAnsi="仿宋_GB2312" w:eastAsia="仿宋_GB2312" w:cs="仿宋_GB2312"/>
          <w:color w:val="000000"/>
          <w:kern w:val="0"/>
          <w:sz w:val="32"/>
          <w:szCs w:val="32"/>
          <w:shd w:val="clear" w:color="auto" w:fill="FFFFFF"/>
          <w:lang w:val="en-US" w:eastAsia="zh-CN"/>
        </w:rPr>
        <w:t>202</w:t>
      </w:r>
      <w:r>
        <w:rPr>
          <w:rFonts w:hint="eastAsia" w:ascii="仿宋_GB2312" w:hAnsi="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en-US" w:eastAsia="zh-CN"/>
        </w:rPr>
        <w:t>年</w:t>
      </w:r>
      <w:r>
        <w:rPr>
          <w:rFonts w:hint="eastAsia" w:ascii="仿宋_GB2312" w:hAnsi="仿宋_GB2312" w:eastAsia="仿宋_GB2312" w:cs="仿宋_GB2312"/>
          <w:sz w:val="32"/>
          <w:szCs w:val="32"/>
        </w:rPr>
        <w:t>收入</w:t>
      </w:r>
      <w:r>
        <w:rPr>
          <w:rFonts w:hint="eastAsia" w:ascii="仿宋_GB2312" w:hAnsi="仿宋_GB2312" w:eastAsia="仿宋_GB2312" w:cs="仿宋_GB2312"/>
          <w:sz w:val="32"/>
          <w:szCs w:val="32"/>
          <w:lang w:eastAsia="zh-CN"/>
        </w:rPr>
        <w:t>决算总额</w:t>
      </w:r>
      <w:r>
        <w:rPr>
          <w:rFonts w:hint="eastAsia" w:ascii="仿宋_GB2312" w:hAnsi="仿宋_GB2312" w:eastAsia="仿宋_GB2312" w:cs="仿宋_GB2312"/>
          <w:sz w:val="32"/>
          <w:szCs w:val="32"/>
          <w:lang w:val="en-US" w:eastAsia="zh-CN"/>
        </w:rPr>
        <w:t>110.95万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，均为</w:t>
      </w:r>
      <w:r>
        <w:rPr>
          <w:rFonts w:hint="eastAsia" w:ascii="仿宋_GB2312" w:hAnsi="仿宋_GB2312" w:eastAsia="仿宋_GB2312" w:cs="仿宋_GB2312"/>
          <w:sz w:val="32"/>
          <w:szCs w:val="32"/>
        </w:rPr>
        <w:t>财政拨款收入。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2.部门财政拨款支出情况。</w:t>
      </w:r>
      <w:r>
        <w:rPr>
          <w:rFonts w:hint="eastAsia" w:ascii="仿宋_GB2312" w:hAnsi="仿宋_GB2312" w:eastAsia="仿宋_GB2312" w:cs="仿宋_GB2312"/>
          <w:color w:val="000000"/>
          <w:kern w:val="0"/>
          <w:sz w:val="32"/>
          <w:szCs w:val="32"/>
          <w:shd w:val="clear" w:color="auto" w:fill="FFFFFF"/>
          <w:lang w:val="en-US" w:eastAsia="zh-CN"/>
        </w:rPr>
        <w:t>2022年</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决算总额</w:t>
      </w:r>
      <w:r>
        <w:rPr>
          <w:rFonts w:hint="eastAsia" w:ascii="仿宋_GB2312" w:hAnsi="仿宋_GB2312" w:eastAsia="仿宋_GB2312" w:cs="仿宋_GB2312"/>
          <w:sz w:val="32"/>
          <w:szCs w:val="32"/>
          <w:lang w:val="en-US" w:eastAsia="zh-CN"/>
        </w:rPr>
        <w:t>110.95万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84.68</w:t>
      </w:r>
      <w:r>
        <w:rPr>
          <w:rFonts w:hint="eastAsia" w:ascii="仿宋_GB2312" w:hAnsi="仿宋_GB2312" w:eastAsia="仿宋_GB2312" w:cs="仿宋_GB2312"/>
          <w:sz w:val="32"/>
          <w:szCs w:val="32"/>
        </w:rPr>
        <w:t>万元，医疗卫生与计划生育支出</w:t>
      </w:r>
      <w:r>
        <w:rPr>
          <w:rFonts w:hint="eastAsia" w:ascii="仿宋_GB2312" w:hAnsi="仿宋_GB2312" w:eastAsia="仿宋_GB2312" w:cs="仿宋_GB2312"/>
          <w:sz w:val="32"/>
          <w:szCs w:val="32"/>
          <w:lang w:val="en-US" w:eastAsia="zh-CN"/>
        </w:rPr>
        <w:t>3.45</w:t>
      </w:r>
      <w:r>
        <w:rPr>
          <w:rFonts w:hint="eastAsia" w:ascii="仿宋_GB2312" w:hAnsi="仿宋_GB2312" w:eastAsia="仿宋_GB2312" w:cs="仿宋_GB2312"/>
          <w:sz w:val="32"/>
          <w:szCs w:val="32"/>
        </w:rPr>
        <w:t>万元，住房及保障支出</w:t>
      </w:r>
      <w:r>
        <w:rPr>
          <w:rFonts w:hint="eastAsia" w:ascii="仿宋_GB2312" w:hAnsi="仿宋_GB2312" w:eastAsia="仿宋_GB2312" w:cs="仿宋_GB2312"/>
          <w:sz w:val="32"/>
          <w:szCs w:val="32"/>
          <w:lang w:val="en-US" w:eastAsia="zh-CN"/>
        </w:rPr>
        <w:t>5.17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向上争取</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，救护培训项目支出</w:t>
      </w:r>
      <w:r>
        <w:rPr>
          <w:rFonts w:hint="eastAsia" w:ascii="仿宋_GB2312" w:hAnsi="仿宋_GB2312" w:eastAsia="仿宋_GB2312" w:cs="仿宋_GB2312"/>
          <w:sz w:val="32"/>
          <w:szCs w:val="32"/>
          <w:lang w:val="en-US" w:eastAsia="zh-CN"/>
        </w:rPr>
        <w:t>16.65万元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76" w:lineRule="exact"/>
        <w:ind w:left="0" w:leftChars="0" w:firstLine="645"/>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84.68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其中：人员经费</w:t>
      </w:r>
      <w:r>
        <w:rPr>
          <w:rFonts w:hint="eastAsia" w:ascii="仿宋_GB2312" w:hAnsi="仿宋_GB2312" w:eastAsia="仿宋_GB2312" w:cs="仿宋_GB2312"/>
          <w:color w:val="000000"/>
          <w:sz w:val="32"/>
          <w:szCs w:val="32"/>
          <w:lang w:val="en-US" w:eastAsia="zh-CN"/>
        </w:rPr>
        <w:t>75.16</w:t>
      </w:r>
      <w:r>
        <w:rPr>
          <w:rFonts w:hint="eastAsia" w:ascii="仿宋_GB2312" w:hAnsi="仿宋_GB2312" w:eastAsia="仿宋_GB2312" w:cs="仿宋_GB2312"/>
          <w:color w:val="000000"/>
          <w:sz w:val="32"/>
          <w:szCs w:val="32"/>
        </w:rPr>
        <w:t>万元，公用经费</w:t>
      </w:r>
      <w:r>
        <w:rPr>
          <w:rFonts w:hint="eastAsia" w:ascii="仿宋_GB2312" w:hAnsi="仿宋_GB2312" w:eastAsia="仿宋_GB2312" w:cs="仿宋_GB2312"/>
          <w:color w:val="000000"/>
          <w:sz w:val="32"/>
          <w:szCs w:val="32"/>
          <w:lang w:val="en-US" w:eastAsia="zh-CN"/>
        </w:rPr>
        <w:t>9.52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）。公用经费含</w:t>
      </w:r>
      <w:r>
        <w:rPr>
          <w:rFonts w:hint="eastAsia" w:ascii="仿宋_GB2312" w:hAnsi="仿宋_GB2312" w:eastAsia="仿宋_GB2312" w:cs="仿宋_GB2312"/>
          <w:color w:val="000000"/>
          <w:sz w:val="32"/>
          <w:szCs w:val="32"/>
        </w:rPr>
        <w:t>办公费</w:t>
      </w:r>
      <w:r>
        <w:rPr>
          <w:rFonts w:hint="eastAsia" w:ascii="仿宋_GB2312" w:hAnsi="仿宋_GB2312" w:eastAsia="仿宋_GB2312" w:cs="仿宋_GB2312"/>
          <w:color w:val="000000"/>
          <w:sz w:val="32"/>
          <w:szCs w:val="32"/>
          <w:lang w:val="en-US" w:eastAsia="zh-CN"/>
        </w:rPr>
        <w:t>1.05万元</w:t>
      </w:r>
      <w:r>
        <w:rPr>
          <w:rFonts w:hint="eastAsia" w:ascii="仿宋_GB2312" w:hAnsi="仿宋_GB2312" w:eastAsia="仿宋_GB2312" w:cs="仿宋_GB2312"/>
          <w:color w:val="000000"/>
          <w:sz w:val="32"/>
          <w:szCs w:val="32"/>
        </w:rPr>
        <w:t>、差旅费</w:t>
      </w:r>
      <w:r>
        <w:rPr>
          <w:rFonts w:hint="eastAsia" w:ascii="仿宋_GB2312" w:hAnsi="仿宋_GB2312" w:eastAsia="仿宋_GB2312" w:cs="仿宋_GB2312"/>
          <w:color w:val="000000"/>
          <w:sz w:val="32"/>
          <w:szCs w:val="32"/>
          <w:lang w:val="en-US" w:eastAsia="zh-CN"/>
        </w:rPr>
        <w:t>1.6万元</w:t>
      </w:r>
      <w:r>
        <w:rPr>
          <w:rFonts w:hint="eastAsia" w:ascii="仿宋_GB2312" w:hAnsi="仿宋_GB2312" w:eastAsia="仿宋_GB2312" w:cs="仿宋_GB2312"/>
          <w:color w:val="000000"/>
          <w:sz w:val="32"/>
          <w:szCs w:val="32"/>
        </w:rPr>
        <w:t>、会议费</w:t>
      </w:r>
      <w:r>
        <w:rPr>
          <w:rFonts w:hint="eastAsia" w:ascii="仿宋_GB2312" w:hAnsi="仿宋_GB2312" w:eastAsia="仿宋_GB2312" w:cs="仿宋_GB2312"/>
          <w:color w:val="000000"/>
          <w:sz w:val="32"/>
          <w:szCs w:val="32"/>
          <w:lang w:val="en-US" w:eastAsia="zh-CN"/>
        </w:rPr>
        <w:t>0.5万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印刷费</w:t>
      </w:r>
      <w:r>
        <w:rPr>
          <w:rFonts w:hint="eastAsia" w:ascii="仿宋_GB2312" w:hAnsi="仿宋_GB2312" w:eastAsia="仿宋_GB2312" w:cs="仿宋_GB2312"/>
          <w:color w:val="000000"/>
          <w:sz w:val="32"/>
          <w:szCs w:val="32"/>
          <w:lang w:val="en-US" w:eastAsia="zh-CN"/>
        </w:rPr>
        <w:t>0.5万元、</w:t>
      </w:r>
      <w:r>
        <w:rPr>
          <w:rFonts w:hint="eastAsia" w:ascii="仿宋_GB2312" w:hAnsi="仿宋_GB2312" w:eastAsia="仿宋_GB2312" w:cs="仿宋_GB2312"/>
          <w:color w:val="000000"/>
          <w:sz w:val="32"/>
          <w:szCs w:val="32"/>
        </w:rPr>
        <w:t>公务接待费</w:t>
      </w:r>
      <w:r>
        <w:rPr>
          <w:rFonts w:hint="eastAsia" w:ascii="仿宋_GB2312" w:hAnsi="仿宋_GB2312" w:eastAsia="仿宋_GB2312" w:cs="仿宋_GB2312"/>
          <w:color w:val="000000"/>
          <w:sz w:val="32"/>
          <w:szCs w:val="32"/>
          <w:lang w:val="en-US" w:eastAsia="zh-CN"/>
        </w:rPr>
        <w:t>0.35万元</w:t>
      </w:r>
      <w:r>
        <w:rPr>
          <w:rFonts w:hint="eastAsia" w:ascii="仿宋_GB2312" w:hAnsi="仿宋_GB2312" w:eastAsia="仿宋_GB2312" w:cs="仿宋_GB2312"/>
          <w:color w:val="000000"/>
          <w:sz w:val="32"/>
          <w:szCs w:val="32"/>
        </w:rPr>
        <w:t>、工会经费</w:t>
      </w:r>
      <w:r>
        <w:rPr>
          <w:rFonts w:hint="eastAsia" w:ascii="仿宋_GB2312" w:hAnsi="仿宋_GB2312" w:eastAsia="仿宋_GB2312" w:cs="仿宋_GB2312"/>
          <w:color w:val="000000"/>
          <w:sz w:val="32"/>
          <w:szCs w:val="32"/>
          <w:lang w:val="en-US" w:eastAsia="zh-CN"/>
        </w:rPr>
        <w:t>0.32万元</w:t>
      </w:r>
      <w:r>
        <w:rPr>
          <w:rFonts w:hint="eastAsia" w:ascii="仿宋_GB2312" w:hAnsi="仿宋_GB2312" w:eastAsia="仿宋_GB2312" w:cs="仿宋_GB2312"/>
          <w:color w:val="000000"/>
          <w:sz w:val="32"/>
          <w:szCs w:val="32"/>
        </w:rPr>
        <w:t>、福利费</w:t>
      </w:r>
      <w:r>
        <w:rPr>
          <w:rFonts w:hint="eastAsia" w:ascii="仿宋_GB2312" w:hAnsi="仿宋_GB2312" w:eastAsia="仿宋_GB2312" w:cs="仿宋_GB2312"/>
          <w:color w:val="000000"/>
          <w:sz w:val="32"/>
          <w:szCs w:val="32"/>
          <w:lang w:val="en-US" w:eastAsia="zh-CN"/>
        </w:rPr>
        <w:t>0.5万元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其他交通费用</w:t>
      </w:r>
      <w:r>
        <w:rPr>
          <w:rFonts w:hint="eastAsia" w:ascii="仿宋_GB2312" w:hAnsi="仿宋_GB2312" w:eastAsia="仿宋_GB2312" w:cs="仿宋_GB2312"/>
          <w:color w:val="000000"/>
          <w:sz w:val="32"/>
          <w:szCs w:val="32"/>
          <w:lang w:val="en-US" w:eastAsia="zh-CN"/>
        </w:rPr>
        <w:t>4.5万元、</w:t>
      </w:r>
      <w:r>
        <w:rPr>
          <w:rFonts w:hint="eastAsia" w:ascii="仿宋_GB2312" w:hAnsi="仿宋_GB2312" w:eastAsia="仿宋_GB2312" w:cs="仿宋_GB2312"/>
          <w:color w:val="000000"/>
          <w:sz w:val="32"/>
          <w:szCs w:val="32"/>
        </w:rPr>
        <w:t>其他商品和服务支出</w:t>
      </w:r>
      <w:r>
        <w:rPr>
          <w:rFonts w:hint="eastAsia" w:ascii="仿宋_GB2312" w:hAnsi="仿宋_GB2312" w:eastAsia="仿宋_GB2312" w:cs="仿宋_GB2312"/>
          <w:color w:val="000000"/>
          <w:sz w:val="32"/>
          <w:szCs w:val="32"/>
          <w:lang w:val="en-US" w:eastAsia="zh-CN"/>
        </w:rPr>
        <w:t>0.2万元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3.部门财政拨款结转结余情况。2022年无财政拨款结转。</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黑体" w:hAnsi="黑体" w:eastAsia="黑体" w:cs="黑体"/>
          <w:b w:val="0"/>
          <w:bCs w:val="0"/>
          <w:color w:val="000000"/>
          <w:kern w:val="0"/>
          <w:sz w:val="32"/>
          <w:szCs w:val="32"/>
          <w:highlight w:val="none"/>
          <w:shd w:val="clear" w:color="auto" w:fill="FFFFFF"/>
          <w:lang w:val="zh-CN"/>
        </w:rPr>
      </w:pPr>
      <w:r>
        <w:rPr>
          <w:rFonts w:hint="eastAsia" w:ascii="黑体" w:hAnsi="黑体" w:eastAsia="黑体" w:cs="黑体"/>
          <w:b w:val="0"/>
          <w:bCs w:val="0"/>
          <w:color w:val="000000"/>
          <w:kern w:val="0"/>
          <w:sz w:val="32"/>
          <w:szCs w:val="32"/>
          <w:highlight w:val="none"/>
          <w:shd w:val="clear" w:color="auto" w:fill="FFFFFF"/>
          <w:lang w:val="zh-CN"/>
        </w:rPr>
        <w:t>三、</w:t>
      </w:r>
      <w:r>
        <w:rPr>
          <w:rFonts w:hint="eastAsia" w:ascii="黑体" w:hAnsi="黑体" w:eastAsia="黑体" w:cs="黑体"/>
          <w:b w:val="0"/>
          <w:bCs w:val="0"/>
          <w:color w:val="000000"/>
          <w:kern w:val="0"/>
          <w:sz w:val="32"/>
          <w:szCs w:val="32"/>
          <w:highlight w:val="none"/>
          <w:shd w:val="clear" w:color="auto" w:fill="FFFFFF"/>
          <w:lang w:val="zh-CN" w:eastAsia="zh-CN"/>
        </w:rPr>
        <w:t>部门</w:t>
      </w:r>
      <w:r>
        <w:rPr>
          <w:rFonts w:hint="eastAsia" w:ascii="黑体" w:hAnsi="黑体" w:eastAsia="黑体" w:cs="黑体"/>
          <w:b w:val="0"/>
          <w:bCs w:val="0"/>
          <w:color w:val="000000"/>
          <w:kern w:val="0"/>
          <w:sz w:val="32"/>
          <w:szCs w:val="32"/>
          <w:highlight w:val="none"/>
          <w:shd w:val="clear" w:color="auto" w:fill="FFFFFF"/>
          <w:lang w:val="zh-CN"/>
        </w:rPr>
        <w:t>整体绩效</w:t>
      </w:r>
      <w:r>
        <w:rPr>
          <w:rFonts w:hint="eastAsia" w:ascii="黑体" w:hAnsi="黑体" w:eastAsia="黑体" w:cs="黑体"/>
          <w:b w:val="0"/>
          <w:bCs w:val="0"/>
          <w:color w:val="000000"/>
          <w:kern w:val="0"/>
          <w:sz w:val="32"/>
          <w:szCs w:val="32"/>
          <w:highlight w:val="none"/>
          <w:shd w:val="clear" w:color="auto" w:fill="FFFFFF"/>
          <w:lang w:val="zh-CN" w:eastAsia="zh-CN"/>
        </w:rPr>
        <w:t>分析。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contextualSpacing/>
        <w:jc w:val="both"/>
        <w:textAlignment w:val="auto"/>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（一）部门预算项目绩效分析。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contextualSpacing/>
        <w:jc w:val="both"/>
        <w:textAlignment w:val="auto"/>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1.人员类项目绩效分析</w:t>
      </w:r>
    </w:p>
    <w:p>
      <w:pPr>
        <w:keepNext w:val="0"/>
        <w:keepLines w:val="0"/>
        <w:pageBreakBefore w:val="0"/>
        <w:widowControl w:val="0"/>
        <w:kinsoku/>
        <w:wordWrap/>
        <w:overflowPunct/>
        <w:topLinePunct w:val="0"/>
        <w:autoSpaceDE/>
        <w:autoSpaceDN/>
        <w:bidi w:val="0"/>
        <w:spacing w:line="576" w:lineRule="exact"/>
        <w:ind w:left="0" w:leftChars="0" w:firstLine="64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绩效目标制定及</w:t>
      </w:r>
      <w:r>
        <w:rPr>
          <w:rFonts w:hint="eastAsia" w:ascii="仿宋_GB2312" w:hAnsi="仿宋_GB2312" w:eastAsia="仿宋_GB2312" w:cs="仿宋_GB2312"/>
          <w:sz w:val="32"/>
          <w:szCs w:val="32"/>
        </w:rPr>
        <w:t>预算编制情况:严格按照县财政局预算编制要求，按时完成了基础信息、项目库的报送工作，完成基础信息的更新，按时完成预算编制并提交部门预算草案。预算编制中，特别注意对预算编制准确性的把握，确保预算编制完整无漏项，并严格按照要求进行预算执行调整,按时完成待批复提前细化。</w:t>
      </w:r>
    </w:p>
    <w:p>
      <w:pPr>
        <w:keepNext w:val="0"/>
        <w:keepLines w:val="0"/>
        <w:pageBreakBefore w:val="0"/>
        <w:widowControl w:val="0"/>
        <w:kinsoku/>
        <w:wordWrap/>
        <w:overflowPunct/>
        <w:topLinePunct w:val="0"/>
        <w:autoSpaceDE/>
        <w:autoSpaceDN/>
        <w:bidi w:val="0"/>
        <w:spacing w:line="576" w:lineRule="exact"/>
        <w:ind w:left="0" w:leftChars="0" w:firstLine="646"/>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支出控制及</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情况：严格执行预算，执行中不调整预算项目，年度预算执行收支平衡，完成单位经济和社会事业发展职能职责，按时报送决算，单位决算编制人员与供养人员数据相符，决算数据真实准确。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contextualSpacing/>
        <w:jc w:val="both"/>
        <w:textAlignment w:val="auto"/>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2.运转类项目绩效分析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我会运转类有公用经费和基层党组活动经费两项，公用经费按照，严格按照财政人头经费编制预算及执行预算，</w:t>
      </w:r>
      <w:r>
        <w:rPr>
          <w:rFonts w:hint="eastAsia" w:ascii="仿宋_GB2312" w:hAnsi="仿宋_GB2312" w:eastAsia="仿宋_GB2312" w:cs="仿宋_GB2312"/>
          <w:sz w:val="32"/>
          <w:szCs w:val="32"/>
        </w:rPr>
        <w:t>执行中</w:t>
      </w:r>
      <w:r>
        <w:rPr>
          <w:rFonts w:hint="eastAsia" w:ascii="仿宋_GB2312" w:hAnsi="仿宋_GB2312" w:eastAsia="仿宋_GB2312" w:cs="仿宋_GB2312"/>
          <w:sz w:val="32"/>
          <w:szCs w:val="32"/>
          <w:lang w:eastAsia="zh-CN"/>
        </w:rPr>
        <w:t>除人员晋级晋档外，无其他调整预算资金。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2" w:firstLineChars="200"/>
        <w:contextualSpacing/>
        <w:jc w:val="both"/>
        <w:textAlignment w:val="auto"/>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3.特定目标类项目绩效分析</w:t>
      </w:r>
    </w:p>
    <w:p>
      <w:pPr>
        <w:keepNext w:val="0"/>
        <w:keepLines w:val="0"/>
        <w:pageBreakBefore w:val="0"/>
        <w:widowControl w:val="0"/>
        <w:kinsoku/>
        <w:wordWrap/>
        <w:overflowPunct/>
        <w:topLinePunct w:val="0"/>
        <w:autoSpaceDE/>
        <w:autoSpaceDN/>
        <w:bidi w:val="0"/>
        <w:spacing w:line="576" w:lineRule="exact"/>
        <w:ind w:left="0" w:leftChars="0" w:firstLine="627" w:firstLineChars="196"/>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val="zh-CN"/>
        </w:rPr>
        <w:t>项目申报内容与具体实施内容相符、申报目标合理可行。救护培训项目由剑阁县红十字会赈济救护部组织管理具体实施，主要包括救护员培训和普及培训，救护员培训由赈济救护部组织完成，普及培训由乡镇卫生院完成，年初下达目标任务，红十字会及时督导培训质量及实施进度，年底严格按照考核结果适当拨付补助。该</w:t>
      </w:r>
      <w:r>
        <w:rPr>
          <w:rFonts w:hint="eastAsia" w:ascii="仿宋_GB2312" w:hAnsi="仿宋_GB2312" w:eastAsia="仿宋_GB2312" w:cs="仿宋_GB2312"/>
          <w:sz w:val="32"/>
          <w:szCs w:val="32"/>
          <w:lang w:val="zh-CN" w:eastAsia="zh-CN"/>
        </w:rPr>
        <w:t>培训项目</w:t>
      </w:r>
      <w:r>
        <w:rPr>
          <w:rFonts w:hint="eastAsia" w:ascii="仿宋_GB2312" w:hAnsi="仿宋_GB2312" w:eastAsia="仿宋_GB2312" w:cs="仿宋_GB2312"/>
          <w:sz w:val="32"/>
          <w:szCs w:val="32"/>
          <w:lang w:eastAsia="zh-CN"/>
        </w:rPr>
        <w:t>属于市定</w:t>
      </w:r>
      <w:r>
        <w:rPr>
          <w:rFonts w:hint="eastAsia" w:ascii="仿宋_GB2312" w:hAnsi="仿宋_GB2312" w:eastAsia="仿宋_GB2312" w:cs="仿宋_GB2312"/>
          <w:sz w:val="32"/>
          <w:szCs w:val="32"/>
        </w:rPr>
        <w:t>政府民生工程</w:t>
      </w:r>
      <w:r>
        <w:rPr>
          <w:rFonts w:hint="eastAsia" w:ascii="仿宋_GB2312" w:hAnsi="仿宋_GB2312" w:eastAsia="仿宋_GB2312" w:cs="仿宋_GB2312"/>
          <w:sz w:val="32"/>
          <w:szCs w:val="32"/>
          <w:lang w:eastAsia="zh-CN"/>
        </w:rPr>
        <w:t>，剑阁县财政局本级预算配套项目资金，</w:t>
      </w:r>
      <w:r>
        <w:rPr>
          <w:rFonts w:hint="eastAsia" w:ascii="仿宋_GB2312" w:hAnsi="仿宋_GB2312" w:eastAsia="仿宋_GB2312" w:cs="仿宋_GB2312"/>
          <w:sz w:val="32"/>
          <w:szCs w:val="32"/>
          <w:lang w:val="zh-CN"/>
        </w:rPr>
        <w:t>符合资金管理办法等相关规定。换届选举大会属于一次性项目，依法依规申报及执行。</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rPr>
        <w:sectPr>
          <w:headerReference r:id="rId4" w:type="first"/>
          <w:headerReference r:id="rId3" w:type="default"/>
          <w:footerReference r:id="rId5" w:type="default"/>
          <w:footerReference r:id="rId6" w:type="even"/>
          <w:pgSz w:w="11906" w:h="16838"/>
          <w:pgMar w:top="2098" w:right="1474" w:bottom="1814" w:left="1587" w:header="851" w:footer="1587" w:gutter="0"/>
          <w:pgNumType w:fmt="decimal" w:start="1"/>
          <w:cols w:space="0" w:num="1"/>
          <w:rtlGutter w:val="0"/>
          <w:docGrid w:type="lines" w:linePitch="435" w:charSpace="0"/>
        </w:sect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left="0" w:leftChars="0" w:firstLine="642"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部门整体履职绩效分析。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color w:val="000000"/>
          <w:kern w:val="0"/>
          <w:sz w:val="32"/>
          <w:szCs w:val="32"/>
          <w:shd w:val="clear" w:color="auto" w:fill="FFFFFF"/>
          <w:lang w:val="zh-CN" w:eastAsia="zh-CN"/>
        </w:rPr>
        <w:t>2022 年，</w:t>
      </w:r>
      <w:r>
        <w:rPr>
          <w:rFonts w:hint="eastAsia" w:ascii="仿宋_GB2312" w:eastAsia="仿宋_GB2312"/>
          <w:sz w:val="32"/>
          <w:szCs w:val="32"/>
        </w:rPr>
        <w:t>剑阁县红十字会按照</w:t>
      </w:r>
      <w:r>
        <w:rPr>
          <w:rFonts w:hint="eastAsia" w:ascii="仿宋_GB2312" w:eastAsia="仿宋_GB2312"/>
          <w:sz w:val="32"/>
          <w:szCs w:val="32"/>
          <w:lang w:eastAsia="zh-CN"/>
        </w:rPr>
        <w:t>上级</w:t>
      </w:r>
      <w:r>
        <w:rPr>
          <w:rFonts w:hint="eastAsia" w:ascii="仿宋_GB2312" w:eastAsia="仿宋_GB2312"/>
          <w:sz w:val="32"/>
          <w:szCs w:val="32"/>
        </w:rPr>
        <w:t>红十字会</w:t>
      </w:r>
      <w:r>
        <w:rPr>
          <w:rFonts w:hint="eastAsia" w:ascii="仿宋_GB2312" w:eastAsia="仿宋_GB2312"/>
          <w:sz w:val="32"/>
          <w:szCs w:val="32"/>
          <w:lang w:eastAsia="zh-CN"/>
        </w:rPr>
        <w:t>及县委、县政府</w:t>
      </w:r>
      <w:r>
        <w:rPr>
          <w:rFonts w:hint="eastAsia" w:ascii="仿宋_GB2312" w:eastAsia="仿宋_GB2312"/>
          <w:sz w:val="32"/>
          <w:szCs w:val="32"/>
        </w:rPr>
        <w:t>工作安排部署和总体要求，坚持突出重点，统筹兼顾，精心组织，扎实推进，切实履行党委政府在人道领域助手职责，</w:t>
      </w:r>
      <w:r>
        <w:rPr>
          <w:rFonts w:hint="eastAsia" w:ascii="仿宋_GB2312" w:eastAsia="仿宋_GB2312"/>
          <w:sz w:val="32"/>
          <w:szCs w:val="32"/>
          <w:lang w:eastAsia="zh-CN"/>
        </w:rPr>
        <w:t>我会整体支出严格按照财政预算执行，绩效目标制定合理科学，监控分析跟进，较好</w:t>
      </w:r>
      <w:r>
        <w:rPr>
          <w:rFonts w:hint="eastAsia" w:ascii="仿宋_GB2312" w:eastAsia="仿宋_GB2312"/>
          <w:sz w:val="32"/>
          <w:szCs w:val="32"/>
        </w:rPr>
        <w:t>完成</w:t>
      </w:r>
      <w:r>
        <w:rPr>
          <w:rFonts w:hint="eastAsia" w:ascii="仿宋_GB2312" w:eastAsia="仿宋_GB2312"/>
          <w:sz w:val="32"/>
          <w:szCs w:val="32"/>
          <w:lang w:eastAsia="zh-CN"/>
        </w:rPr>
        <w:t>了全年</w:t>
      </w:r>
      <w:r>
        <w:rPr>
          <w:rFonts w:hint="eastAsia" w:ascii="仿宋_GB2312" w:eastAsia="仿宋_GB2312"/>
          <w:sz w:val="32"/>
          <w:szCs w:val="32"/>
        </w:rPr>
        <w:t>工作任务。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（三）结果应用情况。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eastAsia="zh-CN"/>
        </w:rPr>
        <w:t>我会项目支出股室赈济救护部合理编制绩效目标，积极开展自评，发现问题及时整改。我会</w:t>
      </w:r>
      <w:r>
        <w:rPr>
          <w:rFonts w:hint="eastAsia" w:ascii="仿宋_GB2312" w:hAnsi="仿宋_GB2312" w:eastAsia="仿宋_GB2312" w:cs="仿宋_GB2312"/>
          <w:color w:val="000000"/>
          <w:kern w:val="0"/>
          <w:sz w:val="32"/>
          <w:szCs w:val="32"/>
          <w:shd w:val="clear" w:color="auto" w:fill="FFFFFF"/>
        </w:rPr>
        <w:t>绩效自评</w:t>
      </w:r>
      <w:r>
        <w:rPr>
          <w:rFonts w:hint="eastAsia" w:ascii="仿宋_GB2312" w:hAnsi="仿宋_GB2312" w:eastAsia="仿宋_GB2312" w:cs="仿宋_GB2312"/>
          <w:color w:val="000000"/>
          <w:kern w:val="0"/>
          <w:sz w:val="32"/>
          <w:szCs w:val="32"/>
          <w:shd w:val="clear" w:color="auto" w:fill="FFFFFF"/>
          <w:lang w:eastAsia="zh-CN"/>
        </w:rPr>
        <w:t>工作自开展以来都按照上级安排及时报送及时</w:t>
      </w:r>
      <w:r>
        <w:rPr>
          <w:rFonts w:hint="eastAsia" w:ascii="仿宋_GB2312" w:hAnsi="仿宋_GB2312" w:eastAsia="仿宋_GB2312" w:cs="仿宋_GB2312"/>
          <w:color w:val="000000"/>
          <w:kern w:val="0"/>
          <w:sz w:val="32"/>
          <w:szCs w:val="32"/>
          <w:shd w:val="clear" w:color="auto" w:fill="FFFFFF"/>
        </w:rPr>
        <w:t>公开、</w:t>
      </w:r>
      <w:r>
        <w:rPr>
          <w:rFonts w:hint="eastAsia" w:ascii="仿宋_GB2312" w:hAnsi="仿宋_GB2312" w:eastAsia="仿宋_GB2312" w:cs="仿宋_GB2312"/>
          <w:color w:val="000000"/>
          <w:kern w:val="0"/>
          <w:sz w:val="32"/>
          <w:szCs w:val="32"/>
          <w:shd w:val="clear" w:color="auto" w:fill="FFFFFF"/>
          <w:lang w:eastAsia="zh-CN"/>
        </w:rPr>
        <w:t>对</w:t>
      </w:r>
      <w:r>
        <w:rPr>
          <w:rFonts w:hint="eastAsia" w:ascii="仿宋_GB2312" w:hAnsi="仿宋_GB2312" w:eastAsia="仿宋_GB2312" w:cs="仿宋_GB2312"/>
          <w:color w:val="000000"/>
          <w:kern w:val="0"/>
          <w:sz w:val="32"/>
          <w:szCs w:val="32"/>
          <w:shd w:val="clear" w:color="auto" w:fill="FFFFFF"/>
        </w:rPr>
        <w:t>评价结果</w:t>
      </w:r>
      <w:r>
        <w:rPr>
          <w:rFonts w:hint="eastAsia" w:ascii="仿宋_GB2312" w:hAnsi="仿宋_GB2312" w:eastAsia="仿宋_GB2312" w:cs="仿宋_GB2312"/>
          <w:color w:val="000000"/>
          <w:kern w:val="0"/>
          <w:sz w:val="32"/>
          <w:szCs w:val="32"/>
          <w:shd w:val="clear" w:color="auto" w:fill="FFFFFF"/>
          <w:lang w:eastAsia="zh-CN"/>
        </w:rPr>
        <w:t>及时整改并运用，整体运行良好</w:t>
      </w:r>
      <w:r>
        <w:rPr>
          <w:rFonts w:hint="eastAsia" w:ascii="仿宋_GB2312" w:hAnsi="仿宋_GB2312" w:eastAsia="仿宋_GB2312" w:cs="仿宋_GB2312"/>
          <w:color w:val="000000"/>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contextualSpacing/>
        <w:jc w:val="both"/>
        <w:textAlignment w:val="auto"/>
        <w:rPr>
          <w:rFonts w:hint="eastAsia" w:ascii="楷体_GB2312" w:hAnsi="楷体_GB2312" w:eastAsia="楷体_GB2312" w:cs="楷体_GB2312"/>
          <w:b/>
          <w:bCs/>
          <w:color w:val="000000"/>
          <w:kern w:val="0"/>
          <w:sz w:val="32"/>
          <w:szCs w:val="32"/>
          <w:highlight w:val="none"/>
          <w:shd w:val="clear" w:color="auto" w:fill="FFFFFF"/>
          <w:lang w:val="zh-CN" w:eastAsia="zh-CN"/>
        </w:rPr>
      </w:pPr>
      <w:r>
        <w:rPr>
          <w:rFonts w:hint="eastAsia" w:ascii="楷体_GB2312" w:hAnsi="楷体_GB2312" w:eastAsia="楷体_GB2312" w:cs="楷体_GB2312"/>
          <w:b/>
          <w:bCs/>
          <w:color w:val="000000"/>
          <w:kern w:val="0"/>
          <w:sz w:val="32"/>
          <w:szCs w:val="32"/>
          <w:highlight w:val="none"/>
          <w:shd w:val="clear" w:color="auto" w:fill="FFFFFF"/>
          <w:lang w:val="zh-CN" w:eastAsia="zh-CN"/>
        </w:rPr>
        <w:t>（四）自评质量。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lang w:eastAsia="zh-CN"/>
        </w:rPr>
        <w:t>我会认真对照部门整体绩效评价指标体系，对本部门绩效目标管理、动态调整、完成结果、信息公开等方面进行了客观评价，自评得分</w:t>
      </w:r>
      <w:r>
        <w:rPr>
          <w:rFonts w:hint="eastAsia" w:ascii="仿宋_GB2312" w:hAnsi="仿宋_GB2312" w:eastAsia="仿宋_GB2312" w:cs="仿宋_GB2312"/>
          <w:color w:val="000000"/>
          <w:kern w:val="0"/>
          <w:sz w:val="32"/>
          <w:szCs w:val="32"/>
          <w:shd w:val="clear" w:color="auto" w:fill="FFFFFF"/>
          <w:lang w:val="en-US" w:eastAsia="zh-CN"/>
        </w:rPr>
        <w:t>90</w:t>
      </w:r>
      <w:r>
        <w:rPr>
          <w:rFonts w:hint="eastAsia" w:ascii="仿宋_GB2312" w:hAnsi="仿宋_GB2312" w:eastAsia="仿宋_GB2312" w:cs="仿宋_GB2312"/>
          <w:color w:val="000000"/>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contextualSpacing/>
        <w:jc w:val="both"/>
        <w:textAlignment w:val="auto"/>
        <w:rPr>
          <w:rFonts w:hint="eastAsia" w:ascii="黑体" w:hAnsi="黑体" w:eastAsia="黑体" w:cs="黑体"/>
          <w:color w:val="000000"/>
          <w:kern w:val="0"/>
          <w:sz w:val="32"/>
          <w:szCs w:val="32"/>
          <w:highlight w:val="none"/>
          <w:shd w:val="clear" w:color="auto" w:fill="FFFFFF"/>
        </w:rPr>
      </w:pPr>
      <w:r>
        <w:rPr>
          <w:rFonts w:hint="eastAsia" w:ascii="黑体" w:hAnsi="黑体" w:eastAsia="黑体" w:cs="黑体"/>
          <w:color w:val="000000"/>
          <w:kern w:val="0"/>
          <w:sz w:val="32"/>
          <w:szCs w:val="32"/>
          <w:highlight w:val="none"/>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contextualSpacing/>
        <w:jc w:val="both"/>
        <w:textAlignment w:val="auto"/>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楷体_GB2312" w:hAnsi="楷体_GB2312" w:eastAsia="楷体_GB2312" w:cs="楷体_GB2312"/>
          <w:b/>
          <w:bCs/>
          <w:color w:val="000000"/>
          <w:kern w:val="0"/>
          <w:sz w:val="32"/>
          <w:szCs w:val="32"/>
          <w:highlight w:val="none"/>
          <w:shd w:val="clear" w:color="auto" w:fill="FFFFFF"/>
          <w:lang w:val="zh-CN"/>
        </w:rPr>
        <w:t>（一）评价结论。</w:t>
      </w:r>
      <w:r>
        <w:rPr>
          <w:rFonts w:hint="eastAsia" w:ascii="仿宋_GB2312" w:hAnsi="仿宋_GB2312" w:eastAsia="仿宋_GB2312" w:cs="仿宋_GB2312"/>
          <w:sz w:val="32"/>
          <w:szCs w:val="32"/>
        </w:rPr>
        <w:t>综上所述，通过绩效自评，</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红会整体支出</w:t>
      </w:r>
      <w:r>
        <w:rPr>
          <w:rFonts w:hint="eastAsia" w:ascii="仿宋_GB2312" w:hAnsi="仿宋_GB2312" w:eastAsia="仿宋_GB2312" w:cs="仿宋_GB2312"/>
          <w:sz w:val="32"/>
          <w:szCs w:val="32"/>
        </w:rPr>
        <w:t>政策依据充分，目标制定明确；按照计划有序实施，资金到位及时，经费使用严格按照相关财务管理制度执行，对资金的使用监管有力有效。整个</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实施达到了预期的绩效目标。</w:t>
      </w:r>
    </w:p>
    <w:p>
      <w:pPr>
        <w:keepNext w:val="0"/>
        <w:keepLines w:val="0"/>
        <w:pageBreakBefore w:val="0"/>
        <w:widowControl w:val="0"/>
        <w:kinsoku/>
        <w:wordWrap/>
        <w:overflowPunct/>
        <w:topLinePunct w:val="0"/>
        <w:autoSpaceDE/>
        <w:autoSpaceDN/>
        <w:bidi w:val="0"/>
        <w:spacing w:line="576" w:lineRule="exact"/>
        <w:ind w:left="0" w:leftChars="0" w:firstLine="64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highlight w:val="none"/>
          <w:shd w:val="clear" w:color="auto" w:fill="FFFFFF"/>
          <w:lang w:val="zh-CN"/>
        </w:rPr>
        <w:t>（二）存在问题。</w:t>
      </w:r>
      <w:r>
        <w:rPr>
          <w:rFonts w:hint="eastAsia" w:ascii="仿宋_GB2312" w:hAnsi="仿宋_GB2312" w:eastAsia="仿宋_GB2312" w:cs="仿宋_GB2312"/>
          <w:sz w:val="32"/>
          <w:szCs w:val="32"/>
          <w:lang w:eastAsia="zh-CN"/>
        </w:rPr>
        <w:t>单位小，事情多，任务重，</w:t>
      </w:r>
      <w:r>
        <w:rPr>
          <w:rFonts w:hint="eastAsia" w:ascii="仿宋_GB2312" w:hAnsi="仿宋_GB2312" w:eastAsia="仿宋_GB2312" w:cs="仿宋_GB2312"/>
          <w:sz w:val="32"/>
          <w:szCs w:val="32"/>
        </w:rPr>
        <w:t>人员配备</w:t>
      </w:r>
      <w:r>
        <w:rPr>
          <w:rFonts w:hint="eastAsia" w:ascii="仿宋_GB2312" w:hAnsi="仿宋_GB2312" w:eastAsia="仿宋_GB2312" w:cs="仿宋_GB2312"/>
          <w:sz w:val="32"/>
          <w:szCs w:val="32"/>
          <w:lang w:eastAsia="zh-CN"/>
        </w:rPr>
        <w:t>严重</w:t>
      </w:r>
      <w:r>
        <w:rPr>
          <w:rFonts w:hint="eastAsia" w:ascii="仿宋_GB2312" w:hAnsi="仿宋_GB2312" w:eastAsia="仿宋_GB2312" w:cs="仿宋_GB2312"/>
          <w:sz w:val="32"/>
          <w:szCs w:val="32"/>
        </w:rPr>
        <w:t>不足</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经费差口较大，希望在经费方面给与更多的支持。</w:t>
      </w:r>
    </w:p>
    <w:p>
      <w:pPr>
        <w:keepNext w:val="0"/>
        <w:keepLines w:val="0"/>
        <w:pageBreakBefore w:val="0"/>
        <w:widowControl w:val="0"/>
        <w:kinsoku/>
        <w:wordWrap/>
        <w:overflowPunct/>
        <w:topLinePunct w:val="0"/>
        <w:autoSpaceDE/>
        <w:autoSpaceDN/>
        <w:bidi w:val="0"/>
        <w:spacing w:line="576" w:lineRule="exact"/>
        <w:ind w:left="0" w:leftChars="0" w:firstLine="642" w:firstLineChars="200"/>
        <w:jc w:val="both"/>
        <w:textAlignment w:val="auto"/>
        <w:rPr>
          <w:rFonts w:hint="eastAsia" w:ascii="仿宋_GB2312" w:hAnsi="仿宋_GB2312" w:eastAsia="仿宋_GB2312" w:cs="仿宋_GB2312"/>
          <w:spacing w:val="-6"/>
          <w:sz w:val="32"/>
          <w:szCs w:val="32"/>
          <w:lang w:eastAsia="zh-CN"/>
        </w:rPr>
      </w:pPr>
      <w:r>
        <w:rPr>
          <w:rFonts w:hint="eastAsia" w:ascii="楷体_GB2312" w:hAnsi="楷体_GB2312" w:eastAsia="楷体_GB2312" w:cs="楷体_GB2312"/>
          <w:b/>
          <w:bCs/>
          <w:color w:val="000000"/>
          <w:kern w:val="0"/>
          <w:sz w:val="32"/>
          <w:szCs w:val="32"/>
          <w:highlight w:val="none"/>
          <w:shd w:val="clear" w:color="auto" w:fill="FFFFFF"/>
          <w:lang w:val="zh-CN"/>
        </w:rPr>
        <w:t>（三）改进建议。</w:t>
      </w:r>
      <w:r>
        <w:rPr>
          <w:rFonts w:hint="eastAsia" w:ascii="仿宋_GB2312" w:hAnsi="仿宋_GB2312" w:eastAsia="仿宋_GB2312" w:cs="仿宋_GB2312"/>
          <w:sz w:val="32"/>
          <w:szCs w:val="32"/>
          <w:lang w:eastAsia="zh-CN"/>
        </w:rPr>
        <w:t>我会</w:t>
      </w:r>
      <w:r>
        <w:rPr>
          <w:rFonts w:hint="eastAsia" w:ascii="仿宋_GB2312" w:hAnsi="仿宋_GB2312" w:eastAsia="仿宋_GB2312" w:cs="仿宋_GB2312"/>
          <w:sz w:val="32"/>
          <w:szCs w:val="32"/>
        </w:rPr>
        <w:t>在编制预算与执行中，将进一步重视预</w:t>
      </w:r>
      <w:r>
        <w:rPr>
          <w:rFonts w:hint="eastAsia" w:ascii="仿宋_GB2312" w:hAnsi="仿宋_GB2312" w:eastAsia="仿宋_GB2312" w:cs="仿宋_GB2312"/>
          <w:spacing w:val="-6"/>
          <w:sz w:val="32"/>
          <w:szCs w:val="32"/>
        </w:rPr>
        <w:t>算的编制工作，提高预算编制的精确度，提高财政资金使用效率，尽量减少预算执行调整，把有限的经费做到科学、合理的分配</w:t>
      </w:r>
      <w:r>
        <w:rPr>
          <w:rFonts w:hint="eastAsia" w:ascii="仿宋_GB2312" w:hAnsi="仿宋_GB2312" w:eastAsia="仿宋_GB2312" w:cs="仿宋_GB2312"/>
          <w:spacing w:val="-6"/>
          <w:sz w:val="32"/>
          <w:szCs w:val="32"/>
          <w:lang w:eastAsia="zh-CN"/>
        </w:rPr>
        <w:t>。</w:t>
      </w:r>
    </w:p>
    <w:p>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eastAsia="zh-CN"/>
        </w:rPr>
      </w:pPr>
    </w:p>
    <w:p>
      <w:pPr>
        <w:pStyle w:val="15"/>
        <w:spacing w:line="560" w:lineRule="exact"/>
        <w:ind w:left="0" w:leftChars="0" w:firstLine="640" w:firstLineChars="200"/>
        <w:rPr>
          <w:rFonts w:hAnsi="仿宋_GB2312" w:eastAsia="仿宋_GB2312" w:cs="仿宋_GB2312"/>
          <w:sz w:val="32"/>
          <w:lang w:val="zh-CN"/>
        </w:rPr>
      </w:pPr>
      <w:r>
        <w:rPr>
          <w:rFonts w:hint="eastAsia" w:hAnsi="仿宋_GB2312" w:eastAsia="仿宋_GB2312" w:cs="仿宋_GB2312"/>
          <w:sz w:val="32"/>
          <w:lang w:val="zh-CN"/>
        </w:rPr>
        <w:t>附表：</w:t>
      </w:r>
      <w:r>
        <w:rPr>
          <w:rFonts w:hint="eastAsia" w:ascii="仿宋_GB2312" w:hAnsi="仿宋_GB2312" w:eastAsia="仿宋_GB2312" w:cs="仿宋_GB2312"/>
          <w:kern w:val="2"/>
          <w:sz w:val="32"/>
          <w:szCs w:val="32"/>
          <w:lang w:val="en-US" w:eastAsia="zh-CN" w:bidi="ar-SA"/>
        </w:rPr>
        <w:t>1.</w:t>
      </w:r>
      <w:r>
        <w:rPr>
          <w:rFonts w:hint="eastAsia" w:hAnsi="仿宋_GB2312" w:eastAsia="仿宋_GB2312" w:cs="仿宋_GB2312"/>
          <w:sz w:val="32"/>
        </w:rPr>
        <w:t>2022年度部门预算项目支出绩效自评表</w:t>
      </w:r>
    </w:p>
    <w:p>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eastAsia="zh-CN"/>
        </w:rPr>
      </w:pPr>
    </w:p>
    <w:p>
      <w:pPr>
        <w:pStyle w:val="8"/>
        <w:keepNext w:val="0"/>
        <w:keepLines w:val="0"/>
        <w:pageBreakBefore w:val="0"/>
        <w:widowControl w:val="0"/>
        <w:kinsoku/>
        <w:wordWrap/>
        <w:overflowPunct/>
        <w:topLinePunct w:val="0"/>
        <w:autoSpaceDE/>
        <w:autoSpaceDN/>
        <w:bidi w:val="0"/>
        <w:spacing w:line="576" w:lineRule="exact"/>
        <w:ind w:left="0" w:leftChars="0" w:firstLine="1600" w:firstLineChars="500"/>
        <w:jc w:val="both"/>
        <w:textAlignment w:val="auto"/>
        <w:rPr>
          <w:rFonts w:hint="eastAsia" w:ascii="仿宋_GB2312" w:hAnsi="仿宋_GB2312" w:eastAsia="仿宋_GB2312" w:cs="仿宋_GB2312"/>
          <w:sz w:val="32"/>
          <w:szCs w:val="32"/>
          <w:lang w:eastAsia="zh-CN"/>
        </w:rPr>
      </w:pPr>
    </w:p>
    <w:p>
      <w:pPr>
        <w:pStyle w:val="8"/>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仿宋_GB2312" w:hAnsi="仿宋_GB2312" w:eastAsia="仿宋_GB2312" w:cs="仿宋_GB2312"/>
          <w:b/>
          <w:bCs/>
          <w:color w:val="000000"/>
          <w:kern w:val="0"/>
          <w:sz w:val="32"/>
          <w:szCs w:val="32"/>
          <w:highlight w:val="none"/>
          <w:shd w:val="clear" w:color="auto" w:fill="FFFFFF"/>
          <w:lang w:val="en-US" w:eastAsia="zh-CN"/>
        </w:rPr>
      </w:pPr>
    </w:p>
    <w:p>
      <w:pPr>
        <w:keepNext w:val="0"/>
        <w:keepLines w:val="0"/>
        <w:pageBreakBefore w:val="0"/>
        <w:widowControl w:val="0"/>
        <w:kinsoku/>
        <w:wordWrap/>
        <w:overflowPunct/>
        <w:topLinePunct w:val="0"/>
        <w:autoSpaceDE/>
        <w:autoSpaceDN/>
        <w:bidi w:val="0"/>
        <w:spacing w:line="576" w:lineRule="exact"/>
        <w:ind w:left="642" w:leftChars="0" w:hanging="642" w:hangingChars="200"/>
        <w:jc w:val="both"/>
        <w:textAlignment w:val="auto"/>
        <w:rPr>
          <w:rFonts w:hint="eastAsia" w:ascii="仿宋_GB2312" w:hAnsi="仿宋_GB2312" w:eastAsia="仿宋_GB2312" w:cs="仿宋_GB2312"/>
          <w:b/>
          <w:bCs/>
          <w:color w:val="000000"/>
          <w:kern w:val="0"/>
          <w:sz w:val="32"/>
          <w:szCs w:val="32"/>
          <w:highlight w:val="none"/>
          <w:shd w:val="clear" w:color="auto" w:fill="FFFFFF"/>
          <w:lang w:val="en-US" w:eastAsia="zh-CN"/>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headerReference r:id="rId7" w:type="default"/>
          <w:footerReference r:id="rId8" w:type="default"/>
          <w:pgSz w:w="11906" w:h="16838"/>
          <w:pgMar w:top="2098" w:right="1474" w:bottom="1814" w:left="1587" w:header="851" w:footer="1587" w:gutter="0"/>
          <w:pgNumType w:fmt="decimal" w:start="1"/>
          <w:cols w:space="0" w:num="1"/>
          <w:rtlGutter w:val="0"/>
          <w:docGrid w:type="lines" w:linePitch="435" w:charSpace="0"/>
        </w:sectPr>
      </w:pPr>
    </w:p>
    <w:tbl>
      <w:tblPr>
        <w:tblStyle w:val="16"/>
        <w:tblW w:w="141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2492"/>
        <w:gridCol w:w="1321"/>
        <w:gridCol w:w="2257"/>
        <w:gridCol w:w="939"/>
        <w:gridCol w:w="775"/>
        <w:gridCol w:w="1009"/>
        <w:gridCol w:w="1094"/>
        <w:gridCol w:w="510"/>
        <w:gridCol w:w="486"/>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9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51082322T000005316127-应急救护“百万培训项目”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9" w:hRule="atLeast"/>
        </w:trPr>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剑阁县红十字会本级</w:t>
            </w:r>
          </w:p>
        </w:tc>
        <w:tc>
          <w:tcPr>
            <w:tcW w:w="109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剑阁县红十字会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6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提高广大群众自救互救能力，尽可能减少意外事故中的伤残何伤亡，满足</w:t>
            </w:r>
            <w:r>
              <w:rPr>
                <w:rFonts w:hint="eastAsia" w:ascii="宋体" w:hAnsi="宋体" w:cs="宋体"/>
                <w:i w:val="0"/>
                <w:iCs w:val="0"/>
                <w:color w:val="000000"/>
                <w:kern w:val="0"/>
                <w:sz w:val="18"/>
                <w:szCs w:val="18"/>
                <w:u w:val="none"/>
                <w:lang w:val="en-US" w:eastAsia="zh-CN" w:bidi="ar"/>
              </w:rPr>
              <w:t>人民群众</w:t>
            </w:r>
            <w:r>
              <w:rPr>
                <w:rFonts w:ascii="宋体" w:hAnsi="宋体" w:eastAsia="宋体" w:cs="宋体"/>
                <w:i w:val="0"/>
                <w:iCs w:val="0"/>
                <w:color w:val="000000"/>
                <w:kern w:val="0"/>
                <w:sz w:val="18"/>
                <w:szCs w:val="18"/>
                <w:u w:val="none"/>
                <w:lang w:val="en-US" w:eastAsia="zh-CN" w:bidi="ar"/>
              </w:rPr>
              <w:t>健康需求。</w:t>
            </w:r>
          </w:p>
        </w:tc>
        <w:tc>
          <w:tcPr>
            <w:tcW w:w="4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按照年初目标任务，完成全年培训目标任务。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9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1.开展救护员培训。2.服务本地.面向免费开展日常应急救护培训。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11.75</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11.75</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11.75</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救护员培训</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普及性培训</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提高民众自救能力</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群众的自救水平还有待提升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培训学员满意度</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学员的考核力度还要加强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圆满完成救护培训任务，特别是救护工作服务获得培训学员的高度赞誉。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培训缺乏计划，存在资金使用进度慢、主要集中在12月份结账。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年初制定培训计划，按进度执行培训活动，提高资金使用执行力。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4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49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132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93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775"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1009"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54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r>
    </w:tbl>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kern w:val="0"/>
          <w:sz w:val="30"/>
          <w:szCs w:val="30"/>
          <w:u w:val="none"/>
          <w:lang w:val="en-US" w:eastAsia="zh-CN" w:bidi="ar"/>
        </w:rPr>
        <w:sectPr>
          <w:headerReference r:id="rId9" w:type="default"/>
          <w:footerReference r:id="rId10" w:type="default"/>
          <w:pgSz w:w="16838" w:h="11906" w:orient="landscape"/>
          <w:pgMar w:top="1474" w:right="1587" w:bottom="1191" w:left="1587" w:header="851" w:footer="1587" w:gutter="0"/>
          <w:pgNumType w:fmt="decimal" w:start="1"/>
          <w:cols w:space="0" w:num="1"/>
          <w:rtlGutter w:val="0"/>
          <w:docGrid w:type="lines" w:linePitch="435" w:charSpace="0"/>
        </w:sectPr>
      </w:pPr>
    </w:p>
    <w:tbl>
      <w:tblPr>
        <w:tblStyle w:val="16"/>
        <w:tblW w:w="141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2492"/>
        <w:gridCol w:w="1321"/>
        <w:gridCol w:w="2257"/>
        <w:gridCol w:w="939"/>
        <w:gridCol w:w="775"/>
        <w:gridCol w:w="1009"/>
        <w:gridCol w:w="1094"/>
        <w:gridCol w:w="510"/>
        <w:gridCol w:w="486"/>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9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51082322T000005948523-项目争取经费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剑阁县红十字会本级</w:t>
            </w:r>
          </w:p>
        </w:tc>
        <w:tc>
          <w:tcPr>
            <w:tcW w:w="109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剑阁县红十字会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6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eastAsia="zh-CN"/>
              </w:rPr>
              <w:t>完成县委县政府下达的向上争取</w:t>
            </w:r>
            <w:r>
              <w:rPr>
                <w:rFonts w:hint="eastAsia" w:ascii="宋体" w:hAnsi="宋体" w:eastAsia="宋体" w:cs="宋体"/>
                <w:i w:val="0"/>
                <w:iCs w:val="0"/>
                <w:color w:val="000000"/>
                <w:sz w:val="18"/>
                <w:szCs w:val="18"/>
                <w:u w:val="none"/>
                <w:lang w:val="en-US" w:eastAsia="zh-CN"/>
              </w:rPr>
              <w:t>100万的目标任务</w:t>
            </w:r>
          </w:p>
        </w:tc>
        <w:tc>
          <w:tcPr>
            <w:tcW w:w="4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全年向上争取任务超额完成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9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1、争取捐赠资金2、争取省、市红会支持资金。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完成全年向上争取下达的任务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4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8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49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132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25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93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77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1009"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109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5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r>
    </w:tbl>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kern w:val="0"/>
          <w:sz w:val="30"/>
          <w:szCs w:val="30"/>
          <w:u w:val="none"/>
          <w:lang w:val="en-US" w:eastAsia="zh-CN" w:bidi="ar"/>
        </w:rPr>
        <w:sectPr>
          <w:footerReference r:id="rId11" w:type="default"/>
          <w:pgSz w:w="16838" w:h="11906" w:orient="landscape"/>
          <w:pgMar w:top="1474" w:right="1587" w:bottom="1191" w:left="1587" w:header="851" w:footer="1587" w:gutter="0"/>
          <w:pgNumType w:fmt="decimal" w:start="1"/>
          <w:cols w:space="0" w:num="1"/>
          <w:rtlGutter w:val="0"/>
          <w:docGrid w:type="lines" w:linePitch="435" w:charSpace="0"/>
        </w:sectPr>
      </w:pPr>
    </w:p>
    <w:tbl>
      <w:tblPr>
        <w:tblStyle w:val="16"/>
        <w:tblW w:w="141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2492"/>
        <w:gridCol w:w="1321"/>
        <w:gridCol w:w="2257"/>
        <w:gridCol w:w="939"/>
        <w:gridCol w:w="775"/>
        <w:gridCol w:w="1009"/>
        <w:gridCol w:w="1094"/>
        <w:gridCol w:w="510"/>
        <w:gridCol w:w="486"/>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9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51082322T000005949504-红十字会员代表大会及换届选举工作会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剑阁县红十字会本级</w:t>
            </w:r>
          </w:p>
        </w:tc>
        <w:tc>
          <w:tcPr>
            <w:tcW w:w="109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剑阁县红十字会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63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会员代表大会顺利召开及换届选举工作顺利完成</w:t>
            </w:r>
          </w:p>
        </w:tc>
        <w:tc>
          <w:tcPr>
            <w:tcW w:w="4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圆满完成我会换届选举及会员代表大会会议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9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w:t>
            </w:r>
            <w:r>
              <w:rPr>
                <w:rFonts w:hint="eastAsia" w:ascii="宋体" w:hAnsi="宋体" w:eastAsia="宋体" w:cs="宋体"/>
                <w:i w:val="0"/>
                <w:iCs w:val="0"/>
                <w:color w:val="000000"/>
                <w:kern w:val="0"/>
                <w:sz w:val="18"/>
                <w:szCs w:val="18"/>
                <w:u w:val="none"/>
                <w:lang w:val="en-US" w:eastAsia="zh-CN" w:bidi="ar"/>
              </w:rPr>
              <w:t>好红十字会</w:t>
            </w:r>
            <w:r>
              <w:rPr>
                <w:rFonts w:ascii="宋体" w:hAnsi="宋体" w:eastAsia="宋体" w:cs="宋体"/>
                <w:i w:val="0"/>
                <w:iCs w:val="0"/>
                <w:color w:val="000000"/>
                <w:kern w:val="0"/>
                <w:sz w:val="18"/>
                <w:szCs w:val="18"/>
                <w:u w:val="none"/>
                <w:lang w:val="en-US" w:eastAsia="zh-CN" w:bidi="ar"/>
              </w:rPr>
              <w:t>换届选举会议。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完成会员召开3次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会员代表会及换届选举顺利完成</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8"/>
                <w:szCs w:val="18"/>
                <w:u w:val="none"/>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会议召开圆满上级满意</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5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按照上级要求，圆满完成上级下达的目标任务，完成换届选举。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4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12" w:type="default"/>
          <w:pgSz w:w="16838" w:h="11906" w:orient="landscape"/>
          <w:pgMar w:top="1474" w:right="1587" w:bottom="1191" w:left="1587" w:header="851" w:footer="1587" w:gutter="0"/>
          <w:pgNumType w:fmt="decimal" w:start="1"/>
          <w:cols w:space="0" w:num="1"/>
          <w:rtlGutter w:val="0"/>
          <w:docGrid w:type="lines" w:linePitch="435" w:charSpace="0"/>
        </w:sectPr>
      </w:pPr>
    </w:p>
    <w:p>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29"/>
          <w:rFonts w:hint="eastAsia" w:ascii="黑体" w:hAnsi="黑体" w:eastAsia="黑体"/>
          <w:b w:val="0"/>
        </w:rPr>
        <w:t>五部分 附表</w:t>
      </w:r>
      <w:bookmarkEnd w:id="57"/>
      <w:bookmarkEnd w:id="59"/>
      <w:bookmarkStart w:id="60"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30"/>
          <w:rFonts w:hint="eastAsia" w:ascii="仿宋" w:hAnsi="仿宋" w:eastAsia="仿宋"/>
          <w:b w:val="0"/>
          <w:bCs w:val="0"/>
        </w:rPr>
        <w:t>入决算表</w:t>
      </w:r>
      <w:bookmarkEnd w:id="61"/>
    </w:p>
    <w:p>
      <w:pPr>
        <w:pStyle w:val="4"/>
        <w:rPr>
          <w:rFonts w:ascii="仿宋" w:hAnsi="仿宋" w:eastAsia="仿宋"/>
        </w:rPr>
      </w:pPr>
      <w:bookmarkStart w:id="62"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63"/>
    </w:p>
    <w:p>
      <w:pPr>
        <w:pStyle w:val="4"/>
        <w:rPr>
          <w:rStyle w:val="30"/>
          <w:rFonts w:ascii="仿宋" w:hAnsi="仿宋" w:eastAsia="仿宋"/>
          <w:b w:val="0"/>
          <w:bCs w:val="0"/>
        </w:rPr>
      </w:pPr>
      <w:bookmarkStart w:id="64"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30"/>
          <w:rFonts w:hint="eastAsia" w:ascii="仿宋" w:hAnsi="仿宋" w:eastAsia="仿宋"/>
          <w:b w:val="0"/>
          <w:bCs w:val="0"/>
        </w:rPr>
        <w:t>十、</w:t>
      </w:r>
      <w:bookmarkEnd w:id="69"/>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30"/>
          <w:rFonts w:hint="eastAsia" w:ascii="仿宋" w:hAnsi="仿宋" w:eastAsia="仿宋"/>
          <w:b w:val="0"/>
          <w:bCs w:val="0"/>
        </w:rPr>
        <w:t>十一、</w:t>
      </w:r>
      <w:bookmarkEnd w:id="70"/>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30"/>
          <w:rFonts w:hint="eastAsia" w:ascii="仿宋" w:hAnsi="仿宋" w:eastAsia="仿宋"/>
          <w:b w:val="0"/>
          <w:bCs w:val="0"/>
        </w:rPr>
        <w:t>十二、</w:t>
      </w:r>
      <w:bookmarkEnd w:id="71"/>
      <w:r>
        <w:rPr>
          <w:rStyle w:val="30"/>
          <w:rFonts w:hint="eastAsia" w:ascii="仿宋" w:hAnsi="仿宋" w:eastAsia="仿宋"/>
          <w:b w:val="0"/>
          <w:bCs w:val="0"/>
        </w:rPr>
        <w:t>国有资本经营预算财政拨款支出决算表</w:t>
      </w:r>
    </w:p>
    <w:p>
      <w:pPr>
        <w:pStyle w:val="4"/>
        <w:rPr>
          <w:rFonts w:eastAsia="仿宋"/>
        </w:rPr>
      </w:pPr>
      <w:bookmarkStart w:id="72" w:name="_Toc15396631"/>
      <w:r>
        <w:rPr>
          <w:rStyle w:val="30"/>
          <w:rFonts w:hint="eastAsia" w:ascii="仿宋" w:hAnsi="仿宋" w:eastAsia="仿宋"/>
          <w:b w:val="0"/>
          <w:bCs w:val="0"/>
        </w:rPr>
        <w:t>十三、</w:t>
      </w:r>
      <w:bookmarkEnd w:id="72"/>
      <w:r>
        <w:rPr>
          <w:rStyle w:val="30"/>
          <w:rFonts w:hint="eastAsia" w:ascii="仿宋" w:hAnsi="仿宋" w:eastAsia="仿宋"/>
          <w:b w:val="0"/>
          <w:bCs w:val="0"/>
        </w:rPr>
        <w:t>财政拨款“三公”经费支出决算表</w:t>
      </w:r>
    </w:p>
    <w:sectPr>
      <w:footerReference r:id="rId15" w:type="first"/>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FB" w:usb2="0000002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XgMnHQ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LOhkSolhGjM6f/1y/vbj/P0z&#10;wRsAalyYw2/r4Bnb17YtaPQHMZgC3lPrrfQ63WiKwAVon64IizYSjsfxbDKb5TBx2AYFKbLbd+dD&#10;fCOsJkkoqMcIO2TZcRPixXVwSdmMXddKdWNUhjQFnb58lXcfrhYEVwY5Uh+XYpMU213bN7ez5Qm9&#10;eXuhR3B8XSP5hoX4xDz4gILB8fiIQyqLJLaXKKms//S39+SPMcFKSQN+FdRgAShRbw3Gl6g4CH4Q&#10;doNgDvregrBj7I7jnYgPPqpBlN7qjyD+KuWQTAUEZoYjG0YziPcRWm/EAnGxWl31g/P1vrp9Bhkd&#10;ixuzdbwfbsI2uNUhAt8O9oTZBageSjCyG1y/PYnyv+qd123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9eAyc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docPartObj>
        <w:docPartGallery w:val="autotext"/>
      </w:docPartObj>
    </w:sdtPr>
    <w:sdtContent>
      <w:p>
        <w:pPr>
          <w:pStyle w:val="1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10"/>
      <w:tabs>
        <w:tab w:val="right" w:pos="9184"/>
        <w:tab w:val="clear" w:pos="4153"/>
        <w:tab w:val="clear" w:pos="8306"/>
      </w:tabs>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25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jc w:val="center"/>
      <w:rPr>
        <w:rFonts w:hint="default" w:eastAsia="宋体"/>
        <w:lang w:val="en-US" w:eastAsia="zh-CN"/>
      </w:rPr>
    </w:pPr>
    <w:r>
      <w:rPr>
        <w:rFonts w:hint="eastAsia"/>
        <w:lang w:val="en-US" w:eastAsia="zh-CN"/>
      </w:rPr>
      <w:t>26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jc w:val="center"/>
      <w:rPr>
        <w:rFonts w:hint="default"/>
        <w:lang w:val="en-US"/>
      </w:rPr>
    </w:pPr>
    <w:r>
      <w:rPr>
        <w:rFonts w:hint="eastAsia"/>
        <w:lang w:val="en-US" w:eastAsia="zh-CN"/>
      </w:rPr>
      <w:t>27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jc w:val="center"/>
      <w:rPr>
        <w:rFonts w:hint="default"/>
        <w:lang w:val="en-US"/>
      </w:rPr>
    </w:pPr>
    <w:r>
      <w:rPr>
        <w:rFonts w:hint="eastAsia"/>
        <w:lang w:val="en-US" w:eastAsia="zh-CN"/>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853"/>
        <w:tab w:val="clear" w:pos="4153"/>
      </w:tabs>
      <w:jc w:val="center"/>
      <w:rPr>
        <w:rFonts w:hint="default"/>
        <w:lang w:val="en-US"/>
      </w:rPr>
    </w:pPr>
    <w:r>
      <w:rPr>
        <w:rFonts w:hint="eastAsia"/>
        <w:lang w:val="en-US" w:eastAsia="zh-CN"/>
      </w:rPr>
      <w:t>29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35</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eastAsia="宋体"/>
                              <w:lang w:val="en-US" w:eastAsia="zh-CN"/>
                            </w:rPr>
                          </w:pPr>
                          <w:r>
                            <w:rPr>
                              <w:rFonts w:hint="eastAsia"/>
                              <w:lang w:val="en-US" w:eastAsia="zh-CN"/>
                            </w:rPr>
                            <w:t>28</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0"/>
                      <w:rPr>
                        <w:rFonts w:hint="default" w:eastAsia="宋体"/>
                        <w:lang w:val="en-US" w:eastAsia="zh-CN"/>
                      </w:rPr>
                    </w:pPr>
                    <w:r>
                      <w:rPr>
                        <w:rFonts w:hint="eastAsia"/>
                        <w:lang w:val="en-US" w:eastAsia="zh-CN"/>
                      </w:rPr>
                      <w:t>28</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8FD2735"/>
    <w:multiLevelType w:val="singleLevel"/>
    <w:tmpl w:val="28FD2735"/>
    <w:lvl w:ilvl="0" w:tentative="0">
      <w:start w:val="8"/>
      <w:numFmt w:val="decimal"/>
      <w:lvlText w:val="%1."/>
      <w:lvlJc w:val="left"/>
      <w:pPr>
        <w:tabs>
          <w:tab w:val="left" w:pos="312"/>
        </w:tabs>
      </w:pPr>
    </w:lvl>
  </w:abstractNum>
  <w:abstractNum w:abstractNumId="5">
    <w:nsid w:val="5BCBE33B"/>
    <w:multiLevelType w:val="singleLevel"/>
    <w:tmpl w:val="5BCBE33B"/>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GUzMDYwZWM5YjdlMTIxYTUwNTg5YjUxNjRlZ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1C58"/>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3468"/>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56A"/>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0855B5"/>
    <w:rsid w:val="015975B8"/>
    <w:rsid w:val="01976EAE"/>
    <w:rsid w:val="01BB3CD7"/>
    <w:rsid w:val="02143E91"/>
    <w:rsid w:val="02681420"/>
    <w:rsid w:val="0295108B"/>
    <w:rsid w:val="02A36C44"/>
    <w:rsid w:val="02C11B40"/>
    <w:rsid w:val="02CE01AC"/>
    <w:rsid w:val="02F154BF"/>
    <w:rsid w:val="0305345B"/>
    <w:rsid w:val="03433852"/>
    <w:rsid w:val="03CC091E"/>
    <w:rsid w:val="041B0C92"/>
    <w:rsid w:val="041E72EC"/>
    <w:rsid w:val="056D2732"/>
    <w:rsid w:val="05EC57FF"/>
    <w:rsid w:val="063D4CBA"/>
    <w:rsid w:val="06510766"/>
    <w:rsid w:val="066E0107"/>
    <w:rsid w:val="06823015"/>
    <w:rsid w:val="07262C5F"/>
    <w:rsid w:val="073A569E"/>
    <w:rsid w:val="074325C6"/>
    <w:rsid w:val="076646E5"/>
    <w:rsid w:val="076B041E"/>
    <w:rsid w:val="07996F6E"/>
    <w:rsid w:val="07B32C99"/>
    <w:rsid w:val="07D20973"/>
    <w:rsid w:val="07F678B4"/>
    <w:rsid w:val="08007B61"/>
    <w:rsid w:val="08274BAD"/>
    <w:rsid w:val="08314CF2"/>
    <w:rsid w:val="085A26DE"/>
    <w:rsid w:val="0860117D"/>
    <w:rsid w:val="087846CF"/>
    <w:rsid w:val="08920B48"/>
    <w:rsid w:val="08EB4BD2"/>
    <w:rsid w:val="09012917"/>
    <w:rsid w:val="0935611C"/>
    <w:rsid w:val="09691CB3"/>
    <w:rsid w:val="0A0D7071"/>
    <w:rsid w:val="0A120F4F"/>
    <w:rsid w:val="0A2032A3"/>
    <w:rsid w:val="0A8F3EAE"/>
    <w:rsid w:val="0A8F3F52"/>
    <w:rsid w:val="0B17001C"/>
    <w:rsid w:val="0B984ADE"/>
    <w:rsid w:val="0C246516"/>
    <w:rsid w:val="0C346B5F"/>
    <w:rsid w:val="0C3A5E22"/>
    <w:rsid w:val="0C57059C"/>
    <w:rsid w:val="0CD2638F"/>
    <w:rsid w:val="0D272E75"/>
    <w:rsid w:val="0DFF2C97"/>
    <w:rsid w:val="0E22263D"/>
    <w:rsid w:val="0E3C241E"/>
    <w:rsid w:val="0E4310F3"/>
    <w:rsid w:val="0ED97846"/>
    <w:rsid w:val="0F452E31"/>
    <w:rsid w:val="0F98263C"/>
    <w:rsid w:val="10176B62"/>
    <w:rsid w:val="101860EC"/>
    <w:rsid w:val="106D1CBD"/>
    <w:rsid w:val="10761989"/>
    <w:rsid w:val="1081237E"/>
    <w:rsid w:val="10A53AD8"/>
    <w:rsid w:val="10C055FF"/>
    <w:rsid w:val="10D426BF"/>
    <w:rsid w:val="10FE02A1"/>
    <w:rsid w:val="113640A1"/>
    <w:rsid w:val="117967BF"/>
    <w:rsid w:val="118107EC"/>
    <w:rsid w:val="123F1BF5"/>
    <w:rsid w:val="13482EF0"/>
    <w:rsid w:val="13915956"/>
    <w:rsid w:val="13D50BC4"/>
    <w:rsid w:val="13DD2204"/>
    <w:rsid w:val="13F4249E"/>
    <w:rsid w:val="142179C9"/>
    <w:rsid w:val="145A19A9"/>
    <w:rsid w:val="14A122F1"/>
    <w:rsid w:val="14B32501"/>
    <w:rsid w:val="14E02BE5"/>
    <w:rsid w:val="15204125"/>
    <w:rsid w:val="158B322B"/>
    <w:rsid w:val="165F0C7D"/>
    <w:rsid w:val="16A40E40"/>
    <w:rsid w:val="16BB723D"/>
    <w:rsid w:val="170C46D3"/>
    <w:rsid w:val="173C357E"/>
    <w:rsid w:val="176E3033"/>
    <w:rsid w:val="177B3E44"/>
    <w:rsid w:val="180E6D7C"/>
    <w:rsid w:val="18286288"/>
    <w:rsid w:val="18414C0D"/>
    <w:rsid w:val="186D63DC"/>
    <w:rsid w:val="18A230A3"/>
    <w:rsid w:val="18DE232D"/>
    <w:rsid w:val="18F71640"/>
    <w:rsid w:val="1902278B"/>
    <w:rsid w:val="19152C92"/>
    <w:rsid w:val="1A8D2D39"/>
    <w:rsid w:val="1B193AF0"/>
    <w:rsid w:val="1B997ADF"/>
    <w:rsid w:val="1BE8440E"/>
    <w:rsid w:val="1C0A3439"/>
    <w:rsid w:val="1C112A19"/>
    <w:rsid w:val="1C6033A5"/>
    <w:rsid w:val="1C6D2A53"/>
    <w:rsid w:val="1CA817C2"/>
    <w:rsid w:val="1CC479BA"/>
    <w:rsid w:val="1CD328A7"/>
    <w:rsid w:val="1CDD5062"/>
    <w:rsid w:val="1D155CEE"/>
    <w:rsid w:val="1D80560B"/>
    <w:rsid w:val="1DC86D1F"/>
    <w:rsid w:val="1E126414"/>
    <w:rsid w:val="1E2E2473"/>
    <w:rsid w:val="1E36138A"/>
    <w:rsid w:val="1E4F2C3F"/>
    <w:rsid w:val="1ED815CC"/>
    <w:rsid w:val="1F6F0182"/>
    <w:rsid w:val="1F770DE5"/>
    <w:rsid w:val="1FF13588"/>
    <w:rsid w:val="1FF35744"/>
    <w:rsid w:val="1FF3774C"/>
    <w:rsid w:val="20C13F80"/>
    <w:rsid w:val="21022930"/>
    <w:rsid w:val="21585AAE"/>
    <w:rsid w:val="21BE5E8A"/>
    <w:rsid w:val="21D20F20"/>
    <w:rsid w:val="22134B4E"/>
    <w:rsid w:val="22C5455D"/>
    <w:rsid w:val="23137110"/>
    <w:rsid w:val="23860B96"/>
    <w:rsid w:val="23BC0C45"/>
    <w:rsid w:val="240371BF"/>
    <w:rsid w:val="24843748"/>
    <w:rsid w:val="24AF1E83"/>
    <w:rsid w:val="24BE6297"/>
    <w:rsid w:val="24CC7F91"/>
    <w:rsid w:val="24E34B84"/>
    <w:rsid w:val="24EE1B79"/>
    <w:rsid w:val="250A44A9"/>
    <w:rsid w:val="250B1577"/>
    <w:rsid w:val="253D30F4"/>
    <w:rsid w:val="25980E93"/>
    <w:rsid w:val="2673299D"/>
    <w:rsid w:val="26B91E68"/>
    <w:rsid w:val="26BE58EA"/>
    <w:rsid w:val="27493CC8"/>
    <w:rsid w:val="27B90E8A"/>
    <w:rsid w:val="28C3675E"/>
    <w:rsid w:val="28D10C01"/>
    <w:rsid w:val="28D32810"/>
    <w:rsid w:val="291B4ED7"/>
    <w:rsid w:val="292E36D1"/>
    <w:rsid w:val="294E705B"/>
    <w:rsid w:val="29FD04D3"/>
    <w:rsid w:val="2B59624A"/>
    <w:rsid w:val="2C8A61B5"/>
    <w:rsid w:val="2CA451E4"/>
    <w:rsid w:val="2D485B6F"/>
    <w:rsid w:val="2D67494A"/>
    <w:rsid w:val="2D6A3D37"/>
    <w:rsid w:val="2D8E738A"/>
    <w:rsid w:val="2DB2482A"/>
    <w:rsid w:val="2DF04E50"/>
    <w:rsid w:val="2E291E44"/>
    <w:rsid w:val="2ECE29E2"/>
    <w:rsid w:val="2EE855A8"/>
    <w:rsid w:val="2F040D46"/>
    <w:rsid w:val="2F26688E"/>
    <w:rsid w:val="2F41409C"/>
    <w:rsid w:val="2FAC0E5D"/>
    <w:rsid w:val="2FF86329"/>
    <w:rsid w:val="311A5921"/>
    <w:rsid w:val="319F7F4E"/>
    <w:rsid w:val="32894D49"/>
    <w:rsid w:val="32A57ED6"/>
    <w:rsid w:val="3304709D"/>
    <w:rsid w:val="334D373B"/>
    <w:rsid w:val="347831DE"/>
    <w:rsid w:val="347F56D3"/>
    <w:rsid w:val="349E0540"/>
    <w:rsid w:val="34A51AF9"/>
    <w:rsid w:val="35845BB2"/>
    <w:rsid w:val="35AC108D"/>
    <w:rsid w:val="35FD697A"/>
    <w:rsid w:val="368E7C0F"/>
    <w:rsid w:val="36AA5135"/>
    <w:rsid w:val="36CF18D1"/>
    <w:rsid w:val="36DF7544"/>
    <w:rsid w:val="376D39B2"/>
    <w:rsid w:val="377E29CE"/>
    <w:rsid w:val="37887BDC"/>
    <w:rsid w:val="37E16F03"/>
    <w:rsid w:val="383218F5"/>
    <w:rsid w:val="386D5023"/>
    <w:rsid w:val="38715E34"/>
    <w:rsid w:val="38CA5FD2"/>
    <w:rsid w:val="38D469F0"/>
    <w:rsid w:val="38E256CD"/>
    <w:rsid w:val="395A40E3"/>
    <w:rsid w:val="3A4D2A17"/>
    <w:rsid w:val="3A954C33"/>
    <w:rsid w:val="3AA34D2C"/>
    <w:rsid w:val="3AC23D63"/>
    <w:rsid w:val="3B500204"/>
    <w:rsid w:val="3B5B2AFB"/>
    <w:rsid w:val="3B8E4D4C"/>
    <w:rsid w:val="3B9E04FF"/>
    <w:rsid w:val="3BA65070"/>
    <w:rsid w:val="3BC85BDD"/>
    <w:rsid w:val="3BCA71D6"/>
    <w:rsid w:val="3C485B8B"/>
    <w:rsid w:val="3CBE25E9"/>
    <w:rsid w:val="3CCB1742"/>
    <w:rsid w:val="3D245F63"/>
    <w:rsid w:val="3D744DEE"/>
    <w:rsid w:val="3D98207C"/>
    <w:rsid w:val="3DAA49D5"/>
    <w:rsid w:val="3E78745D"/>
    <w:rsid w:val="3E8B6370"/>
    <w:rsid w:val="3E9B1CF6"/>
    <w:rsid w:val="3EBA6C6D"/>
    <w:rsid w:val="3F042F21"/>
    <w:rsid w:val="3F3B3785"/>
    <w:rsid w:val="3F57074F"/>
    <w:rsid w:val="42027919"/>
    <w:rsid w:val="421E472E"/>
    <w:rsid w:val="42253B66"/>
    <w:rsid w:val="42CE635C"/>
    <w:rsid w:val="42D02437"/>
    <w:rsid w:val="430E21E3"/>
    <w:rsid w:val="432078A7"/>
    <w:rsid w:val="43D67F21"/>
    <w:rsid w:val="43F860E9"/>
    <w:rsid w:val="446656DC"/>
    <w:rsid w:val="44DA7B0D"/>
    <w:rsid w:val="44E268DA"/>
    <w:rsid w:val="45575091"/>
    <w:rsid w:val="45800144"/>
    <w:rsid w:val="45A221AE"/>
    <w:rsid w:val="46330BD9"/>
    <w:rsid w:val="46355292"/>
    <w:rsid w:val="466F1F67"/>
    <w:rsid w:val="469C1DB0"/>
    <w:rsid w:val="46BF2EEE"/>
    <w:rsid w:val="46F27D4D"/>
    <w:rsid w:val="46FE3A16"/>
    <w:rsid w:val="4703154A"/>
    <w:rsid w:val="4716689C"/>
    <w:rsid w:val="472370D3"/>
    <w:rsid w:val="473644D1"/>
    <w:rsid w:val="47517C86"/>
    <w:rsid w:val="47F85A3B"/>
    <w:rsid w:val="480C3F44"/>
    <w:rsid w:val="483244C2"/>
    <w:rsid w:val="48775D2E"/>
    <w:rsid w:val="48E6769E"/>
    <w:rsid w:val="49623353"/>
    <w:rsid w:val="49FB4D0B"/>
    <w:rsid w:val="4A627F82"/>
    <w:rsid w:val="4ABC4C33"/>
    <w:rsid w:val="4B0E749A"/>
    <w:rsid w:val="4B321EE0"/>
    <w:rsid w:val="4B4F25DA"/>
    <w:rsid w:val="4B8D72D6"/>
    <w:rsid w:val="4BE068DB"/>
    <w:rsid w:val="4C40066C"/>
    <w:rsid w:val="4C740D63"/>
    <w:rsid w:val="4CB42DC9"/>
    <w:rsid w:val="4CF55E24"/>
    <w:rsid w:val="4CFE62ED"/>
    <w:rsid w:val="4D3857A8"/>
    <w:rsid w:val="4D577224"/>
    <w:rsid w:val="4DD21759"/>
    <w:rsid w:val="4E0C5D0E"/>
    <w:rsid w:val="4E4373E2"/>
    <w:rsid w:val="4E936D6F"/>
    <w:rsid w:val="4E9F7009"/>
    <w:rsid w:val="4EAB630A"/>
    <w:rsid w:val="4EC3405F"/>
    <w:rsid w:val="4ECE2238"/>
    <w:rsid w:val="4EE05E69"/>
    <w:rsid w:val="4F0B46F9"/>
    <w:rsid w:val="506040FC"/>
    <w:rsid w:val="506863A4"/>
    <w:rsid w:val="50930BAE"/>
    <w:rsid w:val="5095081C"/>
    <w:rsid w:val="50AD2009"/>
    <w:rsid w:val="50CC02AF"/>
    <w:rsid w:val="50F4571B"/>
    <w:rsid w:val="517D7FD2"/>
    <w:rsid w:val="51A12B2A"/>
    <w:rsid w:val="51AA4AE9"/>
    <w:rsid w:val="51CB2747"/>
    <w:rsid w:val="524E7273"/>
    <w:rsid w:val="52BB0165"/>
    <w:rsid w:val="52C92CAE"/>
    <w:rsid w:val="52F809E3"/>
    <w:rsid w:val="531B406E"/>
    <w:rsid w:val="532340B7"/>
    <w:rsid w:val="532D2151"/>
    <w:rsid w:val="53494DD9"/>
    <w:rsid w:val="535D0132"/>
    <w:rsid w:val="537B0639"/>
    <w:rsid w:val="537E6D0A"/>
    <w:rsid w:val="53806831"/>
    <w:rsid w:val="5416581F"/>
    <w:rsid w:val="541D4A5C"/>
    <w:rsid w:val="5458228C"/>
    <w:rsid w:val="54E67B2D"/>
    <w:rsid w:val="552A5142"/>
    <w:rsid w:val="55C925CB"/>
    <w:rsid w:val="5617493B"/>
    <w:rsid w:val="56234114"/>
    <w:rsid w:val="56384721"/>
    <w:rsid w:val="58892FCD"/>
    <w:rsid w:val="5901258A"/>
    <w:rsid w:val="59367EC7"/>
    <w:rsid w:val="59516B49"/>
    <w:rsid w:val="59D6612D"/>
    <w:rsid w:val="5A1841E6"/>
    <w:rsid w:val="5A9F0A54"/>
    <w:rsid w:val="5AE60011"/>
    <w:rsid w:val="5AF92295"/>
    <w:rsid w:val="5B7C4DA2"/>
    <w:rsid w:val="5B905246"/>
    <w:rsid w:val="5BEC3726"/>
    <w:rsid w:val="5C5732FE"/>
    <w:rsid w:val="5CD71FC4"/>
    <w:rsid w:val="5D2303A3"/>
    <w:rsid w:val="5E431D24"/>
    <w:rsid w:val="5ED24B49"/>
    <w:rsid w:val="602F63C0"/>
    <w:rsid w:val="606B3C81"/>
    <w:rsid w:val="60707A3E"/>
    <w:rsid w:val="612B1454"/>
    <w:rsid w:val="61D75993"/>
    <w:rsid w:val="61FB637A"/>
    <w:rsid w:val="62335455"/>
    <w:rsid w:val="624A77FD"/>
    <w:rsid w:val="62C57884"/>
    <w:rsid w:val="62E739E8"/>
    <w:rsid w:val="633B5253"/>
    <w:rsid w:val="634564A0"/>
    <w:rsid w:val="63560C58"/>
    <w:rsid w:val="63C332FF"/>
    <w:rsid w:val="63D01E3F"/>
    <w:rsid w:val="64255382"/>
    <w:rsid w:val="64F733FB"/>
    <w:rsid w:val="64FA684C"/>
    <w:rsid w:val="65451723"/>
    <w:rsid w:val="654E369A"/>
    <w:rsid w:val="657C227E"/>
    <w:rsid w:val="65A46557"/>
    <w:rsid w:val="65C32895"/>
    <w:rsid w:val="65C468EB"/>
    <w:rsid w:val="65F53793"/>
    <w:rsid w:val="66101939"/>
    <w:rsid w:val="66167F98"/>
    <w:rsid w:val="66E62482"/>
    <w:rsid w:val="676E3E49"/>
    <w:rsid w:val="68104BA3"/>
    <w:rsid w:val="68862A70"/>
    <w:rsid w:val="69561379"/>
    <w:rsid w:val="6A026465"/>
    <w:rsid w:val="6A325601"/>
    <w:rsid w:val="6A9B72A9"/>
    <w:rsid w:val="6AB478F9"/>
    <w:rsid w:val="6AC645F4"/>
    <w:rsid w:val="6AD91C63"/>
    <w:rsid w:val="6B4128A4"/>
    <w:rsid w:val="6B60619E"/>
    <w:rsid w:val="6B623CC4"/>
    <w:rsid w:val="6B826114"/>
    <w:rsid w:val="6B8B0666"/>
    <w:rsid w:val="6BD050D2"/>
    <w:rsid w:val="6C23574F"/>
    <w:rsid w:val="6C3D2E7D"/>
    <w:rsid w:val="6C4A05C8"/>
    <w:rsid w:val="6C7F08A6"/>
    <w:rsid w:val="6C885572"/>
    <w:rsid w:val="6CB22AD0"/>
    <w:rsid w:val="6CE626D3"/>
    <w:rsid w:val="6DEE183F"/>
    <w:rsid w:val="6E4017D1"/>
    <w:rsid w:val="6E771827"/>
    <w:rsid w:val="6E7E3605"/>
    <w:rsid w:val="6EC00048"/>
    <w:rsid w:val="6ED74F08"/>
    <w:rsid w:val="6EF3FE13"/>
    <w:rsid w:val="6F4D4FA0"/>
    <w:rsid w:val="6FF5CC65"/>
    <w:rsid w:val="70734297"/>
    <w:rsid w:val="70F668FB"/>
    <w:rsid w:val="712026F8"/>
    <w:rsid w:val="714E74A3"/>
    <w:rsid w:val="715C0E4B"/>
    <w:rsid w:val="71BD7214"/>
    <w:rsid w:val="71BF3B13"/>
    <w:rsid w:val="726157DE"/>
    <w:rsid w:val="72734A09"/>
    <w:rsid w:val="72734D90"/>
    <w:rsid w:val="728564EA"/>
    <w:rsid w:val="72944BBA"/>
    <w:rsid w:val="72A45059"/>
    <w:rsid w:val="72B91FED"/>
    <w:rsid w:val="737E20A5"/>
    <w:rsid w:val="73AD73D5"/>
    <w:rsid w:val="73B6EB34"/>
    <w:rsid w:val="73FF158D"/>
    <w:rsid w:val="74365B03"/>
    <w:rsid w:val="744731E5"/>
    <w:rsid w:val="7484016C"/>
    <w:rsid w:val="75114C6D"/>
    <w:rsid w:val="7599228F"/>
    <w:rsid w:val="75C15A8B"/>
    <w:rsid w:val="75F56CEA"/>
    <w:rsid w:val="764329D8"/>
    <w:rsid w:val="764A7956"/>
    <w:rsid w:val="7678411E"/>
    <w:rsid w:val="767B4B72"/>
    <w:rsid w:val="76E3355F"/>
    <w:rsid w:val="77260942"/>
    <w:rsid w:val="77686C8A"/>
    <w:rsid w:val="776F7C70"/>
    <w:rsid w:val="778769C8"/>
    <w:rsid w:val="77C27E7E"/>
    <w:rsid w:val="77D575CC"/>
    <w:rsid w:val="787D5522"/>
    <w:rsid w:val="795860E2"/>
    <w:rsid w:val="796E068C"/>
    <w:rsid w:val="797415A9"/>
    <w:rsid w:val="79E53214"/>
    <w:rsid w:val="79EE5BA4"/>
    <w:rsid w:val="7A2865F8"/>
    <w:rsid w:val="7A6335B5"/>
    <w:rsid w:val="7A894339"/>
    <w:rsid w:val="7AEA7F45"/>
    <w:rsid w:val="7AF6348D"/>
    <w:rsid w:val="7B247929"/>
    <w:rsid w:val="7B697C1A"/>
    <w:rsid w:val="7B9510BE"/>
    <w:rsid w:val="7BD73D86"/>
    <w:rsid w:val="7BF04292"/>
    <w:rsid w:val="7CDF04C4"/>
    <w:rsid w:val="7CEB2A59"/>
    <w:rsid w:val="7CEF391F"/>
    <w:rsid w:val="7DAC5273"/>
    <w:rsid w:val="7E960EB8"/>
    <w:rsid w:val="7EEF11D3"/>
    <w:rsid w:val="7F7122D0"/>
    <w:rsid w:val="7FA30C79"/>
    <w:rsid w:val="7FAC155A"/>
    <w:rsid w:val="7FAC687B"/>
    <w:rsid w:val="7FB7269E"/>
    <w:rsid w:val="7FBC555C"/>
    <w:rsid w:val="7FC96657"/>
    <w:rsid w:val="7FE02FB2"/>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pPr>
      <w:spacing w:line="620" w:lineRule="exact"/>
      <w:ind w:firstLine="1140" w:firstLineChars="200"/>
    </w:pPr>
    <w:rPr>
      <w:rFonts w:ascii="宋体" w:hAnsi="Courier New" w:eastAsia="仿宋" w:cs="宋体"/>
      <w:sz w:val="32"/>
      <w:szCs w:val="32"/>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semiHidden/>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41"/>
    <w:basedOn w:val="17"/>
    <w:qFormat/>
    <w:uiPriority w:val="0"/>
    <w:rPr>
      <w:rFonts w:hint="eastAsia" w:ascii="宋体" w:hAnsi="宋体" w:eastAsia="宋体" w:cs="宋体"/>
      <w:color w:val="000000"/>
      <w:sz w:val="20"/>
      <w:szCs w:val="20"/>
      <w:u w:val="none"/>
    </w:rPr>
  </w:style>
  <w:style w:type="character" w:customStyle="1" w:styleId="37">
    <w:name w:val="font01"/>
    <w:basedOn w:val="17"/>
    <w:qFormat/>
    <w:uiPriority w:val="0"/>
    <w:rPr>
      <w:rFonts w:hint="eastAsia" w:ascii="宋体" w:hAnsi="宋体" w:eastAsia="宋体" w:cs="宋体"/>
      <w:color w:val="000000"/>
      <w:sz w:val="20"/>
      <w:szCs w:val="20"/>
      <w:u w:val="none"/>
    </w:rPr>
  </w:style>
  <w:style w:type="character" w:customStyle="1" w:styleId="38">
    <w:name w:val="font51"/>
    <w:basedOn w:val="17"/>
    <w:qFormat/>
    <w:uiPriority w:val="0"/>
    <w:rPr>
      <w:rFonts w:hint="eastAsia" w:ascii="宋体" w:hAnsi="宋体" w:eastAsia="宋体" w:cs="宋体"/>
      <w:color w:val="000000"/>
      <w:sz w:val="16"/>
      <w:szCs w:val="16"/>
      <w:u w:val="none"/>
    </w:rPr>
  </w:style>
  <w:style w:type="character" w:customStyle="1" w:styleId="39">
    <w:name w:val="font21"/>
    <w:basedOn w:val="17"/>
    <w:qFormat/>
    <w:uiPriority w:val="0"/>
    <w:rPr>
      <w:rFonts w:hint="eastAsia" w:ascii="宋体" w:hAnsi="宋体" w:eastAsia="宋体" w:cs="宋体"/>
      <w:color w:val="000000"/>
      <w:sz w:val="20"/>
      <w:szCs w:val="20"/>
      <w:u w:val="none"/>
    </w:rPr>
  </w:style>
  <w:style w:type="character" w:customStyle="1" w:styleId="40">
    <w:name w:val="font6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chart" Target="charts/chart7.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658333333333333"/>
          <c:y val="0.025"/>
          <c:w val="0.741805555555556"/>
          <c:h val="0.827083333333333"/>
        </c:manualLayout>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81.93</c:v>
                </c:pt>
                <c:pt idx="1">
                  <c:v>110.66</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Lbls>
            <c:delete val="true"/>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0.8431</c:v>
                </c:pt>
                <c:pt idx="1">
                  <c:v>0.1769</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2330468868093"/>
          <c:y val="0.0238207919230162"/>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81.93</c:v>
                </c:pt>
                <c:pt idx="1">
                  <c:v>110.66</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81.93</c:v>
                </c:pt>
                <c:pt idx="1">
                  <c:v>110.66</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[决算公开插图制作示例.xlsx]图6!$A$2:$A$4</c:f>
              <c:strCache>
                <c:ptCount val="3"/>
                <c:pt idx="0">
                  <c:v>社会保障和就业（类）支出</c:v>
                </c:pt>
                <c:pt idx="1">
                  <c:v>卫生健康(类)支出</c:v>
                </c:pt>
                <c:pt idx="2">
                  <c:v>住房保障（类）支出</c:v>
                </c:pt>
              </c:strCache>
            </c:strRef>
          </c:cat>
          <c:val>
            <c:numRef>
              <c:f>[决算公开插图制作示例.xlsx]图6!$B$2:$B$4</c:f>
              <c:numCache>
                <c:formatCode>0%</c:formatCode>
                <c:ptCount val="3"/>
                <c:pt idx="0">
                  <c:v>0.92</c:v>
                </c:pt>
                <c:pt idx="1">
                  <c:v>0.03</c:v>
                </c:pt>
                <c:pt idx="2">
                  <c:v>0.05</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formatCode="0%">
                  <c:v>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1230</Words>
  <Characters>7012</Characters>
  <Lines>58</Lines>
  <Paragraphs>16</Paragraphs>
  <TotalTime>4</TotalTime>
  <ScaleCrop>false</ScaleCrop>
  <LinksUpToDate>false</LinksUpToDate>
  <CharactersWithSpaces>8226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2023-11-30T09:20:22Z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677587DB96AA424B8C566C56F5B36223_13</vt:lpwstr>
  </property>
</Properties>
</file>