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ordWrap/>
        <w:overflowPunct/>
        <w:bidi w:val="0"/>
        <w:spacing w:line="560" w:lineRule="exact"/>
        <w:ind w:left="0" w:leftChars="0" w:right="0" w:firstLine="1440" w:firstLineChars="200"/>
        <w:jc w:val="center"/>
        <w:outlineLvl w:val="0"/>
        <w:rPr>
          <w:rFonts w:ascii="方正小标宋简体" w:hAnsi="宋体" w:eastAsia="方正小标宋简体"/>
          <w:sz w:val="72"/>
          <w:szCs w:val="72"/>
        </w:rPr>
      </w:pPr>
      <w:bookmarkStart w:id="0" w:name="_Toc15396475"/>
      <w:bookmarkStart w:id="1" w:name="_Toc15377425"/>
      <w:bookmarkStart w:id="2" w:name="_Toc15377193"/>
      <w:bookmarkStart w:id="3" w:name="_Toc15396597"/>
      <w:bookmarkStart w:id="4" w:name="_Toc15378441"/>
      <w:bookmarkStart w:id="5" w:name="_Toc15306267"/>
    </w:p>
    <w:p>
      <w:pPr>
        <w:pageBreakBefore w:val="0"/>
        <w:wordWrap/>
        <w:overflowPunct/>
        <w:bidi w:val="0"/>
        <w:spacing w:line="560" w:lineRule="exact"/>
        <w:ind w:left="0" w:leftChars="0" w:right="0" w:firstLine="1440" w:firstLineChars="200"/>
        <w:jc w:val="center"/>
        <w:outlineLvl w:val="0"/>
        <w:rPr>
          <w:rFonts w:ascii="方正小标宋简体" w:hAnsi="宋体" w:eastAsia="方正小标宋简体"/>
          <w:sz w:val="72"/>
          <w:szCs w:val="72"/>
        </w:rPr>
      </w:pPr>
    </w:p>
    <w:p>
      <w:pPr>
        <w:pageBreakBefore w:val="0"/>
        <w:wordWrap/>
        <w:overflowPunct/>
        <w:bidi w:val="0"/>
        <w:spacing w:line="560" w:lineRule="exact"/>
        <w:ind w:left="0" w:leftChars="0" w:right="0" w:firstLine="1440" w:firstLineChars="200"/>
        <w:jc w:val="center"/>
        <w:outlineLvl w:val="0"/>
        <w:rPr>
          <w:rFonts w:ascii="方正小标宋简体" w:hAnsi="宋体" w:eastAsia="方正小标宋简体"/>
          <w:sz w:val="72"/>
          <w:szCs w:val="72"/>
        </w:rPr>
      </w:pPr>
    </w:p>
    <w:p>
      <w:pPr>
        <w:pageBreakBefore w:val="0"/>
        <w:wordWrap/>
        <w:overflowPunct/>
        <w:bidi w:val="0"/>
        <w:spacing w:line="560" w:lineRule="exact"/>
        <w:ind w:left="0" w:leftChars="0" w:right="0" w:firstLine="1440" w:firstLineChars="200"/>
        <w:jc w:val="center"/>
        <w:outlineLvl w:val="0"/>
        <w:rPr>
          <w:rFonts w:ascii="方正小标宋简体" w:hAnsi="宋体" w:eastAsia="方正小标宋简体"/>
          <w:sz w:val="72"/>
          <w:szCs w:val="72"/>
        </w:rPr>
      </w:pPr>
    </w:p>
    <w:p>
      <w:pPr>
        <w:keepNext w:val="0"/>
        <w:keepLines w:val="0"/>
        <w:pageBreakBefore w:val="0"/>
        <w:kinsoku/>
        <w:wordWrap/>
        <w:overflowPunct/>
        <w:topLinePunct w:val="0"/>
        <w:autoSpaceDE/>
        <w:autoSpaceDN/>
        <w:bidi w:val="0"/>
        <w:adjustRightInd w:val="0"/>
        <w:snapToGrid w:val="0"/>
        <w:spacing w:line="1000" w:lineRule="exact"/>
        <w:ind w:right="0"/>
        <w:jc w:val="center"/>
        <w:textAlignment w:val="auto"/>
        <w:outlineLvl w:val="0"/>
        <w:rPr>
          <w:rFonts w:hint="eastAsia" w:ascii="方正小标宋简体" w:hAnsi="方正小标宋简体" w:eastAsia="方正小标宋简体" w:cs="方正小标宋简体"/>
          <w:sz w:val="72"/>
          <w:szCs w:val="72"/>
          <w:lang w:eastAsia="zh-CN"/>
        </w:rPr>
      </w:pPr>
      <w:r>
        <w:rPr>
          <w:rFonts w:hint="eastAsia" w:ascii="方正小标宋简体" w:hAnsi="方正小标宋简体" w:eastAsia="方正小标宋简体" w:cs="方正小标宋简体"/>
          <w:sz w:val="72"/>
          <w:szCs w:val="72"/>
          <w:lang w:eastAsia="zh-CN"/>
        </w:rPr>
        <w:t>202</w:t>
      </w:r>
      <w:r>
        <w:rPr>
          <w:rFonts w:hint="eastAsia" w:ascii="方正小标宋简体" w:hAnsi="方正小标宋简体" w:eastAsia="方正小标宋简体" w:cs="方正小标宋简体"/>
          <w:sz w:val="72"/>
          <w:szCs w:val="72"/>
          <w:lang w:val="en-US" w:eastAsia="zh-CN"/>
        </w:rPr>
        <w:t>2</w:t>
      </w:r>
      <w:r>
        <w:rPr>
          <w:rFonts w:hint="eastAsia" w:ascii="方正小标宋简体" w:hAnsi="方正小标宋简体" w:eastAsia="方正小标宋简体" w:cs="方正小标宋简体"/>
          <w:sz w:val="72"/>
          <w:szCs w:val="72"/>
          <w:lang w:eastAsia="zh-CN"/>
        </w:rPr>
        <w:t>年度</w:t>
      </w:r>
      <w:bookmarkEnd w:id="0"/>
      <w:bookmarkEnd w:id="1"/>
      <w:bookmarkEnd w:id="2"/>
      <w:bookmarkEnd w:id="3"/>
      <w:bookmarkEnd w:id="4"/>
    </w:p>
    <w:p>
      <w:pPr>
        <w:keepNext w:val="0"/>
        <w:keepLines w:val="0"/>
        <w:pageBreakBefore w:val="0"/>
        <w:kinsoku/>
        <w:wordWrap/>
        <w:overflowPunct/>
        <w:topLinePunct w:val="0"/>
        <w:autoSpaceDE/>
        <w:autoSpaceDN/>
        <w:bidi w:val="0"/>
        <w:adjustRightInd w:val="0"/>
        <w:snapToGrid w:val="0"/>
        <w:spacing w:line="1000" w:lineRule="exact"/>
        <w:ind w:right="0"/>
        <w:jc w:val="center"/>
        <w:textAlignment w:val="auto"/>
        <w:outlineLvl w:val="0"/>
        <w:rPr>
          <w:rFonts w:hint="eastAsia" w:ascii="方正小标宋简体" w:hAnsi="方正小标宋简体" w:eastAsia="方正小标宋简体" w:cs="方正小标宋简体"/>
          <w:sz w:val="72"/>
          <w:szCs w:val="72"/>
          <w:lang w:eastAsia="zh-CN"/>
        </w:rPr>
      </w:pPr>
      <w:bookmarkStart w:id="6" w:name="_Toc15377426"/>
      <w:bookmarkStart w:id="7" w:name="_Toc15396598"/>
      <w:bookmarkStart w:id="8" w:name="_Toc15378442"/>
      <w:bookmarkStart w:id="9" w:name="_Toc15377194"/>
      <w:bookmarkStart w:id="10" w:name="_Toc15396476"/>
      <w:r>
        <w:rPr>
          <w:rFonts w:hint="eastAsia" w:ascii="方正小标宋简体" w:hAnsi="方正小标宋简体" w:eastAsia="方正小标宋简体" w:cs="方正小标宋简体"/>
          <w:sz w:val="72"/>
          <w:szCs w:val="72"/>
          <w:lang w:eastAsia="zh-CN"/>
        </w:rPr>
        <w:t>中共</w:t>
      </w:r>
      <w:r>
        <w:rPr>
          <w:rFonts w:hint="eastAsia" w:ascii="方正小标宋简体" w:hAnsi="方正小标宋简体" w:eastAsia="方正小标宋简体" w:cs="方正小标宋简体"/>
          <w:sz w:val="72"/>
          <w:szCs w:val="72"/>
        </w:rPr>
        <w:t>剑阁县</w:t>
      </w:r>
      <w:bookmarkEnd w:id="5"/>
      <w:bookmarkStart w:id="11" w:name="_Toc15306268"/>
      <w:r>
        <w:rPr>
          <w:rFonts w:hint="eastAsia" w:ascii="方正小标宋简体" w:hAnsi="方正小标宋简体" w:eastAsia="方正小标宋简体" w:cs="方正小标宋简体"/>
          <w:sz w:val="72"/>
          <w:szCs w:val="72"/>
          <w:lang w:eastAsia="zh-CN"/>
        </w:rPr>
        <w:t>委政法委员会</w:t>
      </w:r>
    </w:p>
    <w:p>
      <w:pPr>
        <w:keepNext w:val="0"/>
        <w:keepLines w:val="0"/>
        <w:pageBreakBefore w:val="0"/>
        <w:kinsoku/>
        <w:wordWrap/>
        <w:overflowPunct/>
        <w:topLinePunct w:val="0"/>
        <w:autoSpaceDE/>
        <w:autoSpaceDN/>
        <w:bidi w:val="0"/>
        <w:adjustRightInd w:val="0"/>
        <w:snapToGrid w:val="0"/>
        <w:spacing w:line="1000" w:lineRule="exact"/>
        <w:ind w:right="0"/>
        <w:jc w:val="center"/>
        <w:textAlignment w:val="auto"/>
        <w:outlineLvl w:val="0"/>
        <w:rPr>
          <w:rFonts w:hint="eastAsia" w:ascii="方正小标宋简体" w:hAnsi="方正小标宋简体" w:eastAsia="方正小标宋简体" w:cs="方正小标宋简体"/>
          <w:sz w:val="72"/>
          <w:szCs w:val="72"/>
          <w:lang w:eastAsia="zh-CN"/>
        </w:rPr>
      </w:pPr>
      <w:r>
        <w:rPr>
          <w:rFonts w:hint="eastAsia" w:ascii="方正小标宋简体" w:hAnsi="方正小标宋简体" w:eastAsia="方正小标宋简体" w:cs="方正小标宋简体"/>
          <w:sz w:val="72"/>
          <w:szCs w:val="72"/>
        </w:rPr>
        <w:t>部门决算</w:t>
      </w:r>
      <w:bookmarkEnd w:id="6"/>
      <w:bookmarkEnd w:id="7"/>
      <w:bookmarkEnd w:id="8"/>
      <w:bookmarkEnd w:id="9"/>
      <w:bookmarkEnd w:id="10"/>
      <w:bookmarkEnd w:id="11"/>
    </w:p>
    <w:p>
      <w:pPr>
        <w:keepNext w:val="0"/>
        <w:keepLines w:val="0"/>
        <w:pageBreakBefore w:val="0"/>
        <w:widowControl/>
        <w:kinsoku/>
        <w:wordWrap/>
        <w:overflowPunct/>
        <w:topLinePunct w:val="0"/>
        <w:autoSpaceDE/>
        <w:autoSpaceDN/>
        <w:bidi w:val="0"/>
        <w:spacing w:line="1000" w:lineRule="exact"/>
        <w:ind w:right="0"/>
        <w:jc w:val="center"/>
        <w:textAlignment w:val="auto"/>
        <w:rPr>
          <w:rFonts w:ascii="方正小标宋简体" w:hAnsi="宋体" w:eastAsia="方正小标宋简体"/>
          <w:sz w:val="84"/>
          <w:szCs w:val="84"/>
        </w:rPr>
        <w:sectPr>
          <w:headerReference r:id="rId3" w:type="default"/>
          <w:footerReference r:id="rId4" w:type="default"/>
          <w:pgSz w:w="11906" w:h="16838"/>
          <w:pgMar w:top="2098" w:right="1531" w:bottom="1984" w:left="1531" w:header="851" w:footer="1701" w:gutter="0"/>
          <w:pgNumType w:fmt="decimal" w:start="1"/>
          <w:cols w:space="0" w:num="1"/>
          <w:titlePg/>
          <w:rtlGutter w:val="0"/>
          <w:docGrid w:type="lines" w:linePitch="312" w:charSpace="0"/>
        </w:sectPr>
      </w:pPr>
    </w:p>
    <w:p>
      <w:pPr>
        <w:keepNext w:val="0"/>
        <w:keepLines w:val="0"/>
        <w:pageBreakBefore w:val="0"/>
        <w:widowControl/>
        <w:kinsoku/>
        <w:wordWrap/>
        <w:overflowPunct/>
        <w:topLinePunct w:val="0"/>
        <w:autoSpaceDE/>
        <w:autoSpaceDN/>
        <w:bidi w:val="0"/>
        <w:spacing w:line="1000" w:lineRule="exact"/>
        <w:ind w:right="0"/>
        <w:jc w:val="center"/>
        <w:textAlignment w:val="auto"/>
        <w:rPr>
          <w:rFonts w:ascii="方正小标宋简体" w:hAnsi="宋体" w:eastAsia="方正小标宋简体"/>
          <w:sz w:val="84"/>
          <w:szCs w:val="84"/>
        </w:rPr>
      </w:pPr>
    </w:p>
    <w:p>
      <w:pPr>
        <w:keepNext w:val="0"/>
        <w:keepLines w:val="0"/>
        <w:pageBreakBefore w:val="0"/>
        <w:widowControl/>
        <w:kinsoku/>
        <w:wordWrap/>
        <w:overflowPunct/>
        <w:topLinePunct w:val="0"/>
        <w:autoSpaceDE/>
        <w:autoSpaceDN/>
        <w:bidi w:val="0"/>
        <w:spacing w:line="1000" w:lineRule="exact"/>
        <w:ind w:right="0"/>
        <w:jc w:val="center"/>
        <w:textAlignment w:val="auto"/>
        <w:rPr>
          <w:rFonts w:ascii="方正小标宋简体" w:hAnsi="宋体" w:eastAsia="方正小标宋简体"/>
          <w:sz w:val="84"/>
          <w:szCs w:val="84"/>
        </w:rPr>
      </w:pPr>
    </w:p>
    <w:p>
      <w:pPr>
        <w:keepNext w:val="0"/>
        <w:keepLines w:val="0"/>
        <w:pageBreakBefore w:val="0"/>
        <w:widowControl/>
        <w:kinsoku/>
        <w:wordWrap/>
        <w:overflowPunct/>
        <w:topLinePunct w:val="0"/>
        <w:autoSpaceDE/>
        <w:autoSpaceDN/>
        <w:bidi w:val="0"/>
        <w:spacing w:line="1000" w:lineRule="exact"/>
        <w:ind w:right="0"/>
        <w:jc w:val="center"/>
        <w:textAlignment w:val="auto"/>
        <w:rPr>
          <w:rFonts w:ascii="方正小标宋简体" w:hAnsi="宋体" w:eastAsia="方正小标宋简体"/>
          <w:sz w:val="84"/>
          <w:szCs w:val="84"/>
        </w:rPr>
      </w:pPr>
    </w:p>
    <w:p>
      <w:pPr>
        <w:keepNext w:val="0"/>
        <w:keepLines w:val="0"/>
        <w:pageBreakBefore w:val="0"/>
        <w:widowControl/>
        <w:kinsoku/>
        <w:wordWrap/>
        <w:overflowPunct/>
        <w:topLinePunct w:val="0"/>
        <w:autoSpaceDE/>
        <w:autoSpaceDN/>
        <w:bidi w:val="0"/>
        <w:spacing w:line="1000" w:lineRule="exact"/>
        <w:ind w:right="0"/>
        <w:jc w:val="center"/>
        <w:textAlignment w:val="auto"/>
        <w:rPr>
          <w:rFonts w:ascii="方正小标宋简体" w:hAnsi="宋体" w:eastAsia="方正小标宋简体"/>
          <w:sz w:val="84"/>
          <w:szCs w:val="84"/>
        </w:rPr>
      </w:pPr>
    </w:p>
    <w:p>
      <w:pPr>
        <w:keepNext w:val="0"/>
        <w:keepLines w:val="0"/>
        <w:pageBreakBefore w:val="0"/>
        <w:widowControl/>
        <w:kinsoku/>
        <w:wordWrap/>
        <w:overflowPunct/>
        <w:topLinePunct w:val="0"/>
        <w:autoSpaceDE/>
        <w:autoSpaceDN/>
        <w:bidi w:val="0"/>
        <w:spacing w:line="1000" w:lineRule="exact"/>
        <w:ind w:right="0"/>
        <w:jc w:val="center"/>
        <w:textAlignment w:val="auto"/>
        <w:rPr>
          <w:rFonts w:ascii="方正小标宋简体" w:hAnsi="宋体" w:eastAsia="方正小标宋简体"/>
          <w:sz w:val="84"/>
          <w:szCs w:val="84"/>
        </w:rPr>
      </w:pPr>
    </w:p>
    <w:p>
      <w:pPr>
        <w:keepNext w:val="0"/>
        <w:keepLines w:val="0"/>
        <w:pageBreakBefore w:val="0"/>
        <w:widowControl/>
        <w:kinsoku/>
        <w:wordWrap/>
        <w:overflowPunct/>
        <w:topLinePunct w:val="0"/>
        <w:autoSpaceDE/>
        <w:autoSpaceDN/>
        <w:bidi w:val="0"/>
        <w:spacing w:line="1000" w:lineRule="exact"/>
        <w:ind w:right="0"/>
        <w:jc w:val="center"/>
        <w:textAlignment w:val="auto"/>
        <w:rPr>
          <w:rFonts w:ascii="方正小标宋简体" w:hAnsi="宋体" w:eastAsia="方正小标宋简体"/>
          <w:sz w:val="84"/>
          <w:szCs w:val="84"/>
        </w:rPr>
      </w:pPr>
    </w:p>
    <w:p>
      <w:pPr>
        <w:keepNext w:val="0"/>
        <w:keepLines w:val="0"/>
        <w:pageBreakBefore w:val="0"/>
        <w:widowControl/>
        <w:kinsoku/>
        <w:wordWrap/>
        <w:overflowPunct/>
        <w:topLinePunct w:val="0"/>
        <w:autoSpaceDE/>
        <w:autoSpaceDN/>
        <w:bidi w:val="0"/>
        <w:spacing w:line="1000" w:lineRule="exact"/>
        <w:ind w:right="0"/>
        <w:jc w:val="center"/>
        <w:textAlignment w:val="auto"/>
        <w:rPr>
          <w:rFonts w:ascii="方正小标宋简体" w:hAnsi="宋体" w:eastAsia="方正小标宋简体"/>
          <w:sz w:val="84"/>
          <w:szCs w:val="84"/>
        </w:rPr>
      </w:pPr>
    </w:p>
    <w:p>
      <w:pPr>
        <w:keepNext w:val="0"/>
        <w:keepLines w:val="0"/>
        <w:pageBreakBefore w:val="0"/>
        <w:widowControl/>
        <w:kinsoku/>
        <w:wordWrap/>
        <w:overflowPunct/>
        <w:topLinePunct w:val="0"/>
        <w:autoSpaceDE/>
        <w:autoSpaceDN/>
        <w:bidi w:val="0"/>
        <w:spacing w:line="1000" w:lineRule="exact"/>
        <w:ind w:right="0"/>
        <w:jc w:val="center"/>
        <w:textAlignment w:val="auto"/>
        <w:rPr>
          <w:rFonts w:ascii="方正小标宋简体" w:hAnsi="宋体" w:eastAsia="方正小标宋简体"/>
          <w:sz w:val="84"/>
          <w:szCs w:val="84"/>
        </w:rPr>
      </w:pPr>
    </w:p>
    <w:p>
      <w:pPr>
        <w:keepNext w:val="0"/>
        <w:keepLines w:val="0"/>
        <w:pageBreakBefore w:val="0"/>
        <w:widowControl/>
        <w:kinsoku/>
        <w:wordWrap/>
        <w:overflowPunct/>
        <w:topLinePunct w:val="0"/>
        <w:autoSpaceDE/>
        <w:autoSpaceDN/>
        <w:bidi w:val="0"/>
        <w:spacing w:line="1000" w:lineRule="exact"/>
        <w:ind w:right="0"/>
        <w:jc w:val="center"/>
        <w:textAlignment w:val="auto"/>
        <w:rPr>
          <w:rFonts w:ascii="方正小标宋简体" w:hAnsi="宋体" w:eastAsia="方正小标宋简体"/>
          <w:sz w:val="84"/>
          <w:szCs w:val="84"/>
        </w:rPr>
      </w:pPr>
    </w:p>
    <w:p>
      <w:pPr>
        <w:keepNext w:val="0"/>
        <w:keepLines w:val="0"/>
        <w:pageBreakBefore w:val="0"/>
        <w:widowControl/>
        <w:kinsoku/>
        <w:wordWrap/>
        <w:overflowPunct/>
        <w:topLinePunct w:val="0"/>
        <w:autoSpaceDE/>
        <w:autoSpaceDN/>
        <w:bidi w:val="0"/>
        <w:spacing w:line="1000" w:lineRule="exact"/>
        <w:ind w:right="0"/>
        <w:jc w:val="center"/>
        <w:textAlignment w:val="auto"/>
        <w:rPr>
          <w:rFonts w:ascii="方正小标宋简体" w:hAnsi="宋体" w:eastAsia="方正小标宋简体"/>
          <w:sz w:val="84"/>
          <w:szCs w:val="84"/>
        </w:rPr>
      </w:pPr>
    </w:p>
    <w:p>
      <w:pPr>
        <w:keepNext w:val="0"/>
        <w:keepLines w:val="0"/>
        <w:pageBreakBefore w:val="0"/>
        <w:widowControl/>
        <w:kinsoku/>
        <w:wordWrap/>
        <w:overflowPunct/>
        <w:topLinePunct w:val="0"/>
        <w:autoSpaceDE/>
        <w:autoSpaceDN/>
        <w:bidi w:val="0"/>
        <w:spacing w:line="1000" w:lineRule="exact"/>
        <w:ind w:right="0"/>
        <w:jc w:val="center"/>
        <w:textAlignment w:val="auto"/>
        <w:rPr>
          <w:rFonts w:ascii="方正小标宋简体" w:hAnsi="宋体" w:eastAsia="方正小标宋简体"/>
          <w:sz w:val="84"/>
          <w:szCs w:val="84"/>
        </w:rPr>
      </w:pPr>
    </w:p>
    <w:p>
      <w:pPr>
        <w:keepNext w:val="0"/>
        <w:keepLines w:val="0"/>
        <w:pageBreakBefore w:val="0"/>
        <w:widowControl/>
        <w:kinsoku/>
        <w:wordWrap/>
        <w:overflowPunct/>
        <w:topLinePunct w:val="0"/>
        <w:autoSpaceDE/>
        <w:autoSpaceDN/>
        <w:bidi w:val="0"/>
        <w:spacing w:line="1000" w:lineRule="exact"/>
        <w:ind w:right="0"/>
        <w:jc w:val="center"/>
        <w:textAlignment w:val="auto"/>
        <w:rPr>
          <w:rFonts w:hint="eastAsia" w:ascii="方正小标宋简体" w:hAnsi="方正小标宋简体" w:eastAsia="方正小标宋简体" w:cs="方正小标宋简体"/>
          <w:sz w:val="44"/>
          <w:szCs w:val="44"/>
        </w:rPr>
        <w:sectPr>
          <w:footerReference r:id="rId6" w:type="first"/>
          <w:footerReference r:id="rId5" w:type="default"/>
          <w:pgSz w:w="11906" w:h="16838"/>
          <w:pgMar w:top="2098" w:right="1531" w:bottom="1984" w:left="1531" w:header="851" w:footer="1701" w:gutter="0"/>
          <w:pgNumType w:fmt="decimal" w:start="1"/>
          <w:cols w:space="0" w:num="1"/>
          <w:rtlGutter w:val="0"/>
          <w:docGrid w:type="lines" w:linePitch="312" w:charSpace="0"/>
        </w:sectPr>
      </w:pPr>
    </w:p>
    <w:p>
      <w:pPr>
        <w:keepNext w:val="0"/>
        <w:keepLines w:val="0"/>
        <w:pageBreakBefore w:val="0"/>
        <w:widowControl/>
        <w:kinsoku/>
        <w:wordWrap/>
        <w:overflowPunct/>
        <w:topLinePunct w:val="0"/>
        <w:autoSpaceDE/>
        <w:autoSpaceDN/>
        <w:bidi w:val="0"/>
        <w:spacing w:line="1000" w:lineRule="exact"/>
        <w:ind w:right="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录</w:t>
      </w:r>
    </w:p>
    <w:p>
      <w:pPr>
        <w:pageBreakBefore w:val="0"/>
        <w:widowControl/>
        <w:wordWrap/>
        <w:overflowPunct/>
        <w:bidi w:val="0"/>
        <w:spacing w:line="560" w:lineRule="exact"/>
        <w:ind w:left="0" w:leftChars="0" w:right="0" w:firstLine="560" w:firstLineChars="200"/>
        <w:jc w:val="center"/>
        <w:rPr>
          <w:rFonts w:ascii="黑体" w:hAnsi="黑体" w:eastAsia="黑体" w:cstheme="minorBidi"/>
          <w:sz w:val="28"/>
          <w:szCs w:val="28"/>
        </w:rPr>
      </w:pPr>
    </w:p>
    <w:p>
      <w:pPr>
        <w:keepNext w:val="0"/>
        <w:keepLines w:val="0"/>
        <w:pageBreakBefore w:val="0"/>
        <w:kinsoku w:val="0"/>
        <w:wordWrap/>
        <w:overflowPunct/>
        <w:topLinePunct/>
        <w:autoSpaceDE/>
        <w:autoSpaceDN/>
        <w:bidi w:val="0"/>
        <w:adjustRightInd/>
        <w:spacing w:line="560" w:lineRule="exact"/>
        <w:ind w:right="0"/>
        <w:jc w:val="center"/>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公开时间：202</w:t>
      </w:r>
      <w:r>
        <w:rPr>
          <w:rFonts w:hint="eastAsia" w:ascii="仿宋" w:hAnsi="仿宋" w:eastAsia="仿宋" w:cs="仿宋"/>
          <w:b w:val="0"/>
          <w:bCs w:val="0"/>
          <w:color w:val="auto"/>
          <w:sz w:val="32"/>
          <w:szCs w:val="32"/>
          <w:lang w:val="en-US" w:eastAsia="zh-CN"/>
        </w:rPr>
        <w:t>3</w:t>
      </w:r>
      <w:r>
        <w:rPr>
          <w:rFonts w:hint="eastAsia" w:ascii="仿宋" w:hAnsi="仿宋" w:eastAsia="仿宋" w:cs="仿宋"/>
          <w:b w:val="0"/>
          <w:bCs w:val="0"/>
          <w:color w:val="auto"/>
          <w:sz w:val="32"/>
          <w:szCs w:val="32"/>
        </w:rPr>
        <w:t>年</w:t>
      </w:r>
      <w:r>
        <w:rPr>
          <w:rFonts w:hint="eastAsia" w:ascii="仿宋" w:hAnsi="仿宋" w:eastAsia="仿宋" w:cs="仿宋"/>
          <w:b w:val="0"/>
          <w:bCs w:val="0"/>
          <w:color w:val="auto"/>
          <w:sz w:val="32"/>
          <w:szCs w:val="32"/>
          <w:lang w:val="en-US" w:eastAsia="zh-CN"/>
        </w:rPr>
        <w:t>10</w:t>
      </w:r>
      <w:r>
        <w:rPr>
          <w:rFonts w:hint="eastAsia" w:ascii="仿宋" w:hAnsi="仿宋" w:eastAsia="仿宋" w:cs="仿宋"/>
          <w:b w:val="0"/>
          <w:bCs w:val="0"/>
          <w:color w:val="auto"/>
          <w:sz w:val="32"/>
          <w:szCs w:val="32"/>
        </w:rPr>
        <w:t>月</w:t>
      </w:r>
      <w:r>
        <w:rPr>
          <w:rFonts w:hint="eastAsia" w:ascii="仿宋" w:hAnsi="仿宋" w:eastAsia="仿宋" w:cs="仿宋"/>
          <w:b w:val="0"/>
          <w:bCs w:val="0"/>
          <w:color w:val="auto"/>
          <w:sz w:val="32"/>
          <w:szCs w:val="32"/>
          <w:lang w:val="en-US" w:eastAsia="zh-CN"/>
        </w:rPr>
        <w:t>16</w:t>
      </w:r>
      <w:r>
        <w:rPr>
          <w:rFonts w:hint="eastAsia" w:ascii="仿宋" w:hAnsi="仿宋" w:eastAsia="仿宋" w:cs="仿宋"/>
          <w:b w:val="0"/>
          <w:bCs w:val="0"/>
          <w:color w:val="auto"/>
          <w:sz w:val="32"/>
          <w:szCs w:val="32"/>
        </w:rPr>
        <w:t>日</w:t>
      </w:r>
    </w:p>
    <w:p>
      <w:pPr>
        <w:keepNext w:val="0"/>
        <w:keepLines w:val="0"/>
        <w:pageBreakBefore w:val="0"/>
        <w:kinsoku w:val="0"/>
        <w:wordWrap/>
        <w:overflowPunct/>
        <w:topLinePunct/>
        <w:autoSpaceDE/>
        <w:autoSpaceDN/>
        <w:bidi w:val="0"/>
        <w:adjustRightInd/>
        <w:spacing w:line="560" w:lineRule="exact"/>
        <w:ind w:left="0" w:leftChars="0" w:right="0" w:firstLine="640" w:firstLineChars="200"/>
        <w:rPr>
          <w:rFonts w:hint="eastAsia" w:ascii="仿宋" w:hAnsi="仿宋" w:eastAsia="仿宋" w:cs="仿宋"/>
          <w:b w:val="0"/>
          <w:bCs w:val="0"/>
          <w:color w:val="auto"/>
          <w:sz w:val="32"/>
          <w:szCs w:val="32"/>
        </w:rPr>
      </w:pPr>
    </w:p>
    <w:p>
      <w:pPr>
        <w:keepNext w:val="0"/>
        <w:keepLines w:val="0"/>
        <w:pageBreakBefore w:val="0"/>
        <w:kinsoku w:val="0"/>
        <w:wordWrap/>
        <w:overflowPunct/>
        <w:topLinePunct/>
        <w:autoSpaceDE/>
        <w:autoSpaceDN/>
        <w:bidi w:val="0"/>
        <w:adjustRightInd/>
        <w:spacing w:line="560" w:lineRule="exact"/>
        <w:ind w:left="0" w:leftChars="0" w:right="0"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第一部分 部门概况</w:t>
      </w:r>
    </w:p>
    <w:p>
      <w:pPr>
        <w:keepNext w:val="0"/>
        <w:keepLines w:val="0"/>
        <w:pageBreakBefore w:val="0"/>
        <w:kinsoku w:val="0"/>
        <w:wordWrap/>
        <w:overflowPunct/>
        <w:topLinePunct/>
        <w:autoSpaceDE/>
        <w:autoSpaceDN/>
        <w:bidi w:val="0"/>
        <w:adjustRightInd/>
        <w:spacing w:line="560" w:lineRule="exact"/>
        <w:ind w:left="0" w:leftChars="0" w:right="0"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一、</w:t>
      </w:r>
      <w:r>
        <w:rPr>
          <w:rFonts w:hint="eastAsia" w:ascii="仿宋" w:hAnsi="仿宋" w:eastAsia="仿宋" w:cs="仿宋"/>
          <w:b w:val="0"/>
          <w:bCs w:val="0"/>
          <w:color w:val="auto"/>
          <w:sz w:val="32"/>
          <w:szCs w:val="32"/>
          <w:lang w:eastAsia="zh-CN"/>
        </w:rPr>
        <w:t>部门</w:t>
      </w:r>
      <w:r>
        <w:rPr>
          <w:rFonts w:hint="eastAsia" w:ascii="仿宋" w:hAnsi="仿宋" w:eastAsia="仿宋" w:cs="仿宋"/>
          <w:b w:val="0"/>
          <w:bCs w:val="0"/>
          <w:color w:val="auto"/>
          <w:sz w:val="32"/>
          <w:szCs w:val="32"/>
        </w:rPr>
        <w:t>职能及</w:t>
      </w:r>
      <w:r>
        <w:rPr>
          <w:rFonts w:hint="eastAsia" w:ascii="仿宋" w:hAnsi="仿宋" w:eastAsia="仿宋" w:cs="仿宋"/>
          <w:b w:val="0"/>
          <w:bCs w:val="0"/>
          <w:color w:val="auto"/>
          <w:sz w:val="32"/>
          <w:szCs w:val="32"/>
          <w:lang w:eastAsia="zh-CN"/>
        </w:rPr>
        <w:t>重点</w:t>
      </w:r>
      <w:r>
        <w:rPr>
          <w:rFonts w:hint="eastAsia" w:ascii="仿宋" w:hAnsi="仿宋" w:eastAsia="仿宋" w:cs="仿宋"/>
          <w:b w:val="0"/>
          <w:bCs w:val="0"/>
          <w:color w:val="auto"/>
          <w:sz w:val="32"/>
          <w:szCs w:val="32"/>
        </w:rPr>
        <w:t>工作</w:t>
      </w:r>
    </w:p>
    <w:p>
      <w:pPr>
        <w:keepNext w:val="0"/>
        <w:keepLines w:val="0"/>
        <w:pageBreakBefore w:val="0"/>
        <w:kinsoku w:val="0"/>
        <w:wordWrap/>
        <w:overflowPunct/>
        <w:topLinePunct/>
        <w:autoSpaceDE/>
        <w:autoSpaceDN/>
        <w:bidi w:val="0"/>
        <w:adjustRightInd/>
        <w:spacing w:line="560" w:lineRule="exact"/>
        <w:ind w:left="0" w:leftChars="0" w:right="0" w:firstLine="640" w:firstLineChars="200"/>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lang w:eastAsia="zh-CN"/>
        </w:rPr>
        <w:t>（一）部门职责</w:t>
      </w:r>
    </w:p>
    <w:p>
      <w:pPr>
        <w:keepNext w:val="0"/>
        <w:keepLines w:val="0"/>
        <w:pageBreakBefore w:val="0"/>
        <w:kinsoku w:val="0"/>
        <w:wordWrap/>
        <w:overflowPunct/>
        <w:topLinePunct/>
        <w:autoSpaceDE/>
        <w:autoSpaceDN/>
        <w:bidi w:val="0"/>
        <w:adjustRightInd/>
        <w:spacing w:line="560" w:lineRule="exact"/>
        <w:ind w:left="0" w:leftChars="0" w:right="0" w:firstLine="640" w:firstLineChars="200"/>
        <w:rPr>
          <w:rFonts w:hint="default"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eastAsia="zh-CN"/>
        </w:rPr>
        <w:t>（二）</w:t>
      </w:r>
      <w:r>
        <w:rPr>
          <w:rFonts w:hint="eastAsia" w:ascii="仿宋" w:hAnsi="仿宋" w:eastAsia="仿宋" w:cs="仿宋"/>
          <w:b w:val="0"/>
          <w:bCs w:val="0"/>
          <w:color w:val="auto"/>
          <w:sz w:val="32"/>
          <w:szCs w:val="32"/>
          <w:lang w:val="en-US" w:eastAsia="zh-CN"/>
        </w:rPr>
        <w:t>2022年重点工作完成情况</w:t>
      </w:r>
    </w:p>
    <w:p>
      <w:pPr>
        <w:keepNext w:val="0"/>
        <w:keepLines w:val="0"/>
        <w:pageBreakBefore w:val="0"/>
        <w:kinsoku w:val="0"/>
        <w:wordWrap/>
        <w:overflowPunct/>
        <w:topLinePunct/>
        <w:autoSpaceDE/>
        <w:autoSpaceDN/>
        <w:bidi w:val="0"/>
        <w:adjustRightInd/>
        <w:spacing w:line="560" w:lineRule="exact"/>
        <w:ind w:left="0" w:leftChars="0" w:right="0"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二、机构设置</w:t>
      </w:r>
    </w:p>
    <w:p>
      <w:pPr>
        <w:keepNext w:val="0"/>
        <w:keepLines w:val="0"/>
        <w:pageBreakBefore w:val="0"/>
        <w:kinsoku w:val="0"/>
        <w:wordWrap/>
        <w:overflowPunct/>
        <w:topLinePunct/>
        <w:autoSpaceDE/>
        <w:autoSpaceDN/>
        <w:bidi w:val="0"/>
        <w:adjustRightInd/>
        <w:spacing w:line="560" w:lineRule="exact"/>
        <w:ind w:left="0" w:leftChars="0" w:right="0"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第二部分 202</w:t>
      </w:r>
      <w:r>
        <w:rPr>
          <w:rFonts w:hint="eastAsia" w:ascii="仿宋" w:hAnsi="仿宋" w:eastAsia="仿宋" w:cs="仿宋"/>
          <w:b w:val="0"/>
          <w:bCs w:val="0"/>
          <w:color w:val="auto"/>
          <w:sz w:val="32"/>
          <w:szCs w:val="32"/>
          <w:lang w:val="en-US" w:eastAsia="zh-CN"/>
        </w:rPr>
        <w:t>2</w:t>
      </w:r>
      <w:r>
        <w:rPr>
          <w:rFonts w:hint="eastAsia" w:ascii="仿宋" w:hAnsi="仿宋" w:eastAsia="仿宋" w:cs="仿宋"/>
          <w:b w:val="0"/>
          <w:bCs w:val="0"/>
          <w:color w:val="auto"/>
          <w:sz w:val="32"/>
          <w:szCs w:val="32"/>
        </w:rPr>
        <w:t>年度部门决算情况说明</w:t>
      </w:r>
    </w:p>
    <w:p>
      <w:pPr>
        <w:keepNext w:val="0"/>
        <w:keepLines w:val="0"/>
        <w:pageBreakBefore w:val="0"/>
        <w:kinsoku w:val="0"/>
        <w:wordWrap/>
        <w:overflowPunct/>
        <w:topLinePunct/>
        <w:autoSpaceDE/>
        <w:autoSpaceDN/>
        <w:bidi w:val="0"/>
        <w:adjustRightInd/>
        <w:spacing w:line="560" w:lineRule="exact"/>
        <w:ind w:left="0" w:leftChars="0" w:right="0"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一、收入支出决算总体情况说明</w:t>
      </w:r>
    </w:p>
    <w:p>
      <w:pPr>
        <w:keepNext w:val="0"/>
        <w:keepLines w:val="0"/>
        <w:pageBreakBefore w:val="0"/>
        <w:kinsoku w:val="0"/>
        <w:wordWrap/>
        <w:overflowPunct/>
        <w:topLinePunct/>
        <w:autoSpaceDE/>
        <w:autoSpaceDN/>
        <w:bidi w:val="0"/>
        <w:adjustRightInd/>
        <w:spacing w:line="560" w:lineRule="exact"/>
        <w:ind w:left="0" w:leftChars="0" w:right="0"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二、收入决算情况说明</w:t>
      </w:r>
    </w:p>
    <w:p>
      <w:pPr>
        <w:keepNext w:val="0"/>
        <w:keepLines w:val="0"/>
        <w:pageBreakBefore w:val="0"/>
        <w:kinsoku w:val="0"/>
        <w:wordWrap/>
        <w:overflowPunct/>
        <w:topLinePunct/>
        <w:autoSpaceDE/>
        <w:autoSpaceDN/>
        <w:bidi w:val="0"/>
        <w:adjustRightInd/>
        <w:spacing w:line="560" w:lineRule="exact"/>
        <w:ind w:left="0" w:leftChars="0" w:right="0"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三、支出决算情况说明</w:t>
      </w:r>
    </w:p>
    <w:p>
      <w:pPr>
        <w:keepNext w:val="0"/>
        <w:keepLines w:val="0"/>
        <w:pageBreakBefore w:val="0"/>
        <w:kinsoku w:val="0"/>
        <w:wordWrap/>
        <w:overflowPunct/>
        <w:topLinePunct/>
        <w:autoSpaceDE/>
        <w:autoSpaceDN/>
        <w:bidi w:val="0"/>
        <w:adjustRightInd/>
        <w:spacing w:line="560" w:lineRule="exact"/>
        <w:ind w:left="0" w:leftChars="0" w:right="0"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四、财政拨款收入支出决算总体情况说明</w:t>
      </w:r>
    </w:p>
    <w:p>
      <w:pPr>
        <w:keepNext w:val="0"/>
        <w:keepLines w:val="0"/>
        <w:pageBreakBefore w:val="0"/>
        <w:kinsoku w:val="0"/>
        <w:wordWrap/>
        <w:overflowPunct/>
        <w:topLinePunct/>
        <w:autoSpaceDE/>
        <w:autoSpaceDN/>
        <w:bidi w:val="0"/>
        <w:adjustRightInd/>
        <w:spacing w:line="560" w:lineRule="exact"/>
        <w:ind w:left="0" w:leftChars="0" w:right="0"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五、一般公共预算财政拨款支出决算情况说明</w:t>
      </w:r>
    </w:p>
    <w:p>
      <w:pPr>
        <w:keepNext w:val="0"/>
        <w:keepLines w:val="0"/>
        <w:pageBreakBefore w:val="0"/>
        <w:kinsoku w:val="0"/>
        <w:wordWrap/>
        <w:overflowPunct/>
        <w:topLinePunct/>
        <w:autoSpaceDE/>
        <w:autoSpaceDN/>
        <w:bidi w:val="0"/>
        <w:adjustRightInd/>
        <w:spacing w:line="560" w:lineRule="exact"/>
        <w:ind w:left="0" w:leftChars="0" w:right="0"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六、一般公共预算财政拨款基本支出决算情况说明</w:t>
      </w:r>
    </w:p>
    <w:p>
      <w:pPr>
        <w:keepNext w:val="0"/>
        <w:keepLines w:val="0"/>
        <w:pageBreakBefore w:val="0"/>
        <w:kinsoku w:val="0"/>
        <w:wordWrap/>
        <w:overflowPunct/>
        <w:topLinePunct/>
        <w:autoSpaceDE/>
        <w:autoSpaceDN/>
        <w:bidi w:val="0"/>
        <w:adjustRightInd/>
        <w:spacing w:line="560" w:lineRule="exact"/>
        <w:ind w:left="0" w:leftChars="0" w:right="0"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七、财政拨款“三公”经费支出决算情况说明</w:t>
      </w:r>
    </w:p>
    <w:p>
      <w:pPr>
        <w:keepNext w:val="0"/>
        <w:keepLines w:val="0"/>
        <w:pageBreakBefore w:val="0"/>
        <w:kinsoku w:val="0"/>
        <w:wordWrap/>
        <w:overflowPunct/>
        <w:topLinePunct/>
        <w:autoSpaceDE/>
        <w:autoSpaceDN/>
        <w:bidi w:val="0"/>
        <w:adjustRightInd/>
        <w:spacing w:line="560" w:lineRule="exact"/>
        <w:ind w:left="0" w:leftChars="0" w:right="0"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八、政府性基金预算支出决算情况说明</w:t>
      </w:r>
    </w:p>
    <w:p>
      <w:pPr>
        <w:keepNext w:val="0"/>
        <w:keepLines w:val="0"/>
        <w:pageBreakBefore w:val="0"/>
        <w:kinsoku w:val="0"/>
        <w:wordWrap/>
        <w:overflowPunct/>
        <w:topLinePunct/>
        <w:autoSpaceDE/>
        <w:autoSpaceDN/>
        <w:bidi w:val="0"/>
        <w:adjustRightInd/>
        <w:spacing w:line="560" w:lineRule="exact"/>
        <w:ind w:left="0" w:leftChars="0" w:right="0"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九、国有资本经营预算支出决算情况说明</w:t>
      </w:r>
    </w:p>
    <w:p>
      <w:pPr>
        <w:keepNext w:val="0"/>
        <w:keepLines w:val="0"/>
        <w:pageBreakBefore w:val="0"/>
        <w:kinsoku w:val="0"/>
        <w:wordWrap/>
        <w:overflowPunct/>
        <w:topLinePunct/>
        <w:autoSpaceDE/>
        <w:autoSpaceDN/>
        <w:bidi w:val="0"/>
        <w:adjustRightInd/>
        <w:spacing w:line="560" w:lineRule="exact"/>
        <w:ind w:left="0" w:leftChars="0" w:right="0"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十、其他重要事项的情况说明</w:t>
      </w:r>
      <w:r>
        <w:rPr>
          <w:rFonts w:hint="eastAsia" w:ascii="仿宋" w:hAnsi="仿宋" w:eastAsia="仿宋" w:cs="仿宋"/>
          <w:b w:val="0"/>
          <w:bCs w:val="0"/>
          <w:color w:val="auto"/>
          <w:sz w:val="32"/>
          <w:szCs w:val="32"/>
        </w:rPr>
        <w:tab/>
      </w:r>
    </w:p>
    <w:p>
      <w:pPr>
        <w:keepNext w:val="0"/>
        <w:keepLines w:val="0"/>
        <w:pageBreakBefore w:val="0"/>
        <w:kinsoku w:val="0"/>
        <w:wordWrap/>
        <w:overflowPunct/>
        <w:topLinePunct/>
        <w:autoSpaceDE/>
        <w:autoSpaceDN/>
        <w:bidi w:val="0"/>
        <w:adjustRightInd/>
        <w:spacing w:line="560" w:lineRule="exact"/>
        <w:ind w:left="0" w:leftChars="0" w:right="0"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第三部分 名词解释</w:t>
      </w:r>
    </w:p>
    <w:p>
      <w:pPr>
        <w:keepNext w:val="0"/>
        <w:keepLines w:val="0"/>
        <w:pageBreakBefore w:val="0"/>
        <w:kinsoku w:val="0"/>
        <w:wordWrap/>
        <w:overflowPunct/>
        <w:topLinePunct/>
        <w:autoSpaceDE/>
        <w:autoSpaceDN/>
        <w:bidi w:val="0"/>
        <w:adjustRightInd/>
        <w:spacing w:line="560" w:lineRule="exact"/>
        <w:ind w:left="0" w:leftChars="0" w:right="0"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第四部分 附件</w:t>
      </w:r>
    </w:p>
    <w:p>
      <w:pPr>
        <w:keepNext w:val="0"/>
        <w:keepLines w:val="0"/>
        <w:pageBreakBefore w:val="0"/>
        <w:kinsoku w:val="0"/>
        <w:wordWrap/>
        <w:overflowPunct/>
        <w:topLinePunct/>
        <w:autoSpaceDE/>
        <w:autoSpaceDN/>
        <w:bidi w:val="0"/>
        <w:adjustRightInd/>
        <w:spacing w:line="560" w:lineRule="exact"/>
        <w:ind w:left="0" w:leftChars="0" w:right="0"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第五部分 附表</w:t>
      </w:r>
    </w:p>
    <w:p>
      <w:pPr>
        <w:keepNext w:val="0"/>
        <w:keepLines w:val="0"/>
        <w:pageBreakBefore w:val="0"/>
        <w:kinsoku w:val="0"/>
        <w:wordWrap/>
        <w:overflowPunct/>
        <w:topLinePunct/>
        <w:autoSpaceDE/>
        <w:autoSpaceDN/>
        <w:bidi w:val="0"/>
        <w:adjustRightInd/>
        <w:spacing w:line="560" w:lineRule="exact"/>
        <w:ind w:left="0" w:leftChars="0" w:right="0"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一、收入支出决算总表</w:t>
      </w:r>
    </w:p>
    <w:p>
      <w:pPr>
        <w:keepNext w:val="0"/>
        <w:keepLines w:val="0"/>
        <w:pageBreakBefore w:val="0"/>
        <w:kinsoku w:val="0"/>
        <w:wordWrap/>
        <w:overflowPunct/>
        <w:topLinePunct/>
        <w:autoSpaceDE/>
        <w:autoSpaceDN/>
        <w:bidi w:val="0"/>
        <w:adjustRightInd/>
        <w:spacing w:line="560" w:lineRule="exact"/>
        <w:ind w:left="0" w:leftChars="0" w:right="0"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二、收入决算表</w:t>
      </w:r>
    </w:p>
    <w:p>
      <w:pPr>
        <w:keepNext w:val="0"/>
        <w:keepLines w:val="0"/>
        <w:pageBreakBefore w:val="0"/>
        <w:kinsoku w:val="0"/>
        <w:wordWrap/>
        <w:overflowPunct/>
        <w:topLinePunct/>
        <w:autoSpaceDE/>
        <w:autoSpaceDN/>
        <w:bidi w:val="0"/>
        <w:adjustRightInd/>
        <w:spacing w:line="560" w:lineRule="exact"/>
        <w:ind w:left="0" w:leftChars="0" w:right="0"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三、支出决算表</w:t>
      </w:r>
    </w:p>
    <w:p>
      <w:pPr>
        <w:keepNext w:val="0"/>
        <w:keepLines w:val="0"/>
        <w:pageBreakBefore w:val="0"/>
        <w:kinsoku w:val="0"/>
        <w:wordWrap/>
        <w:overflowPunct/>
        <w:topLinePunct/>
        <w:autoSpaceDE/>
        <w:autoSpaceDN/>
        <w:bidi w:val="0"/>
        <w:adjustRightInd/>
        <w:spacing w:line="560" w:lineRule="exact"/>
        <w:ind w:left="0" w:leftChars="0" w:right="0"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四、财政拨款收入支出决算总表</w:t>
      </w:r>
    </w:p>
    <w:p>
      <w:pPr>
        <w:keepNext w:val="0"/>
        <w:keepLines w:val="0"/>
        <w:pageBreakBefore w:val="0"/>
        <w:kinsoku w:val="0"/>
        <w:wordWrap/>
        <w:overflowPunct/>
        <w:topLinePunct/>
        <w:autoSpaceDE/>
        <w:autoSpaceDN/>
        <w:bidi w:val="0"/>
        <w:adjustRightInd/>
        <w:spacing w:line="560" w:lineRule="exact"/>
        <w:ind w:left="0" w:leftChars="0" w:right="0"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五、财政拨款支出决算明细表</w:t>
      </w:r>
    </w:p>
    <w:p>
      <w:pPr>
        <w:keepNext w:val="0"/>
        <w:keepLines w:val="0"/>
        <w:pageBreakBefore w:val="0"/>
        <w:kinsoku w:val="0"/>
        <w:wordWrap/>
        <w:overflowPunct/>
        <w:topLinePunct/>
        <w:autoSpaceDE/>
        <w:autoSpaceDN/>
        <w:bidi w:val="0"/>
        <w:adjustRightInd/>
        <w:spacing w:line="560" w:lineRule="exact"/>
        <w:ind w:left="0" w:leftChars="0" w:right="0"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六、一般公共预算财政拨款支出决算表</w:t>
      </w:r>
    </w:p>
    <w:p>
      <w:pPr>
        <w:keepNext w:val="0"/>
        <w:keepLines w:val="0"/>
        <w:pageBreakBefore w:val="0"/>
        <w:kinsoku w:val="0"/>
        <w:wordWrap/>
        <w:overflowPunct/>
        <w:topLinePunct/>
        <w:autoSpaceDE/>
        <w:autoSpaceDN/>
        <w:bidi w:val="0"/>
        <w:adjustRightInd/>
        <w:spacing w:line="560" w:lineRule="exact"/>
        <w:ind w:left="0" w:leftChars="0" w:right="0"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七、一般公共预算财政拨款支出决算明细表</w:t>
      </w:r>
    </w:p>
    <w:p>
      <w:pPr>
        <w:keepNext w:val="0"/>
        <w:keepLines w:val="0"/>
        <w:pageBreakBefore w:val="0"/>
        <w:kinsoku w:val="0"/>
        <w:wordWrap/>
        <w:overflowPunct/>
        <w:topLinePunct/>
        <w:autoSpaceDE/>
        <w:autoSpaceDN/>
        <w:bidi w:val="0"/>
        <w:adjustRightInd/>
        <w:spacing w:line="560" w:lineRule="exact"/>
        <w:ind w:left="0" w:leftChars="0" w:right="0"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八、一般公共预算财政拨款基本支出决算表</w:t>
      </w:r>
    </w:p>
    <w:p>
      <w:pPr>
        <w:keepNext w:val="0"/>
        <w:keepLines w:val="0"/>
        <w:pageBreakBefore w:val="0"/>
        <w:kinsoku w:val="0"/>
        <w:wordWrap/>
        <w:overflowPunct/>
        <w:topLinePunct/>
        <w:autoSpaceDE/>
        <w:autoSpaceDN/>
        <w:bidi w:val="0"/>
        <w:adjustRightInd/>
        <w:spacing w:line="560" w:lineRule="exact"/>
        <w:ind w:left="0" w:leftChars="0" w:right="0"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九、一般公共预算财政拨款项目支出决算表</w:t>
      </w:r>
    </w:p>
    <w:p>
      <w:pPr>
        <w:keepNext w:val="0"/>
        <w:keepLines w:val="0"/>
        <w:pageBreakBefore w:val="0"/>
        <w:kinsoku w:val="0"/>
        <w:wordWrap/>
        <w:overflowPunct/>
        <w:topLinePunct/>
        <w:autoSpaceDE/>
        <w:autoSpaceDN/>
        <w:bidi w:val="0"/>
        <w:adjustRightInd/>
        <w:spacing w:line="560" w:lineRule="exact"/>
        <w:ind w:left="0" w:leftChars="0" w:right="0"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十、政府性基金预算财政拨款收入支出决算表</w:t>
      </w:r>
    </w:p>
    <w:p>
      <w:pPr>
        <w:keepNext w:val="0"/>
        <w:keepLines w:val="0"/>
        <w:pageBreakBefore w:val="0"/>
        <w:kinsoku w:val="0"/>
        <w:wordWrap/>
        <w:overflowPunct/>
        <w:topLinePunct/>
        <w:autoSpaceDE/>
        <w:autoSpaceDN/>
        <w:bidi w:val="0"/>
        <w:adjustRightInd/>
        <w:spacing w:line="560" w:lineRule="exact"/>
        <w:ind w:left="0" w:leftChars="0" w:right="0"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十</w:t>
      </w:r>
      <w:r>
        <w:rPr>
          <w:rFonts w:hint="eastAsia" w:ascii="仿宋" w:hAnsi="仿宋" w:eastAsia="仿宋" w:cs="仿宋"/>
          <w:b w:val="0"/>
          <w:bCs w:val="0"/>
          <w:color w:val="auto"/>
          <w:sz w:val="32"/>
          <w:szCs w:val="32"/>
          <w:lang w:eastAsia="zh-CN"/>
        </w:rPr>
        <w:t>一</w:t>
      </w:r>
      <w:r>
        <w:rPr>
          <w:rFonts w:hint="eastAsia" w:ascii="仿宋" w:hAnsi="仿宋" w:eastAsia="仿宋" w:cs="仿宋"/>
          <w:b w:val="0"/>
          <w:bCs w:val="0"/>
          <w:color w:val="auto"/>
          <w:sz w:val="32"/>
          <w:szCs w:val="32"/>
        </w:rPr>
        <w:t>、国有资本经营预算财政拨款收入支出决算表</w:t>
      </w:r>
    </w:p>
    <w:p>
      <w:pPr>
        <w:keepNext w:val="0"/>
        <w:keepLines w:val="0"/>
        <w:pageBreakBefore w:val="0"/>
        <w:kinsoku w:val="0"/>
        <w:wordWrap/>
        <w:overflowPunct/>
        <w:topLinePunct/>
        <w:autoSpaceDE/>
        <w:autoSpaceDN/>
        <w:bidi w:val="0"/>
        <w:adjustRightInd/>
        <w:spacing w:line="560" w:lineRule="exact"/>
        <w:ind w:left="0" w:leftChars="0" w:right="0"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十</w:t>
      </w:r>
      <w:r>
        <w:rPr>
          <w:rFonts w:hint="eastAsia" w:ascii="仿宋" w:hAnsi="仿宋" w:eastAsia="仿宋" w:cs="仿宋"/>
          <w:b w:val="0"/>
          <w:bCs w:val="0"/>
          <w:color w:val="auto"/>
          <w:sz w:val="32"/>
          <w:szCs w:val="32"/>
          <w:lang w:eastAsia="zh-CN"/>
        </w:rPr>
        <w:t>二</w:t>
      </w:r>
      <w:r>
        <w:rPr>
          <w:rFonts w:hint="eastAsia" w:ascii="仿宋" w:hAnsi="仿宋" w:eastAsia="仿宋" w:cs="仿宋"/>
          <w:b w:val="0"/>
          <w:bCs w:val="0"/>
          <w:color w:val="auto"/>
          <w:sz w:val="32"/>
          <w:szCs w:val="32"/>
        </w:rPr>
        <w:t>、国有资本经营预算财政拨款支出决算表</w:t>
      </w:r>
    </w:p>
    <w:p>
      <w:pPr>
        <w:keepNext w:val="0"/>
        <w:keepLines w:val="0"/>
        <w:pageBreakBefore w:val="0"/>
        <w:kinsoku w:val="0"/>
        <w:wordWrap/>
        <w:overflowPunct/>
        <w:topLinePunct/>
        <w:autoSpaceDE/>
        <w:autoSpaceDN/>
        <w:bidi w:val="0"/>
        <w:adjustRightInd/>
        <w:spacing w:line="560" w:lineRule="exact"/>
        <w:ind w:left="0" w:leftChars="0" w:right="0"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十</w:t>
      </w:r>
      <w:r>
        <w:rPr>
          <w:rFonts w:hint="eastAsia" w:ascii="仿宋" w:hAnsi="仿宋" w:eastAsia="仿宋" w:cs="仿宋"/>
          <w:b w:val="0"/>
          <w:bCs w:val="0"/>
          <w:color w:val="auto"/>
          <w:sz w:val="32"/>
          <w:szCs w:val="32"/>
          <w:lang w:eastAsia="zh-CN"/>
        </w:rPr>
        <w:t>三</w:t>
      </w:r>
      <w:r>
        <w:rPr>
          <w:rFonts w:hint="eastAsia" w:ascii="仿宋" w:hAnsi="仿宋" w:eastAsia="仿宋" w:cs="仿宋"/>
          <w:b w:val="0"/>
          <w:bCs w:val="0"/>
          <w:color w:val="auto"/>
          <w:sz w:val="32"/>
          <w:szCs w:val="32"/>
        </w:rPr>
        <w:t>、财政拨款“三公”经费支出决算表</w:t>
      </w:r>
    </w:p>
    <w:p>
      <w:pPr>
        <w:keepNext w:val="0"/>
        <w:keepLines w:val="0"/>
        <w:pageBreakBefore w:val="0"/>
        <w:kinsoku w:val="0"/>
        <w:wordWrap/>
        <w:overflowPunct/>
        <w:topLinePunct/>
        <w:autoSpaceDE/>
        <w:autoSpaceDN/>
        <w:bidi w:val="0"/>
        <w:adjustRightInd/>
        <w:spacing w:line="560" w:lineRule="exact"/>
        <w:ind w:left="0" w:leftChars="0" w:right="0" w:firstLine="640" w:firstLineChars="200"/>
        <w:rPr>
          <w:rFonts w:hint="eastAsia" w:ascii="仿宋" w:hAnsi="仿宋" w:eastAsia="仿宋" w:cs="仿宋"/>
          <w:b w:val="0"/>
          <w:bCs w:val="0"/>
          <w:color w:val="auto"/>
          <w:sz w:val="32"/>
          <w:szCs w:val="32"/>
        </w:rPr>
      </w:pPr>
    </w:p>
    <w:p>
      <w:pPr>
        <w:keepNext w:val="0"/>
        <w:keepLines w:val="0"/>
        <w:pageBreakBefore w:val="0"/>
        <w:kinsoku w:val="0"/>
        <w:wordWrap/>
        <w:overflowPunct/>
        <w:topLinePunct/>
        <w:autoSpaceDE/>
        <w:autoSpaceDN/>
        <w:bidi w:val="0"/>
        <w:adjustRightInd/>
        <w:spacing w:line="560" w:lineRule="exact"/>
        <w:ind w:left="0" w:leftChars="0" w:right="0" w:firstLine="640" w:firstLineChars="200"/>
        <w:rPr>
          <w:rFonts w:hint="eastAsia" w:ascii="仿宋" w:hAnsi="仿宋" w:eastAsia="仿宋" w:cs="仿宋"/>
          <w:b w:val="0"/>
          <w:bCs w:val="0"/>
          <w:color w:val="auto"/>
          <w:sz w:val="32"/>
          <w:szCs w:val="32"/>
        </w:rPr>
      </w:pPr>
      <w:bookmarkStart w:id="12" w:name="_Toc15396599"/>
      <w:bookmarkStart w:id="13" w:name="_Toc15377196"/>
      <w:r>
        <w:rPr>
          <w:rFonts w:hint="eastAsia" w:ascii="仿宋" w:hAnsi="仿宋" w:eastAsia="仿宋" w:cs="仿宋"/>
          <w:b w:val="0"/>
          <w:bCs w:val="0"/>
          <w:color w:val="auto"/>
          <w:sz w:val="32"/>
          <w:szCs w:val="32"/>
        </w:rPr>
        <w:br w:type="page"/>
      </w:r>
    </w:p>
    <w:p>
      <w:pPr>
        <w:pStyle w:val="2"/>
        <w:pageBreakBefore w:val="0"/>
        <w:wordWrap/>
        <w:overflowPunct/>
        <w:bidi w:val="0"/>
        <w:spacing w:before="0" w:after="0" w:line="560" w:lineRule="exact"/>
        <w:ind w:left="0" w:leftChars="0" w:right="0" w:firstLine="880" w:firstLineChars="200"/>
        <w:jc w:val="center"/>
        <w:rPr>
          <w:rStyle w:val="29"/>
          <w:rFonts w:ascii="黑体" w:hAnsi="黑体" w:eastAsia="黑体"/>
          <w:b/>
          <w:bCs w:val="0"/>
        </w:rPr>
      </w:pPr>
      <w:r>
        <w:rPr>
          <w:rFonts w:hint="eastAsia" w:ascii="黑体" w:hAnsi="黑体" w:eastAsia="黑体"/>
          <w:b w:val="0"/>
        </w:rPr>
        <w:t xml:space="preserve">第一部分 </w:t>
      </w:r>
      <w:r>
        <w:rPr>
          <w:rStyle w:val="29"/>
          <w:rFonts w:hint="eastAsia" w:ascii="黑体" w:hAnsi="黑体" w:eastAsia="黑体"/>
          <w:b w:val="0"/>
          <w:bCs w:val="0"/>
        </w:rPr>
        <w:t>部门概况</w:t>
      </w:r>
      <w:bookmarkEnd w:id="12"/>
      <w:bookmarkEnd w:id="13"/>
    </w:p>
    <w:p>
      <w:pPr>
        <w:pageBreakBefore w:val="0"/>
        <w:widowControl/>
        <w:wordWrap/>
        <w:overflowPunct/>
        <w:bidi w:val="0"/>
        <w:spacing w:line="560" w:lineRule="exact"/>
        <w:ind w:left="0" w:leftChars="0" w:right="0" w:firstLine="640" w:firstLineChars="200"/>
        <w:jc w:val="left"/>
        <w:rPr>
          <w:rFonts w:ascii="黑体" w:eastAsia="黑体"/>
          <w:sz w:val="32"/>
          <w:szCs w:val="32"/>
        </w:rPr>
      </w:pPr>
    </w:p>
    <w:p>
      <w:pPr>
        <w:pStyle w:val="3"/>
        <w:pageBreakBefore w:val="0"/>
        <w:wordWrap/>
        <w:overflowPunct/>
        <w:bidi w:val="0"/>
        <w:spacing w:before="0" w:after="0" w:line="560" w:lineRule="exact"/>
        <w:ind w:left="0" w:leftChars="0" w:right="0" w:firstLine="640" w:firstLineChars="200"/>
        <w:rPr>
          <w:rStyle w:val="30"/>
          <w:rFonts w:ascii="仿宋" w:hAnsi="仿宋" w:eastAsia="仿宋"/>
          <w:b w:val="0"/>
          <w:bCs w:val="0"/>
        </w:rPr>
      </w:pPr>
      <w:bookmarkStart w:id="14" w:name="_Toc15377197"/>
      <w:bookmarkStart w:id="15" w:name="_Toc15396600"/>
      <w:r>
        <w:rPr>
          <w:rFonts w:hint="eastAsia" w:ascii="黑体" w:hAnsi="黑体" w:eastAsia="黑体"/>
          <w:b w:val="0"/>
        </w:rPr>
        <w:t>一、</w:t>
      </w:r>
      <w:r>
        <w:rPr>
          <w:rFonts w:hint="eastAsia" w:ascii="黑体" w:hAnsi="黑体" w:eastAsia="黑体"/>
          <w:b w:val="0"/>
          <w:lang w:eastAsia="zh-CN"/>
        </w:rPr>
        <w:t>部门</w:t>
      </w:r>
      <w:r>
        <w:rPr>
          <w:rStyle w:val="30"/>
          <w:rFonts w:hint="eastAsia" w:ascii="黑体" w:hAnsi="黑体" w:eastAsia="黑体"/>
          <w:b w:val="0"/>
          <w:bCs w:val="0"/>
        </w:rPr>
        <w:t>职能及</w:t>
      </w:r>
      <w:r>
        <w:rPr>
          <w:rStyle w:val="30"/>
          <w:rFonts w:hint="eastAsia" w:ascii="黑体" w:hAnsi="黑体" w:eastAsia="黑体"/>
          <w:b w:val="0"/>
          <w:bCs w:val="0"/>
          <w:lang w:eastAsia="zh-CN"/>
        </w:rPr>
        <w:t>重点</w:t>
      </w:r>
      <w:r>
        <w:rPr>
          <w:rStyle w:val="30"/>
          <w:rFonts w:hint="eastAsia" w:ascii="黑体" w:hAnsi="黑体" w:eastAsia="黑体"/>
          <w:b w:val="0"/>
          <w:bCs w:val="0"/>
        </w:rPr>
        <w:t>工作</w:t>
      </w:r>
      <w:bookmarkEnd w:id="14"/>
      <w:bookmarkEnd w:id="15"/>
    </w:p>
    <w:p>
      <w:pPr>
        <w:keepNext w:val="0"/>
        <w:keepLines w:val="0"/>
        <w:pageBreakBefore w:val="0"/>
        <w:kinsoku w:val="0"/>
        <w:wordWrap/>
        <w:overflowPunct/>
        <w:topLinePunct/>
        <w:autoSpaceDE/>
        <w:autoSpaceDN/>
        <w:bidi w:val="0"/>
        <w:adjustRightInd/>
        <w:spacing w:line="560" w:lineRule="exact"/>
        <w:ind w:left="0" w:leftChars="0" w:right="0" w:firstLine="640" w:firstLineChars="200"/>
        <w:rPr>
          <w:rFonts w:ascii="仿宋" w:hAnsi="仿宋" w:eastAsia="仿宋"/>
          <w:bCs/>
          <w:sz w:val="32"/>
          <w:szCs w:val="32"/>
        </w:rPr>
      </w:pPr>
      <w:bookmarkStart w:id="16" w:name="_Toc15377198"/>
      <w:bookmarkStart w:id="17" w:name="_Toc15378445"/>
      <w:r>
        <w:rPr>
          <w:rFonts w:hint="eastAsia" w:ascii="楷体" w:hAnsi="楷体" w:eastAsia="楷体" w:cs="楷体"/>
          <w:bCs/>
          <w:sz w:val="32"/>
          <w:szCs w:val="32"/>
        </w:rPr>
        <w:t>（一）主要职能。</w:t>
      </w:r>
      <w:bookmarkEnd w:id="16"/>
      <w:bookmarkEnd w:id="17"/>
      <w:r>
        <w:rPr>
          <w:rFonts w:hint="eastAsia" w:ascii="仿宋" w:hAnsi="仿宋" w:eastAsia="仿宋" w:cs="仿宋"/>
          <w:b w:val="0"/>
          <w:bCs w:val="0"/>
          <w:color w:val="auto"/>
          <w:sz w:val="32"/>
          <w:szCs w:val="32"/>
          <w:lang w:eastAsia="zh-CN"/>
        </w:rPr>
        <w:t>一是</w:t>
      </w:r>
      <w:r>
        <w:rPr>
          <w:rFonts w:hint="eastAsia" w:ascii="仿宋" w:hAnsi="仿宋" w:eastAsia="仿宋" w:cs="仿宋"/>
          <w:b w:val="0"/>
          <w:bCs w:val="0"/>
          <w:color w:val="auto"/>
          <w:sz w:val="32"/>
          <w:szCs w:val="32"/>
        </w:rPr>
        <w:t>贯彻落实中央和省、市委有关政法工作、政法干部队伍建设和社会治安综合治理工作的方针、政策、指示，根据上级政法委员会和县委、县政府的部署，指导政法各部门的工作。</w:t>
      </w:r>
      <w:r>
        <w:rPr>
          <w:rFonts w:hint="eastAsia" w:ascii="仿宋" w:hAnsi="仿宋" w:eastAsia="仿宋" w:cs="仿宋"/>
          <w:b w:val="0"/>
          <w:bCs w:val="0"/>
          <w:color w:val="auto"/>
          <w:sz w:val="32"/>
          <w:szCs w:val="32"/>
          <w:lang w:eastAsia="zh-CN"/>
        </w:rPr>
        <w:t>二是</w:t>
      </w:r>
      <w:r>
        <w:rPr>
          <w:rFonts w:hint="eastAsia" w:ascii="仿宋" w:hAnsi="仿宋" w:eastAsia="仿宋" w:cs="仿宋"/>
          <w:b w:val="0"/>
          <w:bCs w:val="0"/>
          <w:color w:val="auto"/>
          <w:sz w:val="32"/>
          <w:szCs w:val="32"/>
        </w:rPr>
        <w:t>围绕县委、县政府改革和发展的中心工作，对一定时期内的政法工作作出部署，并督促贯彻落实；参与依法治县方针的实施。</w:t>
      </w:r>
      <w:r>
        <w:rPr>
          <w:rFonts w:hint="eastAsia" w:ascii="仿宋" w:hAnsi="仿宋" w:eastAsia="仿宋" w:cs="仿宋"/>
          <w:b w:val="0"/>
          <w:bCs w:val="0"/>
          <w:color w:val="auto"/>
          <w:sz w:val="32"/>
          <w:szCs w:val="32"/>
          <w:lang w:eastAsia="zh-CN"/>
        </w:rPr>
        <w:t>三是</w:t>
      </w:r>
      <w:r>
        <w:rPr>
          <w:rFonts w:hint="eastAsia" w:ascii="仿宋" w:hAnsi="仿宋" w:eastAsia="仿宋" w:cs="仿宋"/>
          <w:b w:val="0"/>
          <w:bCs w:val="0"/>
          <w:color w:val="auto"/>
          <w:sz w:val="32"/>
          <w:szCs w:val="32"/>
        </w:rPr>
        <w:t>协调、指导维护社会稳定工作，督促有关部门抓好落实。</w:t>
      </w:r>
      <w:r>
        <w:rPr>
          <w:rFonts w:hint="eastAsia" w:ascii="仿宋" w:hAnsi="仿宋" w:eastAsia="仿宋" w:cs="仿宋"/>
          <w:b w:val="0"/>
          <w:bCs w:val="0"/>
          <w:color w:val="auto"/>
          <w:sz w:val="32"/>
          <w:szCs w:val="32"/>
          <w:lang w:eastAsia="zh-CN"/>
        </w:rPr>
        <w:t>四是</w:t>
      </w:r>
      <w:r>
        <w:rPr>
          <w:rFonts w:hint="eastAsia" w:ascii="仿宋" w:hAnsi="仿宋" w:eastAsia="仿宋" w:cs="仿宋"/>
          <w:b w:val="0"/>
          <w:bCs w:val="0"/>
          <w:color w:val="auto"/>
          <w:sz w:val="32"/>
          <w:szCs w:val="32"/>
        </w:rPr>
        <w:t xml:space="preserve">组织开展政法工作,强化调查研究，提出政法工作改革的意见。 </w:t>
      </w:r>
      <w:r>
        <w:rPr>
          <w:rFonts w:hint="eastAsia" w:ascii="仿宋" w:hAnsi="仿宋" w:eastAsia="仿宋" w:cs="仿宋"/>
          <w:b w:val="0"/>
          <w:bCs w:val="0"/>
          <w:color w:val="auto"/>
          <w:sz w:val="32"/>
          <w:szCs w:val="32"/>
          <w:lang w:eastAsia="zh-CN"/>
        </w:rPr>
        <w:t>五是</w:t>
      </w:r>
      <w:r>
        <w:rPr>
          <w:rFonts w:hint="eastAsia" w:ascii="仿宋" w:hAnsi="仿宋" w:eastAsia="仿宋" w:cs="仿宋"/>
          <w:b w:val="0"/>
          <w:bCs w:val="0"/>
          <w:color w:val="auto"/>
          <w:sz w:val="32"/>
          <w:szCs w:val="32"/>
        </w:rPr>
        <w:t>检查监督政法部门执行法律法规和党的方针政策的情况，研究制定严肃执法、公正司法和落实党的方针政策的具体措施，督促纠正执法中存在的问题，协助有关部门查处执法中的违法违纪问题。</w:t>
      </w:r>
      <w:r>
        <w:rPr>
          <w:rFonts w:hint="eastAsia" w:ascii="仿宋" w:hAnsi="仿宋" w:eastAsia="仿宋" w:cs="仿宋"/>
          <w:b w:val="0"/>
          <w:bCs w:val="0"/>
          <w:color w:val="auto"/>
          <w:sz w:val="32"/>
          <w:szCs w:val="32"/>
          <w:lang w:eastAsia="zh-CN"/>
        </w:rPr>
        <w:t>六是</w:t>
      </w:r>
      <w:r>
        <w:rPr>
          <w:rFonts w:hint="eastAsia" w:ascii="仿宋" w:hAnsi="仿宋" w:eastAsia="仿宋" w:cs="仿宋"/>
          <w:b w:val="0"/>
          <w:bCs w:val="0"/>
          <w:color w:val="auto"/>
          <w:sz w:val="32"/>
          <w:szCs w:val="32"/>
        </w:rPr>
        <w:t>支持、监督政法各部门依法行使职权，组织查处地方和部门保护主义及非法干涉、干预和影响政法干警依法执行公务的事件；督促、协调政法各部门密切配合查处大案要案，研究、协调有争议的重大、疑难案件；指导全县政法部门信访工作。</w:t>
      </w:r>
      <w:r>
        <w:rPr>
          <w:rFonts w:hint="eastAsia" w:ascii="仿宋" w:hAnsi="仿宋" w:eastAsia="仿宋" w:cs="仿宋"/>
          <w:b w:val="0"/>
          <w:bCs w:val="0"/>
          <w:color w:val="auto"/>
          <w:sz w:val="32"/>
          <w:szCs w:val="32"/>
          <w:lang w:eastAsia="zh-CN"/>
        </w:rPr>
        <w:t>七是</w:t>
      </w:r>
      <w:r>
        <w:rPr>
          <w:rFonts w:hint="eastAsia" w:ascii="仿宋" w:hAnsi="仿宋" w:eastAsia="仿宋" w:cs="仿宋"/>
          <w:b w:val="0"/>
          <w:bCs w:val="0"/>
          <w:color w:val="auto"/>
          <w:sz w:val="32"/>
          <w:szCs w:val="32"/>
        </w:rPr>
        <w:t>协调、指导社会治安综合治理工作，研究制定并督促落实社会治安综合治理的有关政策和措施。</w:t>
      </w:r>
      <w:r>
        <w:rPr>
          <w:rFonts w:hint="eastAsia" w:ascii="仿宋" w:hAnsi="仿宋" w:eastAsia="仿宋" w:cs="仿宋"/>
          <w:b w:val="0"/>
          <w:bCs w:val="0"/>
          <w:color w:val="auto"/>
          <w:sz w:val="32"/>
          <w:szCs w:val="32"/>
          <w:lang w:eastAsia="zh-CN"/>
        </w:rPr>
        <w:t>八是</w:t>
      </w:r>
      <w:r>
        <w:rPr>
          <w:rFonts w:hint="eastAsia" w:ascii="仿宋" w:hAnsi="仿宋" w:eastAsia="仿宋" w:cs="仿宋"/>
          <w:b w:val="0"/>
          <w:bCs w:val="0"/>
          <w:color w:val="auto"/>
          <w:sz w:val="32"/>
          <w:szCs w:val="32"/>
        </w:rPr>
        <w:t>研究制定加强政法干部队伍建设的措施；协助县委组织部考察、管理政法部门的领导班子和领导干部，组织指导政法部门干部队伍的教育管理和培训工作。</w:t>
      </w:r>
      <w:r>
        <w:rPr>
          <w:rFonts w:hint="eastAsia" w:ascii="仿宋" w:hAnsi="仿宋" w:eastAsia="仿宋" w:cs="仿宋"/>
          <w:b w:val="0"/>
          <w:bCs w:val="0"/>
          <w:color w:val="auto"/>
          <w:sz w:val="32"/>
          <w:szCs w:val="32"/>
          <w:lang w:eastAsia="zh-CN"/>
        </w:rPr>
        <w:t>九是</w:t>
      </w:r>
      <w:r>
        <w:rPr>
          <w:rFonts w:hint="eastAsia" w:ascii="仿宋" w:hAnsi="仿宋" w:eastAsia="仿宋" w:cs="仿宋"/>
          <w:b w:val="0"/>
          <w:bCs w:val="0"/>
          <w:color w:val="auto"/>
          <w:sz w:val="32"/>
          <w:szCs w:val="32"/>
        </w:rPr>
        <w:t>组织、指导有关部门开展政法、综治宣传工作，推广政法、综合治理工作的先进经验，表彰政法、综合治理工作的先进单位和先进个人。</w:t>
      </w:r>
    </w:p>
    <w:p>
      <w:pPr>
        <w:pageBreakBefore w:val="0"/>
        <w:wordWrap/>
        <w:overflowPunct/>
        <w:bidi w:val="0"/>
        <w:spacing w:line="560" w:lineRule="exact"/>
        <w:ind w:left="0" w:leftChars="0" w:right="0" w:firstLine="640" w:firstLineChars="200"/>
        <w:rPr>
          <w:rFonts w:hint="eastAsia" w:ascii="楷体" w:hAnsi="楷体" w:eastAsia="楷体" w:cs="楷体"/>
          <w:bCs/>
          <w:sz w:val="32"/>
          <w:szCs w:val="32"/>
        </w:rPr>
      </w:pPr>
      <w:bookmarkStart w:id="18" w:name="_Toc15377199"/>
      <w:bookmarkStart w:id="19" w:name="_Toc15378446"/>
      <w:r>
        <w:rPr>
          <w:rFonts w:hint="eastAsia" w:ascii="楷体" w:hAnsi="楷体" w:eastAsia="楷体" w:cs="楷体"/>
          <w:bCs/>
          <w:sz w:val="32"/>
          <w:szCs w:val="32"/>
        </w:rPr>
        <w:t>（二）202</w:t>
      </w:r>
      <w:r>
        <w:rPr>
          <w:rFonts w:hint="eastAsia" w:ascii="楷体" w:hAnsi="楷体" w:eastAsia="楷体" w:cs="楷体"/>
          <w:bCs/>
          <w:sz w:val="32"/>
          <w:szCs w:val="32"/>
          <w:lang w:val="en-US" w:eastAsia="zh-CN"/>
        </w:rPr>
        <w:t>2</w:t>
      </w:r>
      <w:r>
        <w:rPr>
          <w:rFonts w:hint="eastAsia" w:ascii="楷体" w:hAnsi="楷体" w:eastAsia="楷体" w:cs="楷体"/>
          <w:bCs/>
          <w:sz w:val="32"/>
          <w:szCs w:val="32"/>
        </w:rPr>
        <w:t>年重点工作完成情况。</w:t>
      </w:r>
      <w:bookmarkEnd w:id="18"/>
      <w:bookmarkEnd w:id="19"/>
    </w:p>
    <w:p>
      <w:pPr>
        <w:keepNext w:val="0"/>
        <w:keepLines w:val="0"/>
        <w:pageBreakBefore w:val="0"/>
        <w:kinsoku w:val="0"/>
        <w:wordWrap/>
        <w:overflowPunct/>
        <w:topLinePunct/>
        <w:autoSpaceDE/>
        <w:autoSpaceDN/>
        <w:bidi w:val="0"/>
        <w:adjustRightInd/>
        <w:spacing w:line="560" w:lineRule="exact"/>
        <w:ind w:left="0" w:leftChars="0" w:right="0" w:firstLine="640" w:firstLineChars="200"/>
        <w:rPr>
          <w:rFonts w:hint="eastAsia" w:ascii="仿宋" w:hAnsi="仿宋" w:eastAsia="仿宋" w:cs="仿宋"/>
          <w:b w:val="0"/>
          <w:bCs w:val="0"/>
          <w:color w:val="auto"/>
          <w:sz w:val="32"/>
          <w:szCs w:val="32"/>
        </w:rPr>
      </w:pPr>
      <w:bookmarkStart w:id="20" w:name="_Toc15396601"/>
      <w:bookmarkStart w:id="21" w:name="_Toc15377200"/>
      <w:r>
        <w:rPr>
          <w:rFonts w:hint="eastAsia" w:ascii="仿宋" w:hAnsi="仿宋" w:eastAsia="仿宋" w:cs="仿宋"/>
          <w:b w:val="0"/>
          <w:bCs w:val="0"/>
          <w:color w:val="auto"/>
          <w:sz w:val="32"/>
          <w:szCs w:val="32"/>
          <w:lang w:val="en-US" w:eastAsia="zh-CN"/>
        </w:rPr>
        <w:t>1.</w:t>
      </w:r>
      <w:r>
        <w:rPr>
          <w:rFonts w:hint="eastAsia" w:ascii="仿宋" w:hAnsi="仿宋" w:eastAsia="仿宋" w:cs="仿宋"/>
          <w:b w:val="0"/>
          <w:bCs w:val="0"/>
          <w:color w:val="auto"/>
          <w:sz w:val="32"/>
          <w:szCs w:val="32"/>
        </w:rPr>
        <w:t>加强队伍建设，持续筑牢政治忠诚。一是坚持党对政法工作的绝对领导。认真学习贯彻习近平法治思想和习近平总书记来川视察重要讲话精神，深入开展《中国共产党政法工作条例》及四川省《实施细则》贯彻落实情况专项督查。二是巩固政法干警的思想政治根基。把持续开展党史学习教育、纪律作风整顿、巩固政法队伍教育整顿成果与学习贯彻条例、细则深度融合，加强政法干警思想动态分析，及时解决倾向性、苗头性问题。三是开展“忠诚铸魂、铁纪担当”专项活动。印发《全县政法系统“忠诚铸魂、铁纪担当”专项活动方案》，明确专项活动总要求、总目标</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时间节点和重点任务，统筹推进专项活动落地落实。全县政法系统开展理论学习52次、撰写心得体会180余份、学习笔记520余份，分层级全覆盖谈心谈话500余次，完善规章制度42项。四是强化领导干部交流轮岗。2022年，县级政法机关领导干部共交流轮岗46人。五是全面落实意识形态责任制。对政法各单位贯彻落实意识形态责任制强化督促指导，把意识形态工作纳入党建工作责任制、领导干部目标管理的重要内容。</w:t>
      </w:r>
    </w:p>
    <w:p>
      <w:pPr>
        <w:keepNext w:val="0"/>
        <w:keepLines w:val="0"/>
        <w:pageBreakBefore w:val="0"/>
        <w:kinsoku w:val="0"/>
        <w:wordWrap/>
        <w:overflowPunct/>
        <w:topLinePunct/>
        <w:autoSpaceDE/>
        <w:autoSpaceDN/>
        <w:bidi w:val="0"/>
        <w:adjustRightInd/>
        <w:spacing w:line="560" w:lineRule="exact"/>
        <w:ind w:left="0" w:leftChars="0" w:right="0"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2.</w:t>
      </w:r>
      <w:r>
        <w:rPr>
          <w:rFonts w:hint="eastAsia" w:ascii="仿宋" w:hAnsi="仿宋" w:eastAsia="仿宋" w:cs="仿宋"/>
          <w:b w:val="0"/>
          <w:bCs w:val="0"/>
          <w:color w:val="auto"/>
          <w:sz w:val="32"/>
          <w:szCs w:val="32"/>
        </w:rPr>
        <w:t>坚持服务大局，维护社会和谐稳定。认真执行</w:t>
      </w:r>
      <w:r>
        <w:rPr>
          <w:rFonts w:hint="eastAsia" w:ascii="仿宋" w:hAnsi="仿宋" w:eastAsia="仿宋" w:cs="仿宋"/>
          <w:b w:val="0"/>
          <w:bCs w:val="0"/>
          <w:color w:val="auto"/>
          <w:sz w:val="32"/>
          <w:szCs w:val="32"/>
          <w:lang w:val="zh-CN"/>
        </w:rPr>
        <w:t>重点敏感时期每日滚动排查、</w:t>
      </w:r>
      <w:r>
        <w:rPr>
          <w:rFonts w:hint="eastAsia" w:ascii="仿宋" w:hAnsi="仿宋" w:eastAsia="仿宋" w:cs="仿宋"/>
          <w:b w:val="0"/>
          <w:bCs w:val="0"/>
          <w:color w:val="auto"/>
          <w:sz w:val="32"/>
          <w:szCs w:val="32"/>
        </w:rPr>
        <w:t>“动态排查化解清单管理”工作机制，建立台账清单，实行销号管理。共排查梳理突出涉稳问题9件，对27个重大事项开展了风险评估。成功化解了魏某某、王某某等突出信访积案，稳妥处置了汉阳镇犬只捕杀网络舆情、涉疫等突发涉稳事件。在省第十二次党代会、党的二十大期间，3+X专班实行集中办公，每日滚动摸排全县重点人员情况和动向，圆满实现“五不”和“六个不发生”目标。</w:t>
      </w:r>
    </w:p>
    <w:p>
      <w:pPr>
        <w:keepNext w:val="0"/>
        <w:keepLines w:val="0"/>
        <w:pageBreakBefore w:val="0"/>
        <w:kinsoku w:val="0"/>
        <w:wordWrap/>
        <w:overflowPunct/>
        <w:topLinePunct/>
        <w:autoSpaceDE/>
        <w:autoSpaceDN/>
        <w:bidi w:val="0"/>
        <w:adjustRightInd/>
        <w:spacing w:line="560" w:lineRule="exact"/>
        <w:ind w:left="0" w:leftChars="0" w:right="0"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3.</w:t>
      </w:r>
      <w:r>
        <w:rPr>
          <w:rFonts w:hint="eastAsia" w:ascii="仿宋" w:hAnsi="仿宋" w:eastAsia="仿宋" w:cs="仿宋"/>
          <w:b w:val="0"/>
          <w:bCs w:val="0"/>
          <w:color w:val="auto"/>
          <w:sz w:val="32"/>
          <w:szCs w:val="32"/>
        </w:rPr>
        <w:t>聚焦平安建设，全力保障人民安宁。 一是持续推进综治中心提档升级。大力推进县、乡镇、村（社区）综治中心建设，按照11个中心镇和其他18个乡镇两个层面明确了2022年的创建任务和创建标准，村社区综治中心实行以点带面、梯次推进、全面铺开的工作要求全力实施。2022年创建任务已全面完成。二是深入开展平安创建活动。落实“有进有出”动态管理制度</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2022年，我县命名表扬“六无”平安村（社区）84个，拟推荐争取省级命名表扬4个、市级9个。累计创建省级12个、市级48个、县级111个六无平安村（社区）。三是特殊人群管理持续加强。加大风险隐患和重点人员排查，落实领导包案责任，开展2轮次专项工作督导，特殊人群源头管控得到进一步加强。四是养老诈骗专项行动全面开展。印发专项行动实施方案、整治工作方案、线索核查管理规定等系列文件</w:t>
      </w:r>
      <w:r>
        <w:rPr>
          <w:rFonts w:hint="eastAsia" w:ascii="仿宋" w:hAnsi="仿宋" w:eastAsia="仿宋" w:cs="仿宋"/>
          <w:b w:val="0"/>
          <w:bCs w:val="0"/>
          <w:color w:val="auto"/>
          <w:sz w:val="32"/>
          <w:szCs w:val="32"/>
          <w:lang w:eastAsia="zh-CN"/>
        </w:rPr>
        <w:t>，</w:t>
      </w:r>
      <w:r>
        <w:rPr>
          <w:rFonts w:hint="eastAsia" w:ascii="仿宋" w:hAnsi="仿宋" w:eastAsia="仿宋" w:cs="仿宋"/>
          <w:b w:val="0"/>
          <w:bCs w:val="0"/>
          <w:color w:val="auto"/>
          <w:sz w:val="32"/>
          <w:szCs w:val="32"/>
        </w:rPr>
        <w:t>发布线索举报方式，各乡镇、各成员单位利用微信、led显示屏、村村通广播、发放宣传资料、张贴通告等方式广泛开展宣传发动工作。目前召开全县专项行动会议5次、开展现场活动54场次、发放纸质宣传册6520份，发布微信公众号36条，累计覆盖人群51万人次。五是常态化推进扫黑除恶。对6条涉黑涉恶线索进行全面核查并查否。认真宣传贯彻落实《反有组织犯罪法》，开展系列学习宣传活动30余场次。持续深化信息网络、自然资源、交通运输、工程建设四大行业领域专项整治，完善常态化监管机制。六是加强见义勇为评选工作。县政府授予王敏同志“见义勇为公民”荣誉称号，市政府授予王敏全市“见义勇为勇士”称号。省政府授予李勇明同志省级见义勇为先进个人。全年开展见义勇为人员慰问活动2次，看望慰问4人。</w:t>
      </w:r>
    </w:p>
    <w:p>
      <w:pPr>
        <w:keepNext w:val="0"/>
        <w:keepLines w:val="0"/>
        <w:pageBreakBefore w:val="0"/>
        <w:kinsoku w:val="0"/>
        <w:wordWrap/>
        <w:overflowPunct/>
        <w:topLinePunct/>
        <w:autoSpaceDE/>
        <w:autoSpaceDN/>
        <w:bidi w:val="0"/>
        <w:adjustRightInd/>
        <w:spacing w:line="560" w:lineRule="exact"/>
        <w:ind w:left="0" w:leftChars="0" w:right="0"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4.</w:t>
      </w:r>
      <w:r>
        <w:rPr>
          <w:rFonts w:hint="eastAsia" w:ascii="仿宋" w:hAnsi="仿宋" w:eastAsia="仿宋" w:cs="仿宋"/>
          <w:b w:val="0"/>
          <w:bCs w:val="0"/>
          <w:color w:val="auto"/>
          <w:sz w:val="32"/>
          <w:szCs w:val="32"/>
        </w:rPr>
        <w:t>深化社会治理，着力提升治理水平。审定印发《建立推行“雄关护学”护校安园模式实施方案》《建立健全建筑行业调解组织预防和化解纠纷机制实施方案》《设点建站聘员联户”网格化民生检察实施方案》创新项目实施方案，“雄关护学”护校安园模式、“设点建站聘员联户”网格化民生检察模式、建筑行业调解组织预防和化解纠纷机制3个创新项目获得市级审定，取得初步成效。“雄关义警”志愿服务队工作机制进一步完善，全县29个乡镇均已建立“雄关义警”队伍，30个社区建立义警分队，常态化开展治安巡逻工作，在疫情防控、秩序维护、纠纷化解等方面取得了显著成效，得到群众普遍认可。</w:t>
      </w:r>
    </w:p>
    <w:p>
      <w:pPr>
        <w:keepNext w:val="0"/>
        <w:keepLines w:val="0"/>
        <w:pageBreakBefore w:val="0"/>
        <w:kinsoku w:val="0"/>
        <w:wordWrap/>
        <w:overflowPunct/>
        <w:topLinePunct/>
        <w:autoSpaceDE/>
        <w:autoSpaceDN/>
        <w:bidi w:val="0"/>
        <w:adjustRightInd/>
        <w:spacing w:line="560" w:lineRule="exact"/>
        <w:ind w:left="0" w:leftChars="0" w:right="0" w:firstLine="640" w:firstLineChars="200"/>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lang w:val="en-US" w:eastAsia="zh-CN"/>
        </w:rPr>
        <w:t>5.</w:t>
      </w:r>
      <w:r>
        <w:rPr>
          <w:rFonts w:hint="eastAsia" w:ascii="仿宋" w:hAnsi="仿宋" w:eastAsia="仿宋" w:cs="仿宋"/>
          <w:b w:val="0"/>
          <w:bCs w:val="0"/>
          <w:color w:val="auto"/>
          <w:sz w:val="32"/>
          <w:szCs w:val="32"/>
        </w:rPr>
        <w:t>着眼办案平台，推进执法监督工作。一是推进全省政法系统跨部门办案平台建设应用。组建工作专班，强化业务培训，统筹协作配合，有序推进跨部门办案平台建设应用，自2022年3月平台上线运行以来，全县政法单位非涉密案件流转率达90%以上，确保了非涉密案件“应转尽转”。二是加强执法监督力量建设。为适应新时代执法监督工作发展趋势，加强执法监督专业人才培养和使用，在全县行政执法部门的业务骨干、律师以及法学专家中推荐评选了15名优秀政法干警，组建了剑阁县执法监督专家库。三是扎实开展“万案大评查”回头看。督促政法单位多层次开展专题培训，进一步规范了评查工作程序。对2021年“万案大评查”评查出的9件问题案件整改情况进行逐案审核验收，确保了问责、整改到位。四是深入开展全省“百案督办”专项活动。对政法单位办理过程中具有典型性、代表性、社会关切度高的6件案件进行了督办。截止2022年12月31日，所有督办案件均已办结。</w:t>
      </w:r>
      <w:r>
        <w:rPr>
          <w:rFonts w:hint="eastAsia" w:ascii="仿宋" w:hAnsi="仿宋" w:eastAsia="仿宋" w:cs="仿宋"/>
          <w:b w:val="0"/>
          <w:bCs w:val="0"/>
          <w:color w:val="auto"/>
          <w:sz w:val="32"/>
          <w:szCs w:val="32"/>
          <w:lang w:eastAsia="zh-CN"/>
        </w:rPr>
        <w:t>五</w:t>
      </w:r>
      <w:r>
        <w:rPr>
          <w:rFonts w:hint="eastAsia" w:ascii="仿宋" w:hAnsi="仿宋" w:eastAsia="仿宋" w:cs="仿宋"/>
          <w:b w:val="0"/>
          <w:bCs w:val="0"/>
          <w:color w:val="auto"/>
          <w:sz w:val="32"/>
          <w:szCs w:val="32"/>
        </w:rPr>
        <w:t>是组织开展“百佳案件”评选。组织县级政法单位积极参加全省“百佳案件”评选，由县人民检察院选送的“公益诉讼检察守护剑门蜀道千年古柏”案已进入四川政法“五年百佳”案件（2018-2022）</w:t>
      </w:r>
      <w:r>
        <w:rPr>
          <w:rFonts w:hint="eastAsia" w:ascii="仿宋" w:hAnsi="仿宋" w:eastAsia="仿宋" w:cs="仿宋"/>
          <w:b w:val="0"/>
          <w:bCs w:val="0"/>
          <w:color w:val="auto"/>
          <w:sz w:val="32"/>
          <w:szCs w:val="32"/>
          <w:lang w:eastAsia="zh-CN"/>
        </w:rPr>
        <w:t>候</w:t>
      </w:r>
      <w:r>
        <w:rPr>
          <w:rFonts w:hint="eastAsia" w:ascii="仿宋" w:hAnsi="仿宋" w:eastAsia="仿宋" w:cs="仿宋"/>
          <w:b w:val="0"/>
          <w:bCs w:val="0"/>
          <w:color w:val="auto"/>
          <w:sz w:val="32"/>
          <w:szCs w:val="32"/>
        </w:rPr>
        <w:t>选案例网评环节。</w:t>
      </w:r>
    </w:p>
    <w:p>
      <w:pPr>
        <w:keepNext w:val="0"/>
        <w:keepLines w:val="0"/>
        <w:pageBreakBefore w:val="0"/>
        <w:widowControl w:val="0"/>
        <w:kinsoku/>
        <w:wordWrap/>
        <w:topLinePunct w:val="0"/>
        <w:bidi w:val="0"/>
        <w:snapToGrid w:val="0"/>
        <w:spacing w:line="576" w:lineRule="exact"/>
        <w:ind w:firstLine="640" w:firstLineChars="200"/>
        <w:textAlignment w:val="auto"/>
        <w:rPr>
          <w:rStyle w:val="30"/>
          <w:rFonts w:hint="eastAsia" w:ascii="黑体" w:hAnsi="黑体" w:eastAsia="黑体"/>
          <w:b w:val="0"/>
          <w:bCs w:val="0"/>
        </w:rPr>
      </w:pPr>
      <w:r>
        <w:rPr>
          <w:rStyle w:val="30"/>
          <w:rFonts w:hint="eastAsia" w:ascii="黑体" w:hAnsi="黑体" w:eastAsia="黑体"/>
          <w:b w:val="0"/>
          <w:bCs w:val="0"/>
        </w:rPr>
        <w:t>二、机构设置</w:t>
      </w:r>
      <w:bookmarkEnd w:id="20"/>
      <w:bookmarkEnd w:id="21"/>
    </w:p>
    <w:p>
      <w:pPr>
        <w:pageBreakBefore w:val="0"/>
        <w:wordWrap/>
        <w:overflowPunct/>
        <w:bidi w:val="0"/>
        <w:spacing w:line="560" w:lineRule="exact"/>
        <w:ind w:left="0" w:leftChars="0" w:right="0" w:firstLine="640" w:firstLineChars="200"/>
        <w:rPr>
          <w:rFonts w:ascii="仿宋" w:hAnsi="仿宋" w:eastAsia="仿宋"/>
          <w:sz w:val="32"/>
          <w:szCs w:val="32"/>
        </w:rPr>
      </w:pPr>
      <w:r>
        <w:rPr>
          <w:rFonts w:hint="eastAsia" w:ascii="仿宋" w:hAnsi="仿宋" w:eastAsia="仿宋"/>
          <w:sz w:val="32"/>
          <w:szCs w:val="32"/>
          <w:lang w:eastAsia="zh-CN"/>
        </w:rPr>
        <w:t>县委政法委</w:t>
      </w:r>
      <w:r>
        <w:rPr>
          <w:rFonts w:hint="eastAsia" w:ascii="仿宋" w:hAnsi="仿宋" w:eastAsia="仿宋" w:cs="仿宋"/>
          <w:b w:val="0"/>
          <w:bCs w:val="0"/>
          <w:color w:val="auto"/>
          <w:sz w:val="32"/>
          <w:szCs w:val="32"/>
          <w:lang w:eastAsia="zh-CN"/>
        </w:rPr>
        <w:t>属于一级预算行政单位</w:t>
      </w:r>
      <w:r>
        <w:rPr>
          <w:rFonts w:hint="eastAsia" w:ascii="仿宋" w:hAnsi="仿宋" w:eastAsia="仿宋" w:cs="仿宋"/>
          <w:b w:val="0"/>
          <w:bCs w:val="0"/>
          <w:color w:val="auto"/>
          <w:sz w:val="32"/>
          <w:szCs w:val="32"/>
        </w:rPr>
        <w:t>，无下属</w:t>
      </w:r>
      <w:r>
        <w:rPr>
          <w:rFonts w:hint="eastAsia" w:ascii="仿宋" w:hAnsi="仿宋" w:eastAsia="仿宋" w:cs="仿宋"/>
          <w:b w:val="0"/>
          <w:bCs w:val="0"/>
          <w:color w:val="auto"/>
          <w:sz w:val="32"/>
          <w:szCs w:val="32"/>
          <w:lang w:eastAsia="zh-CN"/>
        </w:rPr>
        <w:t>二级</w:t>
      </w:r>
      <w:r>
        <w:rPr>
          <w:rFonts w:hint="eastAsia" w:ascii="仿宋" w:hAnsi="仿宋" w:eastAsia="仿宋" w:cs="仿宋"/>
          <w:b w:val="0"/>
          <w:bCs w:val="0"/>
          <w:color w:val="auto"/>
          <w:sz w:val="32"/>
          <w:szCs w:val="32"/>
        </w:rPr>
        <w:t>预算单位</w:t>
      </w:r>
      <w:r>
        <w:rPr>
          <w:rFonts w:hint="eastAsia" w:ascii="仿宋" w:hAnsi="仿宋" w:eastAsia="仿宋"/>
          <w:sz w:val="32"/>
          <w:szCs w:val="32"/>
        </w:rPr>
        <w:t>。</w:t>
      </w:r>
    </w:p>
    <w:p>
      <w:pPr>
        <w:pageBreakBefore w:val="0"/>
        <w:widowControl/>
        <w:wordWrap/>
        <w:overflowPunct/>
        <w:bidi w:val="0"/>
        <w:spacing w:line="560" w:lineRule="exact"/>
        <w:ind w:left="0" w:leftChars="0" w:right="0" w:firstLine="640" w:firstLineChars="200"/>
        <w:jc w:val="left"/>
        <w:rPr>
          <w:rFonts w:ascii="仿宋" w:hAnsi="仿宋" w:eastAsia="仿宋"/>
          <w:kern w:val="0"/>
          <w:sz w:val="32"/>
          <w:szCs w:val="32"/>
        </w:rPr>
      </w:pPr>
      <w:r>
        <w:rPr>
          <w:rFonts w:ascii="仿宋" w:hAnsi="仿宋" w:eastAsia="仿宋"/>
          <w:sz w:val="32"/>
          <w:szCs w:val="32"/>
        </w:rPr>
        <w:br w:type="page"/>
      </w:r>
    </w:p>
    <w:p>
      <w:pPr>
        <w:pStyle w:val="2"/>
        <w:pageBreakBefore w:val="0"/>
        <w:widowControl w:val="0"/>
        <w:kinsoku/>
        <w:wordWrap/>
        <w:overflowPunct/>
        <w:topLinePunct w:val="0"/>
        <w:autoSpaceDE/>
        <w:autoSpaceDN/>
        <w:bidi w:val="0"/>
        <w:adjustRightInd/>
        <w:snapToGrid/>
        <w:spacing w:before="0" w:after="0" w:line="500" w:lineRule="exact"/>
        <w:ind w:left="0" w:leftChars="0" w:right="0" w:firstLine="880" w:firstLineChars="200"/>
        <w:jc w:val="center"/>
        <w:textAlignment w:val="auto"/>
        <w:rPr>
          <w:rStyle w:val="29"/>
          <w:rFonts w:ascii="黑体" w:hAnsi="黑体" w:eastAsia="黑体"/>
          <w:b w:val="0"/>
          <w:bCs/>
        </w:rPr>
      </w:pPr>
      <w:bookmarkStart w:id="22" w:name="_Toc15377204"/>
      <w:bookmarkStart w:id="23" w:name="_Toc15396602"/>
      <w:r>
        <w:rPr>
          <w:rFonts w:hint="eastAsia" w:ascii="黑体" w:hAnsi="黑体" w:eastAsia="黑体"/>
          <w:b w:val="0"/>
        </w:rPr>
        <w:t>第二部分 202</w:t>
      </w:r>
      <w:r>
        <w:rPr>
          <w:rFonts w:hint="eastAsia" w:ascii="黑体" w:hAnsi="黑体" w:eastAsia="黑体"/>
          <w:b w:val="0"/>
          <w:lang w:val="en-US" w:eastAsia="zh-CN"/>
        </w:rPr>
        <w:t>2</w:t>
      </w:r>
      <w:r>
        <w:rPr>
          <w:rFonts w:hint="eastAsia" w:ascii="黑体" w:hAnsi="黑体" w:eastAsia="黑体"/>
          <w:b w:val="0"/>
        </w:rPr>
        <w:t>年度</w:t>
      </w:r>
      <w:r>
        <w:rPr>
          <w:rStyle w:val="29"/>
          <w:rFonts w:hint="eastAsia" w:ascii="黑体" w:hAnsi="黑体" w:eastAsia="黑体"/>
          <w:b w:val="0"/>
          <w:bCs/>
        </w:rPr>
        <w:t>部门决算情况说明</w:t>
      </w:r>
      <w:bookmarkEnd w:id="22"/>
      <w:bookmarkEnd w:id="23"/>
    </w:p>
    <w:p>
      <w:pPr>
        <w:pageBreakBefore w:val="0"/>
        <w:widowControl w:val="0"/>
        <w:kinsoku/>
        <w:wordWrap/>
        <w:overflowPunct/>
        <w:topLinePunct w:val="0"/>
        <w:autoSpaceDE/>
        <w:autoSpaceDN/>
        <w:bidi w:val="0"/>
        <w:adjustRightInd/>
        <w:snapToGrid/>
        <w:spacing w:line="500" w:lineRule="exact"/>
        <w:ind w:left="0" w:leftChars="0" w:right="0" w:firstLine="420" w:firstLineChars="200"/>
        <w:textAlignment w:val="auto"/>
      </w:pPr>
    </w:p>
    <w:p>
      <w:pPr>
        <w:pStyle w:val="28"/>
        <w:pageBreakBefore w:val="0"/>
        <w:widowControl w:val="0"/>
        <w:numPr>
          <w:ilvl w:val="0"/>
          <w:numId w:val="0"/>
        </w:numPr>
        <w:kinsoku/>
        <w:wordWrap/>
        <w:overflowPunct/>
        <w:topLinePunct w:val="0"/>
        <w:autoSpaceDE/>
        <w:autoSpaceDN/>
        <w:bidi w:val="0"/>
        <w:adjustRightInd/>
        <w:snapToGrid/>
        <w:spacing w:line="500" w:lineRule="exact"/>
        <w:ind w:right="0" w:rightChars="0" w:firstLine="640" w:firstLineChars="200"/>
        <w:textAlignment w:val="auto"/>
        <w:outlineLvl w:val="1"/>
        <w:rPr>
          <w:rFonts w:hint="default" w:ascii="仿宋" w:hAnsi="仿宋" w:eastAsia="黑体"/>
          <w:sz w:val="32"/>
          <w:szCs w:val="32"/>
          <w:lang w:val="en-US" w:eastAsia="zh-CN"/>
        </w:rPr>
      </w:pPr>
      <w:bookmarkStart w:id="24" w:name="_Toc15396603"/>
      <w:bookmarkStart w:id="25" w:name="_Toc15377205"/>
      <w:r>
        <w:rPr>
          <w:rFonts w:hint="eastAsia" w:ascii="黑体" w:hAnsi="黑体" w:eastAsia="黑体"/>
          <w:sz w:val="32"/>
          <w:szCs w:val="32"/>
          <w:lang w:eastAsia="zh-CN"/>
        </w:rPr>
        <w:t>一、</w:t>
      </w:r>
      <w:r>
        <w:rPr>
          <w:rFonts w:hint="eastAsia" w:ascii="黑体" w:hAnsi="黑体" w:eastAsia="黑体"/>
          <w:sz w:val="32"/>
          <w:szCs w:val="32"/>
        </w:rPr>
        <w:t>收</w:t>
      </w:r>
      <w:r>
        <w:rPr>
          <w:rStyle w:val="30"/>
          <w:rFonts w:hint="eastAsia" w:ascii="黑体" w:hAnsi="黑体" w:eastAsia="黑体"/>
          <w:b w:val="0"/>
        </w:rPr>
        <w:t>入支出决算总体情况说明</w:t>
      </w:r>
      <w:bookmarkEnd w:id="24"/>
      <w:bookmarkEnd w:id="25"/>
    </w:p>
    <w:p>
      <w:pPr>
        <w:pageBreakBefore w:val="0"/>
        <w:widowControl w:val="0"/>
        <w:kinsoku/>
        <w:wordWrap/>
        <w:overflowPunct/>
        <w:topLinePunct w:val="0"/>
        <w:autoSpaceDE/>
        <w:autoSpaceDN/>
        <w:bidi w:val="0"/>
        <w:adjustRightInd/>
        <w:snapToGrid/>
        <w:spacing w:line="500" w:lineRule="exact"/>
        <w:ind w:left="0" w:leftChars="0" w:right="0" w:firstLine="640" w:firstLineChars="200"/>
        <w:textAlignment w:val="auto"/>
        <w:rPr>
          <w:rFonts w:hint="eastAsia" w:ascii="仿宋_GB2312" w:hAnsi="仿宋_GB2312" w:eastAsia="仿宋_GB2312" w:cs="仿宋_GB2312"/>
          <w:sz w:val="32"/>
          <w:szCs w:val="32"/>
        </w:rPr>
      </w:pPr>
      <w:r>
        <w:rPr>
          <w:rFonts w:ascii="仿宋" w:hAnsi="仿宋" w:eastAsia="仿宋"/>
          <w:color w:val="000000"/>
          <w:sz w:val="32"/>
          <w:szCs w:val="32"/>
        </w:rPr>
        <w:t>202</w:t>
      </w:r>
      <w:r>
        <w:rPr>
          <w:rFonts w:hint="eastAsia" w:ascii="仿宋" w:hAnsi="仿宋" w:eastAsia="仿宋"/>
          <w:color w:val="000000"/>
          <w:sz w:val="32"/>
          <w:szCs w:val="32"/>
          <w:lang w:val="en-US" w:eastAsia="zh-CN"/>
        </w:rPr>
        <w:t>2</w:t>
      </w:r>
      <w:r>
        <w:rPr>
          <w:rFonts w:hint="eastAsia" w:ascii="仿宋" w:hAnsi="仿宋" w:eastAsia="仿宋"/>
          <w:color w:val="000000"/>
          <w:sz w:val="32"/>
          <w:szCs w:val="32"/>
        </w:rPr>
        <w:t>年度收、支总计</w:t>
      </w:r>
      <w:r>
        <w:rPr>
          <w:rFonts w:hint="eastAsia" w:ascii="仿宋" w:hAnsi="仿宋" w:eastAsia="仿宋" w:cs="仿宋"/>
          <w:b w:val="0"/>
          <w:bCs w:val="0"/>
          <w:color w:val="auto"/>
          <w:sz w:val="32"/>
          <w:szCs w:val="32"/>
          <w:lang w:val="en-US" w:eastAsia="zh-CN"/>
        </w:rPr>
        <w:t>770.63</w:t>
      </w:r>
      <w:r>
        <w:rPr>
          <w:rFonts w:hint="eastAsia" w:ascii="仿宋" w:hAnsi="仿宋" w:eastAsia="仿宋"/>
          <w:color w:val="000000"/>
          <w:sz w:val="32"/>
          <w:szCs w:val="32"/>
          <w:lang w:val="en-US" w:eastAsia="zh-CN"/>
        </w:rPr>
        <w:t>万元</w:t>
      </w:r>
      <w:r>
        <w:rPr>
          <w:rFonts w:hint="eastAsia" w:ascii="仿宋" w:hAnsi="仿宋" w:eastAsia="仿宋"/>
          <w:color w:val="000000"/>
          <w:sz w:val="32"/>
          <w:szCs w:val="32"/>
        </w:rPr>
        <w:t>。与</w:t>
      </w:r>
      <w:r>
        <w:rPr>
          <w:rFonts w:ascii="仿宋" w:hAnsi="仿宋" w:eastAsia="仿宋"/>
          <w:color w:val="000000"/>
          <w:sz w:val="32"/>
          <w:szCs w:val="32"/>
        </w:rPr>
        <w:t>20</w:t>
      </w:r>
      <w:r>
        <w:rPr>
          <w:rFonts w:hint="eastAsia" w:ascii="仿宋" w:hAnsi="仿宋" w:eastAsia="仿宋"/>
          <w:color w:val="000000"/>
          <w:sz w:val="32"/>
          <w:szCs w:val="32"/>
          <w:lang w:val="en-US" w:eastAsia="zh-CN"/>
        </w:rPr>
        <w:t>21</w:t>
      </w:r>
      <w:r>
        <w:rPr>
          <w:rFonts w:hint="eastAsia" w:ascii="仿宋" w:hAnsi="仿宋" w:eastAsia="仿宋"/>
          <w:color w:val="000000"/>
          <w:sz w:val="32"/>
          <w:szCs w:val="32"/>
        </w:rPr>
        <w:t>年相比，</w:t>
      </w:r>
      <w:r>
        <w:rPr>
          <w:rFonts w:hint="eastAsia" w:ascii="仿宋" w:hAnsi="仿宋" w:eastAsia="仿宋" w:cs="仿宋"/>
          <w:b w:val="0"/>
          <w:bCs w:val="0"/>
          <w:color w:val="auto"/>
          <w:sz w:val="32"/>
          <w:szCs w:val="32"/>
          <w:lang w:eastAsia="zh-CN"/>
        </w:rPr>
        <w:t>减少</w:t>
      </w:r>
      <w:r>
        <w:rPr>
          <w:rFonts w:hint="eastAsia" w:ascii="仿宋" w:hAnsi="仿宋" w:eastAsia="仿宋" w:cs="仿宋"/>
          <w:b w:val="0"/>
          <w:bCs w:val="0"/>
          <w:color w:val="auto"/>
          <w:sz w:val="32"/>
          <w:szCs w:val="32"/>
          <w:lang w:val="en-US" w:eastAsia="zh-CN"/>
        </w:rPr>
        <w:t>62.31</w:t>
      </w:r>
      <w:r>
        <w:rPr>
          <w:rFonts w:hint="eastAsia" w:ascii="仿宋" w:hAnsi="仿宋" w:eastAsia="仿宋" w:cs="仿宋"/>
          <w:b w:val="0"/>
          <w:bCs w:val="0"/>
          <w:color w:val="auto"/>
          <w:sz w:val="32"/>
          <w:szCs w:val="32"/>
        </w:rPr>
        <w:t>万元，</w:t>
      </w:r>
      <w:r>
        <w:rPr>
          <w:rFonts w:hint="eastAsia" w:ascii="仿宋" w:hAnsi="仿宋" w:eastAsia="仿宋" w:cs="仿宋"/>
          <w:b w:val="0"/>
          <w:bCs w:val="0"/>
          <w:color w:val="auto"/>
          <w:sz w:val="32"/>
          <w:szCs w:val="32"/>
          <w:lang w:eastAsia="zh-CN"/>
        </w:rPr>
        <w:t>下降</w:t>
      </w:r>
      <w:r>
        <w:rPr>
          <w:rFonts w:hint="eastAsia" w:ascii="仿宋" w:hAnsi="仿宋" w:eastAsia="仿宋" w:cs="仿宋"/>
          <w:b w:val="0"/>
          <w:bCs w:val="0"/>
          <w:color w:val="auto"/>
          <w:sz w:val="32"/>
          <w:szCs w:val="32"/>
          <w:lang w:val="en-US" w:eastAsia="zh-CN"/>
        </w:rPr>
        <w:t>8.09</w:t>
      </w:r>
      <w:r>
        <w:rPr>
          <w:rFonts w:hint="eastAsia" w:ascii="仿宋" w:hAnsi="仿宋" w:eastAsia="仿宋" w:cs="仿宋"/>
          <w:b w:val="0"/>
          <w:bCs w:val="0"/>
          <w:color w:val="auto"/>
          <w:sz w:val="32"/>
          <w:szCs w:val="32"/>
        </w:rPr>
        <w:t>%。变动的主要</w:t>
      </w:r>
      <w:r>
        <w:rPr>
          <w:rFonts w:hint="eastAsia" w:ascii="仿宋" w:hAnsi="仿宋" w:eastAsia="仿宋" w:cs="仿宋"/>
          <w:b w:val="0"/>
          <w:bCs w:val="0"/>
          <w:color w:val="auto"/>
          <w:sz w:val="32"/>
          <w:szCs w:val="32"/>
          <w:lang w:eastAsia="zh-CN"/>
        </w:rPr>
        <w:t>原因是</w:t>
      </w:r>
      <w:r>
        <w:rPr>
          <w:rFonts w:hint="eastAsia" w:ascii="仿宋" w:hAnsi="仿宋" w:eastAsia="仿宋" w:cs="仿宋"/>
          <w:b w:val="0"/>
          <w:bCs w:val="0"/>
          <w:color w:val="auto"/>
          <w:sz w:val="32"/>
          <w:szCs w:val="32"/>
          <w:lang w:val="en-US" w:eastAsia="zh-CN"/>
        </w:rPr>
        <w:t>2020年年末结转项目资金170.53万元，而2021年年末结转只有27.98万元，从而导致收入支出总计减少</w:t>
      </w:r>
      <w:r>
        <w:rPr>
          <w:rFonts w:hint="eastAsia" w:ascii="仿宋" w:hAnsi="仿宋" w:eastAsia="仿宋" w:cs="仿宋"/>
          <w:b w:val="0"/>
          <w:bCs w:val="0"/>
          <w:color w:val="auto"/>
          <w:sz w:val="32"/>
          <w:szCs w:val="32"/>
        </w:rPr>
        <w:t>。</w:t>
      </w:r>
    </w:p>
    <w:p>
      <w:pPr>
        <w:pStyle w:val="28"/>
        <w:pageBreakBefore w:val="0"/>
        <w:numPr>
          <w:ilvl w:val="0"/>
          <w:numId w:val="0"/>
        </w:numPr>
        <w:wordWrap/>
        <w:overflowPunct/>
        <w:bidi w:val="0"/>
        <w:spacing w:line="560" w:lineRule="exact"/>
        <w:ind w:right="0" w:rightChars="0" w:firstLine="640" w:firstLineChars="200"/>
        <w:outlineLvl w:val="1"/>
        <w:rPr>
          <w:rStyle w:val="30"/>
          <w:rFonts w:ascii="黑体" w:hAnsi="黑体" w:eastAsia="黑体"/>
          <w:b w:val="0"/>
        </w:rPr>
      </w:pPr>
      <w:bookmarkStart w:id="26" w:name="_Toc15396604"/>
      <w:bookmarkStart w:id="27" w:name="_Toc15377206"/>
      <w:r>
        <w:rPr>
          <w:rFonts w:hint="eastAsia" w:ascii="黑体" w:hAnsi="黑体" w:eastAsia="黑体"/>
          <w:sz w:val="32"/>
          <w:szCs w:val="32"/>
          <w:lang w:eastAsia="zh-CN"/>
        </w:rPr>
        <w:t>二、</w:t>
      </w:r>
      <w:r>
        <w:rPr>
          <w:rFonts w:hint="eastAsia" w:ascii="黑体" w:hAnsi="黑体" w:eastAsia="黑体"/>
          <w:sz w:val="32"/>
          <w:szCs w:val="32"/>
        </w:rPr>
        <w:t>收</w:t>
      </w:r>
      <w:r>
        <w:rPr>
          <w:rStyle w:val="30"/>
          <w:rFonts w:hint="eastAsia" w:ascii="黑体" w:hAnsi="黑体" w:eastAsia="黑体"/>
          <w:b w:val="0"/>
        </w:rPr>
        <w:t>入决算情况说明</w:t>
      </w:r>
      <w:bookmarkEnd w:id="26"/>
      <w:bookmarkEnd w:id="27"/>
    </w:p>
    <w:p>
      <w:pPr>
        <w:pageBreakBefore w:val="0"/>
        <w:wordWrap/>
        <w:overflowPunct/>
        <w:bidi w:val="0"/>
        <w:spacing w:line="560" w:lineRule="exact"/>
        <w:ind w:left="0" w:leftChars="0" w:right="0" w:firstLine="640" w:firstLineChars="200"/>
        <w:outlineLvl w:val="1"/>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2</w:t>
      </w:r>
      <w:r>
        <w:rPr>
          <w:rFonts w:hint="eastAsia" w:ascii="仿宋" w:hAnsi="仿宋" w:eastAsia="仿宋"/>
          <w:sz w:val="32"/>
          <w:szCs w:val="32"/>
        </w:rPr>
        <w:t>年本年收入合计</w:t>
      </w:r>
      <w:r>
        <w:rPr>
          <w:rFonts w:hint="eastAsia" w:ascii="仿宋" w:hAnsi="仿宋" w:eastAsia="仿宋"/>
          <w:sz w:val="32"/>
          <w:szCs w:val="32"/>
          <w:lang w:val="en-US" w:eastAsia="zh-CN"/>
        </w:rPr>
        <w:t>743.21</w:t>
      </w:r>
      <w:r>
        <w:rPr>
          <w:rFonts w:hint="eastAsia" w:ascii="仿宋" w:hAnsi="仿宋" w:eastAsia="仿宋"/>
          <w:sz w:val="32"/>
          <w:szCs w:val="32"/>
        </w:rPr>
        <w:t>万元，其中：一般公共预算财政拨款收入</w:t>
      </w:r>
      <w:r>
        <w:rPr>
          <w:rFonts w:hint="eastAsia" w:ascii="仿宋" w:hAnsi="仿宋" w:eastAsia="仿宋"/>
          <w:sz w:val="32"/>
          <w:szCs w:val="32"/>
          <w:lang w:val="en-US" w:eastAsia="zh-CN"/>
        </w:rPr>
        <w:t>618.21</w:t>
      </w:r>
      <w:r>
        <w:rPr>
          <w:rFonts w:hint="eastAsia" w:ascii="仿宋" w:hAnsi="仿宋" w:eastAsia="仿宋"/>
          <w:sz w:val="32"/>
          <w:szCs w:val="32"/>
        </w:rPr>
        <w:t>万元，占</w:t>
      </w:r>
      <w:r>
        <w:rPr>
          <w:rFonts w:hint="eastAsia" w:ascii="仿宋" w:hAnsi="仿宋" w:eastAsia="仿宋"/>
          <w:sz w:val="32"/>
          <w:szCs w:val="32"/>
          <w:lang w:val="en-US" w:eastAsia="zh-CN"/>
        </w:rPr>
        <w:t>88.18</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sz w:val="32"/>
          <w:szCs w:val="32"/>
          <w:lang w:eastAsia="zh-CN"/>
        </w:rPr>
        <w:t>其他收入</w:t>
      </w:r>
      <w:r>
        <w:rPr>
          <w:rFonts w:hint="eastAsia" w:ascii="仿宋" w:hAnsi="仿宋" w:eastAsia="仿宋"/>
          <w:sz w:val="32"/>
          <w:szCs w:val="32"/>
          <w:lang w:val="en-US" w:eastAsia="zh-CN"/>
        </w:rPr>
        <w:t>125万元，占16.82</w:t>
      </w:r>
      <w:r>
        <w:rPr>
          <w:rFonts w:ascii="仿宋" w:hAnsi="仿宋" w:eastAsia="仿宋"/>
          <w:sz w:val="32"/>
          <w:szCs w:val="32"/>
        </w:rPr>
        <w:t>%</w:t>
      </w:r>
      <w:r>
        <w:rPr>
          <w:rFonts w:hint="eastAsia" w:ascii="仿宋" w:hAnsi="仿宋" w:eastAsia="仿宋"/>
          <w:sz w:val="32"/>
          <w:szCs w:val="32"/>
        </w:rPr>
        <w:t>。</w:t>
      </w:r>
    </w:p>
    <w:p>
      <w:pPr>
        <w:pStyle w:val="28"/>
        <w:pageBreakBefore w:val="0"/>
        <w:numPr>
          <w:ilvl w:val="0"/>
          <w:numId w:val="0"/>
        </w:numPr>
        <w:wordWrap/>
        <w:overflowPunct/>
        <w:bidi w:val="0"/>
        <w:spacing w:line="560" w:lineRule="exact"/>
        <w:ind w:right="0" w:rightChars="0" w:firstLine="640" w:firstLineChars="200"/>
        <w:outlineLvl w:val="1"/>
        <w:rPr>
          <w:rStyle w:val="30"/>
          <w:rFonts w:ascii="黑体" w:hAnsi="黑体" w:eastAsia="黑体"/>
          <w:b w:val="0"/>
        </w:rPr>
      </w:pPr>
      <w:bookmarkStart w:id="28" w:name="_Toc15396605"/>
      <w:bookmarkStart w:id="29" w:name="_Toc15377207"/>
      <w:r>
        <w:rPr>
          <w:rFonts w:hint="eastAsia" w:ascii="黑体" w:hAnsi="黑体" w:eastAsia="黑体"/>
          <w:sz w:val="32"/>
          <w:szCs w:val="32"/>
          <w:lang w:eastAsia="zh-CN"/>
        </w:rPr>
        <w:t>三、</w:t>
      </w:r>
      <w:r>
        <w:rPr>
          <w:rFonts w:hint="eastAsia" w:ascii="黑体" w:hAnsi="黑体" w:eastAsia="黑体"/>
          <w:sz w:val="32"/>
          <w:szCs w:val="32"/>
        </w:rPr>
        <w:t>支</w:t>
      </w:r>
      <w:r>
        <w:rPr>
          <w:rStyle w:val="30"/>
          <w:rFonts w:hint="eastAsia" w:ascii="黑体" w:hAnsi="黑体" w:eastAsia="黑体"/>
          <w:b w:val="0"/>
        </w:rPr>
        <w:t>出决算情况说明</w:t>
      </w:r>
      <w:bookmarkEnd w:id="28"/>
      <w:bookmarkEnd w:id="29"/>
    </w:p>
    <w:p>
      <w:pPr>
        <w:pageBreakBefore w:val="0"/>
        <w:wordWrap/>
        <w:overflowPunct/>
        <w:bidi w:val="0"/>
        <w:spacing w:line="560" w:lineRule="exact"/>
        <w:ind w:left="0" w:leftChars="0" w:right="0" w:firstLine="640" w:firstLineChars="200"/>
        <w:outlineLvl w:val="1"/>
        <w:rPr>
          <w:rFonts w:hint="eastAsia" w:ascii="仿宋" w:hAnsi="仿宋" w:eastAsia="仿宋"/>
          <w:sz w:val="32"/>
          <w:szCs w:val="32"/>
        </w:rPr>
      </w:pP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2</w:t>
      </w:r>
      <w:r>
        <w:rPr>
          <w:rFonts w:hint="eastAsia" w:ascii="仿宋" w:hAnsi="仿宋" w:eastAsia="仿宋"/>
          <w:sz w:val="32"/>
          <w:szCs w:val="32"/>
        </w:rPr>
        <w:t>年本年支出合计</w:t>
      </w:r>
      <w:r>
        <w:rPr>
          <w:rFonts w:hint="eastAsia" w:ascii="仿宋" w:hAnsi="仿宋" w:eastAsia="仿宋" w:cs="仿宋"/>
          <w:b w:val="0"/>
          <w:bCs w:val="0"/>
          <w:color w:val="auto"/>
          <w:sz w:val="32"/>
          <w:szCs w:val="32"/>
          <w:lang w:val="en-US" w:eastAsia="zh-CN"/>
        </w:rPr>
        <w:t>770.63</w:t>
      </w:r>
      <w:r>
        <w:rPr>
          <w:rFonts w:hint="eastAsia" w:ascii="仿宋" w:hAnsi="仿宋" w:eastAsia="仿宋"/>
          <w:sz w:val="32"/>
          <w:szCs w:val="32"/>
        </w:rPr>
        <w:t>万元，其中：基本支出</w:t>
      </w:r>
      <w:r>
        <w:rPr>
          <w:rFonts w:hint="eastAsia" w:ascii="仿宋" w:hAnsi="仿宋" w:eastAsia="仿宋"/>
          <w:sz w:val="32"/>
          <w:szCs w:val="32"/>
          <w:lang w:val="en-US" w:eastAsia="zh-CN"/>
        </w:rPr>
        <w:t>430.50</w:t>
      </w:r>
      <w:r>
        <w:rPr>
          <w:rFonts w:hint="eastAsia" w:ascii="仿宋" w:hAnsi="仿宋" w:eastAsia="仿宋"/>
          <w:sz w:val="32"/>
          <w:szCs w:val="32"/>
        </w:rPr>
        <w:t>万元，占</w:t>
      </w:r>
      <w:r>
        <w:rPr>
          <w:rFonts w:hint="eastAsia" w:ascii="仿宋" w:hAnsi="仿宋" w:eastAsia="仿宋"/>
          <w:sz w:val="32"/>
          <w:szCs w:val="32"/>
          <w:lang w:val="en-US" w:eastAsia="zh-CN"/>
        </w:rPr>
        <w:t>55.86</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340.13</w:t>
      </w:r>
      <w:r>
        <w:rPr>
          <w:rFonts w:hint="eastAsia" w:ascii="仿宋" w:hAnsi="仿宋" w:eastAsia="仿宋"/>
          <w:sz w:val="32"/>
          <w:szCs w:val="32"/>
        </w:rPr>
        <w:t>万元，占</w:t>
      </w:r>
      <w:r>
        <w:rPr>
          <w:rFonts w:hint="eastAsia" w:ascii="仿宋" w:hAnsi="仿宋" w:eastAsia="仿宋"/>
          <w:sz w:val="32"/>
          <w:szCs w:val="32"/>
          <w:lang w:val="en-US" w:eastAsia="zh-CN"/>
        </w:rPr>
        <w:t>44.14</w:t>
      </w:r>
      <w:r>
        <w:rPr>
          <w:rFonts w:ascii="仿宋" w:hAnsi="仿宋" w:eastAsia="仿宋"/>
          <w:sz w:val="32"/>
          <w:szCs w:val="32"/>
        </w:rPr>
        <w:t>%</w:t>
      </w:r>
      <w:r>
        <w:rPr>
          <w:rFonts w:hint="eastAsia" w:ascii="仿宋" w:hAnsi="仿宋" w:eastAsia="仿宋"/>
          <w:sz w:val="32"/>
          <w:szCs w:val="32"/>
        </w:rPr>
        <w:t>；上缴上级支出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；对附属单位补助支出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pageBreakBefore w:val="0"/>
        <w:wordWrap/>
        <w:overflowPunct/>
        <w:bidi w:val="0"/>
        <w:spacing w:line="560" w:lineRule="exact"/>
        <w:ind w:left="0" w:leftChars="0" w:right="0" w:firstLine="640" w:firstLineChars="200"/>
        <w:outlineLvl w:val="1"/>
        <w:rPr>
          <w:rStyle w:val="30"/>
          <w:rFonts w:hint="default" w:ascii="黑体" w:hAnsi="黑体" w:eastAsia="黑体"/>
          <w:b w:val="0"/>
          <w:lang w:val="en-US"/>
        </w:rPr>
      </w:pPr>
      <w:bookmarkStart w:id="30" w:name="_Toc15396606"/>
      <w:bookmarkStart w:id="31" w:name="_Toc15377208"/>
      <w:r>
        <w:rPr>
          <w:rFonts w:hint="eastAsia" w:ascii="黑体" w:hAnsi="黑体" w:eastAsia="黑体"/>
          <w:sz w:val="32"/>
          <w:szCs w:val="32"/>
        </w:rPr>
        <w:t>四、财</w:t>
      </w:r>
      <w:r>
        <w:rPr>
          <w:rStyle w:val="30"/>
          <w:rFonts w:hint="eastAsia" w:ascii="黑体" w:hAnsi="黑体" w:eastAsia="黑体"/>
          <w:b w:val="0"/>
        </w:rPr>
        <w:t>政拨款收入支出决算总体情况说明</w:t>
      </w:r>
      <w:bookmarkEnd w:id="30"/>
      <w:bookmarkEnd w:id="31"/>
    </w:p>
    <w:p>
      <w:pPr>
        <w:pageBreakBefore w:val="0"/>
        <w:wordWrap/>
        <w:overflowPunct/>
        <w:bidi w:val="0"/>
        <w:spacing w:line="560" w:lineRule="exact"/>
        <w:ind w:left="0" w:leftChars="0" w:right="0" w:firstLine="640" w:firstLineChars="200"/>
        <w:rPr>
          <w:rFonts w:hint="eastAsia" w:ascii="仿宋" w:hAnsi="仿宋" w:eastAsia="仿宋" w:cs="仿宋"/>
          <w:b w:val="0"/>
          <w:bCs w:val="0"/>
          <w:color w:val="auto"/>
          <w:sz w:val="32"/>
          <w:szCs w:val="32"/>
        </w:rPr>
      </w:pP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2</w:t>
      </w:r>
      <w:r>
        <w:rPr>
          <w:rFonts w:hint="eastAsia" w:ascii="仿宋" w:hAnsi="仿宋" w:eastAsia="仿宋"/>
          <w:sz w:val="32"/>
          <w:szCs w:val="32"/>
        </w:rPr>
        <w:t>年财政拨款收、支总</w:t>
      </w:r>
      <w:r>
        <w:rPr>
          <w:rFonts w:hint="eastAsia" w:ascii="仿宋" w:hAnsi="仿宋" w:eastAsia="仿宋"/>
          <w:sz w:val="32"/>
          <w:szCs w:val="32"/>
          <w:lang w:eastAsia="zh-CN"/>
        </w:rPr>
        <w:t>计</w:t>
      </w:r>
      <w:r>
        <w:rPr>
          <w:rFonts w:hint="eastAsia" w:ascii="仿宋" w:hAnsi="仿宋" w:eastAsia="仿宋"/>
          <w:sz w:val="32"/>
          <w:szCs w:val="32"/>
          <w:lang w:val="en-US" w:eastAsia="zh-CN"/>
        </w:rPr>
        <w:t>645.63万元</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1</w:t>
      </w:r>
      <w:r>
        <w:rPr>
          <w:rFonts w:hint="eastAsia" w:ascii="仿宋" w:hAnsi="仿宋" w:eastAsia="仿宋"/>
          <w:sz w:val="32"/>
          <w:szCs w:val="32"/>
        </w:rPr>
        <w:t>年相比，</w:t>
      </w:r>
      <w:r>
        <w:rPr>
          <w:rFonts w:hint="eastAsia" w:ascii="仿宋_GB2312" w:hAnsi="仿宋_GB2312" w:eastAsia="仿宋_GB2312" w:cs="仿宋_GB2312"/>
          <w:sz w:val="32"/>
          <w:szCs w:val="32"/>
          <w:lang w:eastAsia="zh-CN"/>
        </w:rPr>
        <w:t>财政拨款收</w:t>
      </w:r>
      <w:r>
        <w:rPr>
          <w:rFonts w:hint="eastAsia" w:ascii="仿宋" w:hAnsi="仿宋" w:eastAsia="仿宋" w:cs="仿宋"/>
          <w:b w:val="0"/>
          <w:bCs w:val="0"/>
          <w:color w:val="auto"/>
          <w:sz w:val="32"/>
          <w:szCs w:val="32"/>
          <w:lang w:eastAsia="zh-CN"/>
        </w:rPr>
        <w:t>支总计减少</w:t>
      </w:r>
      <w:r>
        <w:rPr>
          <w:rFonts w:hint="eastAsia" w:ascii="仿宋" w:hAnsi="仿宋" w:eastAsia="仿宋" w:cs="仿宋"/>
          <w:b w:val="0"/>
          <w:bCs w:val="0"/>
          <w:color w:val="auto"/>
          <w:sz w:val="32"/>
          <w:szCs w:val="32"/>
          <w:lang w:val="en-US" w:eastAsia="zh-CN"/>
        </w:rPr>
        <w:t>159.33</w:t>
      </w:r>
      <w:r>
        <w:rPr>
          <w:rFonts w:hint="eastAsia" w:ascii="仿宋" w:hAnsi="仿宋" w:eastAsia="仿宋" w:cs="仿宋"/>
          <w:b w:val="0"/>
          <w:bCs w:val="0"/>
          <w:color w:val="auto"/>
          <w:sz w:val="32"/>
          <w:szCs w:val="32"/>
        </w:rPr>
        <w:t>万元，</w:t>
      </w:r>
      <w:r>
        <w:rPr>
          <w:rFonts w:hint="eastAsia" w:ascii="仿宋" w:hAnsi="仿宋" w:eastAsia="仿宋" w:cs="仿宋"/>
          <w:b w:val="0"/>
          <w:bCs w:val="0"/>
          <w:color w:val="auto"/>
          <w:sz w:val="32"/>
          <w:szCs w:val="32"/>
          <w:lang w:eastAsia="zh-CN"/>
        </w:rPr>
        <w:t>下降</w:t>
      </w:r>
      <w:r>
        <w:rPr>
          <w:rFonts w:hint="eastAsia" w:ascii="仿宋" w:hAnsi="仿宋" w:eastAsia="仿宋" w:cs="仿宋"/>
          <w:b w:val="0"/>
          <w:bCs w:val="0"/>
          <w:color w:val="auto"/>
          <w:sz w:val="32"/>
          <w:szCs w:val="32"/>
          <w:lang w:val="en-US" w:eastAsia="zh-CN"/>
        </w:rPr>
        <w:t>19.79</w:t>
      </w:r>
      <w:r>
        <w:rPr>
          <w:rFonts w:hint="eastAsia" w:ascii="仿宋" w:hAnsi="仿宋" w:eastAsia="仿宋" w:cs="仿宋"/>
          <w:b w:val="0"/>
          <w:bCs w:val="0"/>
          <w:color w:val="auto"/>
          <w:sz w:val="32"/>
          <w:szCs w:val="32"/>
        </w:rPr>
        <w:t>%。变动的主要原因</w:t>
      </w:r>
      <w:r>
        <w:rPr>
          <w:rFonts w:hint="eastAsia" w:ascii="仿宋" w:hAnsi="仿宋" w:eastAsia="仿宋" w:cs="仿宋"/>
          <w:b w:val="0"/>
          <w:bCs w:val="0"/>
          <w:color w:val="auto"/>
          <w:sz w:val="32"/>
          <w:szCs w:val="32"/>
          <w:lang w:eastAsia="zh-CN"/>
        </w:rPr>
        <w:t>是</w:t>
      </w:r>
      <w:r>
        <w:rPr>
          <w:rFonts w:hint="eastAsia" w:ascii="仿宋" w:hAnsi="仿宋" w:eastAsia="仿宋" w:cs="仿宋"/>
          <w:b w:val="0"/>
          <w:bCs w:val="0"/>
          <w:color w:val="auto"/>
          <w:sz w:val="32"/>
          <w:szCs w:val="32"/>
          <w:lang w:val="en-US" w:eastAsia="zh-CN"/>
        </w:rPr>
        <w:t>2020年年末结转项目资金170.53万元，而2021年年末结转27.98万元，从而导致财政拨款收支总计减少</w:t>
      </w:r>
      <w:r>
        <w:rPr>
          <w:rFonts w:hint="eastAsia" w:ascii="仿宋" w:hAnsi="仿宋" w:eastAsia="仿宋" w:cs="仿宋"/>
          <w:b w:val="0"/>
          <w:bCs w:val="0"/>
          <w:color w:val="auto"/>
          <w:sz w:val="32"/>
          <w:szCs w:val="32"/>
        </w:rPr>
        <w:t>。</w:t>
      </w:r>
    </w:p>
    <w:p>
      <w:pPr>
        <w:pageBreakBefore w:val="0"/>
        <w:wordWrap/>
        <w:overflowPunct/>
        <w:bidi w:val="0"/>
        <w:spacing w:line="560" w:lineRule="exact"/>
        <w:ind w:left="0" w:leftChars="0" w:right="0" w:firstLine="640" w:firstLineChars="200"/>
        <w:outlineLvl w:val="1"/>
        <w:rPr>
          <w:rStyle w:val="30"/>
          <w:rFonts w:ascii="黑体" w:hAnsi="黑体" w:eastAsia="黑体"/>
          <w:b w:val="0"/>
        </w:rPr>
      </w:pPr>
      <w:bookmarkStart w:id="32" w:name="_Toc15396607"/>
      <w:bookmarkStart w:id="33" w:name="_Toc15377209"/>
      <w:r>
        <w:rPr>
          <w:rFonts w:hint="eastAsia" w:ascii="黑体" w:hAnsi="黑体" w:eastAsia="黑体"/>
          <w:sz w:val="32"/>
          <w:szCs w:val="32"/>
        </w:rPr>
        <w:t>五、</w:t>
      </w:r>
      <w:r>
        <w:rPr>
          <w:rFonts w:hint="eastAsia" w:ascii="黑体" w:hAnsi="黑体" w:eastAsia="黑体"/>
          <w:b/>
          <w:sz w:val="32"/>
          <w:szCs w:val="32"/>
        </w:rPr>
        <w:t>一</w:t>
      </w:r>
      <w:r>
        <w:rPr>
          <w:rStyle w:val="30"/>
          <w:rFonts w:hint="eastAsia" w:ascii="黑体" w:hAnsi="黑体" w:eastAsia="黑体"/>
          <w:b w:val="0"/>
        </w:rPr>
        <w:t>般公共预算财政拨款支出决算情况说明</w:t>
      </w:r>
      <w:bookmarkEnd w:id="32"/>
      <w:bookmarkEnd w:id="33"/>
    </w:p>
    <w:p>
      <w:pPr>
        <w:keepNext w:val="0"/>
        <w:keepLines w:val="0"/>
        <w:pageBreakBefore w:val="0"/>
        <w:kinsoku w:val="0"/>
        <w:wordWrap/>
        <w:overflowPunct/>
        <w:topLinePunct/>
        <w:autoSpaceDE/>
        <w:autoSpaceDN/>
        <w:bidi w:val="0"/>
        <w:adjustRightInd/>
        <w:spacing w:line="560" w:lineRule="exact"/>
        <w:ind w:left="0" w:leftChars="0" w:right="0" w:firstLine="640" w:firstLineChars="200"/>
        <w:rPr>
          <w:rFonts w:hint="eastAsia" w:ascii="楷体" w:hAnsi="楷体" w:eastAsia="楷体" w:cs="楷体"/>
          <w:bCs/>
          <w:sz w:val="32"/>
          <w:szCs w:val="32"/>
        </w:rPr>
      </w:pPr>
      <w:bookmarkStart w:id="34" w:name="_Toc15377210"/>
      <w:r>
        <w:rPr>
          <w:rFonts w:hint="eastAsia" w:ascii="楷体" w:hAnsi="楷体" w:eastAsia="楷体" w:cs="楷体"/>
          <w:bCs/>
          <w:sz w:val="32"/>
          <w:szCs w:val="32"/>
        </w:rPr>
        <w:t>（一）一般公共预算财政拨款支出决算总体情况</w:t>
      </w:r>
      <w:bookmarkEnd w:id="34"/>
    </w:p>
    <w:p>
      <w:pPr>
        <w:pageBreakBefore w:val="0"/>
        <w:wordWrap/>
        <w:overflowPunct/>
        <w:bidi w:val="0"/>
        <w:spacing w:line="560" w:lineRule="exact"/>
        <w:ind w:left="0" w:leftChars="0" w:right="0"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2</w:t>
      </w:r>
      <w:r>
        <w:rPr>
          <w:rFonts w:hint="eastAsia" w:ascii="仿宋" w:hAnsi="仿宋" w:eastAsia="仿宋"/>
          <w:sz w:val="32"/>
          <w:szCs w:val="32"/>
        </w:rPr>
        <w:t>年一般公共预算财政拨款支出</w:t>
      </w:r>
      <w:r>
        <w:rPr>
          <w:rFonts w:hint="eastAsia" w:ascii="仿宋" w:hAnsi="仿宋" w:eastAsia="仿宋"/>
          <w:sz w:val="32"/>
          <w:szCs w:val="32"/>
          <w:lang w:val="en-US" w:eastAsia="zh-CN"/>
        </w:rPr>
        <w:t>645.63</w:t>
      </w:r>
      <w:r>
        <w:rPr>
          <w:rFonts w:hint="eastAsia" w:ascii="仿宋" w:hAnsi="仿宋" w:eastAsia="仿宋"/>
          <w:sz w:val="32"/>
          <w:szCs w:val="32"/>
        </w:rPr>
        <w:t>万元，占本年支出合计的</w:t>
      </w:r>
      <w:r>
        <w:rPr>
          <w:rFonts w:hint="eastAsia" w:ascii="仿宋" w:hAnsi="仿宋" w:eastAsia="仿宋"/>
          <w:sz w:val="32"/>
          <w:szCs w:val="32"/>
          <w:lang w:val="en-US" w:eastAsia="zh-CN"/>
        </w:rPr>
        <w:t>83.78</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1</w:t>
      </w:r>
      <w:r>
        <w:rPr>
          <w:rFonts w:hint="eastAsia" w:ascii="仿宋" w:hAnsi="仿宋" w:eastAsia="仿宋"/>
          <w:sz w:val="32"/>
          <w:szCs w:val="32"/>
        </w:rPr>
        <w:t>年相比，一般公共预算财政拨款支出</w:t>
      </w:r>
      <w:r>
        <w:rPr>
          <w:rFonts w:hint="eastAsia" w:ascii="仿宋" w:hAnsi="仿宋" w:eastAsia="仿宋"/>
          <w:sz w:val="32"/>
          <w:szCs w:val="32"/>
          <w:lang w:eastAsia="zh-CN"/>
        </w:rPr>
        <w:t>减少</w:t>
      </w:r>
      <w:r>
        <w:rPr>
          <w:rFonts w:hint="eastAsia" w:ascii="仿宋" w:hAnsi="仿宋" w:eastAsia="仿宋" w:cs="仿宋"/>
          <w:b w:val="0"/>
          <w:bCs w:val="0"/>
          <w:color w:val="auto"/>
          <w:sz w:val="32"/>
          <w:szCs w:val="32"/>
          <w:lang w:val="en-US" w:eastAsia="zh-CN"/>
        </w:rPr>
        <w:t>159.33</w:t>
      </w:r>
      <w:r>
        <w:rPr>
          <w:rFonts w:hint="eastAsia" w:ascii="仿宋" w:hAnsi="仿宋" w:eastAsia="仿宋" w:cs="仿宋"/>
          <w:b w:val="0"/>
          <w:bCs w:val="0"/>
          <w:color w:val="auto"/>
          <w:sz w:val="32"/>
          <w:szCs w:val="32"/>
        </w:rPr>
        <w:t>万元，</w:t>
      </w:r>
      <w:r>
        <w:rPr>
          <w:rFonts w:hint="eastAsia" w:ascii="仿宋" w:hAnsi="仿宋" w:eastAsia="仿宋" w:cs="仿宋"/>
          <w:b w:val="0"/>
          <w:bCs w:val="0"/>
          <w:color w:val="auto"/>
          <w:sz w:val="32"/>
          <w:szCs w:val="32"/>
          <w:lang w:eastAsia="zh-CN"/>
        </w:rPr>
        <w:t>下降</w:t>
      </w:r>
      <w:r>
        <w:rPr>
          <w:rFonts w:hint="eastAsia" w:ascii="仿宋" w:hAnsi="仿宋" w:eastAsia="仿宋" w:cs="仿宋"/>
          <w:b w:val="0"/>
          <w:bCs w:val="0"/>
          <w:color w:val="auto"/>
          <w:sz w:val="32"/>
          <w:szCs w:val="32"/>
          <w:lang w:val="en-US" w:eastAsia="zh-CN"/>
        </w:rPr>
        <w:t>19.79</w:t>
      </w:r>
      <w:r>
        <w:rPr>
          <w:rFonts w:hint="eastAsia" w:ascii="仿宋" w:hAnsi="仿宋" w:eastAsia="仿宋" w:cs="仿宋"/>
          <w:b w:val="0"/>
          <w:bCs w:val="0"/>
          <w:color w:val="auto"/>
          <w:sz w:val="32"/>
          <w:szCs w:val="32"/>
        </w:rPr>
        <w:t>%。变动的主要原因是</w:t>
      </w:r>
      <w:r>
        <w:rPr>
          <w:rFonts w:hint="eastAsia" w:ascii="仿宋" w:hAnsi="仿宋" w:eastAsia="仿宋" w:cs="仿宋"/>
          <w:b w:val="0"/>
          <w:bCs w:val="0"/>
          <w:color w:val="auto"/>
          <w:sz w:val="32"/>
          <w:szCs w:val="32"/>
          <w:lang w:val="en-US" w:eastAsia="zh-CN"/>
        </w:rPr>
        <w:t>2020年年末结转项目资金170.53万元，而2021年年末结转27.98万元，从而导致一般公共预算财政拨款支出减少</w:t>
      </w:r>
      <w:r>
        <w:rPr>
          <w:rFonts w:hint="eastAsia" w:ascii="仿宋" w:hAnsi="仿宋" w:eastAsia="仿宋" w:cs="仿宋"/>
          <w:b w:val="0"/>
          <w:bCs w:val="0"/>
          <w:color w:val="auto"/>
          <w:sz w:val="32"/>
          <w:szCs w:val="32"/>
        </w:rPr>
        <w:t>。</w:t>
      </w:r>
    </w:p>
    <w:p>
      <w:pPr>
        <w:keepNext w:val="0"/>
        <w:keepLines w:val="0"/>
        <w:pageBreakBefore w:val="0"/>
        <w:kinsoku w:val="0"/>
        <w:wordWrap/>
        <w:overflowPunct/>
        <w:topLinePunct/>
        <w:autoSpaceDE/>
        <w:autoSpaceDN/>
        <w:bidi w:val="0"/>
        <w:adjustRightInd/>
        <w:spacing w:line="560" w:lineRule="exact"/>
        <w:ind w:left="0" w:leftChars="0" w:right="0" w:firstLine="640" w:firstLineChars="200"/>
        <w:rPr>
          <w:rFonts w:hint="eastAsia" w:ascii="楷体" w:hAnsi="楷体" w:eastAsia="楷体" w:cs="楷体"/>
          <w:bCs/>
          <w:sz w:val="32"/>
          <w:szCs w:val="32"/>
        </w:rPr>
      </w:pPr>
      <w:bookmarkStart w:id="35" w:name="_Toc15377211"/>
      <w:r>
        <w:rPr>
          <w:rFonts w:hint="eastAsia" w:ascii="楷体" w:hAnsi="楷体" w:eastAsia="楷体" w:cs="楷体"/>
          <w:bCs/>
          <w:sz w:val="32"/>
          <w:szCs w:val="32"/>
        </w:rPr>
        <w:t>（二）一般公共预算财政拨款支出决算结构情况</w:t>
      </w:r>
      <w:bookmarkEnd w:id="35"/>
    </w:p>
    <w:p>
      <w:pPr>
        <w:pageBreakBefore w:val="0"/>
        <w:kinsoku/>
        <w:wordWrap/>
        <w:overflowPunct/>
        <w:topLinePunct w:val="0"/>
        <w:bidi w:val="0"/>
        <w:spacing w:line="556" w:lineRule="exact"/>
        <w:ind w:left="0" w:leftChars="0" w:right="0" w:firstLine="640" w:firstLineChars="200"/>
        <w:outlineLvl w:val="2"/>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2</w:t>
      </w:r>
      <w:r>
        <w:rPr>
          <w:rFonts w:hint="eastAsia" w:ascii="仿宋" w:hAnsi="仿宋" w:eastAsia="仿宋"/>
          <w:sz w:val="32"/>
          <w:szCs w:val="32"/>
        </w:rPr>
        <w:t>年一般公共预算财政拨款支出</w:t>
      </w:r>
      <w:r>
        <w:rPr>
          <w:rFonts w:hint="eastAsia" w:ascii="仿宋" w:hAnsi="仿宋" w:eastAsia="仿宋"/>
          <w:sz w:val="32"/>
          <w:szCs w:val="32"/>
          <w:lang w:val="en-US" w:eastAsia="zh-CN"/>
        </w:rPr>
        <w:t>645.63</w:t>
      </w:r>
      <w:r>
        <w:rPr>
          <w:rFonts w:hint="eastAsia" w:ascii="仿宋" w:hAnsi="仿宋" w:eastAsia="仿宋"/>
          <w:sz w:val="32"/>
          <w:szCs w:val="32"/>
        </w:rPr>
        <w:t>万元，主要用于以下方面</w:t>
      </w:r>
      <w:r>
        <w:rPr>
          <w:rFonts w:ascii="仿宋" w:hAnsi="仿宋" w:eastAsia="仿宋"/>
          <w:sz w:val="32"/>
          <w:szCs w:val="32"/>
        </w:rPr>
        <w:t>:</w:t>
      </w:r>
      <w:r>
        <w:rPr>
          <w:rFonts w:hint="eastAsia" w:ascii="仿宋" w:hAnsi="仿宋" w:eastAsia="仿宋"/>
          <w:b w:val="0"/>
          <w:bCs w:val="0"/>
          <w:color w:val="000000"/>
          <w:sz w:val="32"/>
          <w:szCs w:val="32"/>
        </w:rPr>
        <w:t>公共</w:t>
      </w:r>
      <w:r>
        <w:rPr>
          <w:rFonts w:hint="eastAsia" w:ascii="仿宋" w:hAnsi="仿宋" w:eastAsia="仿宋"/>
          <w:b w:val="0"/>
          <w:bCs w:val="0"/>
          <w:color w:val="000000"/>
          <w:sz w:val="32"/>
          <w:szCs w:val="32"/>
          <w:lang w:eastAsia="zh-CN"/>
        </w:rPr>
        <w:t>安全支出</w:t>
      </w:r>
      <w:r>
        <w:rPr>
          <w:rFonts w:hint="eastAsia" w:ascii="仿宋" w:hAnsi="仿宋" w:eastAsia="仿宋"/>
          <w:b w:val="0"/>
          <w:bCs w:val="0"/>
          <w:color w:val="000000"/>
          <w:sz w:val="32"/>
          <w:szCs w:val="32"/>
        </w:rPr>
        <w:t>（类）支出</w:t>
      </w:r>
      <w:r>
        <w:rPr>
          <w:rFonts w:hint="eastAsia" w:ascii="仿宋" w:hAnsi="仿宋" w:eastAsia="仿宋"/>
          <w:b w:val="0"/>
          <w:bCs w:val="0"/>
          <w:color w:val="000000"/>
          <w:sz w:val="32"/>
          <w:szCs w:val="32"/>
          <w:lang w:val="en-US" w:eastAsia="zh-CN"/>
        </w:rPr>
        <w:t>583.76</w:t>
      </w:r>
      <w:r>
        <w:rPr>
          <w:rFonts w:hint="eastAsia" w:ascii="仿宋" w:hAnsi="仿宋" w:eastAsia="仿宋"/>
          <w:b w:val="0"/>
          <w:bCs w:val="0"/>
          <w:color w:val="000000"/>
          <w:sz w:val="32"/>
          <w:szCs w:val="32"/>
        </w:rPr>
        <w:t>万元，占</w:t>
      </w:r>
      <w:r>
        <w:rPr>
          <w:rFonts w:hint="eastAsia" w:ascii="仿宋" w:hAnsi="仿宋" w:eastAsia="仿宋"/>
          <w:b w:val="0"/>
          <w:bCs w:val="0"/>
          <w:color w:val="000000"/>
          <w:sz w:val="32"/>
          <w:szCs w:val="32"/>
          <w:lang w:val="en-US" w:eastAsia="zh-CN"/>
        </w:rPr>
        <w:t>90.42</w:t>
      </w:r>
      <w:r>
        <w:rPr>
          <w:rFonts w:ascii="仿宋" w:hAnsi="仿宋" w:eastAsia="仿宋"/>
          <w:b w:val="0"/>
          <w:bCs w:val="0"/>
          <w:color w:val="000000"/>
          <w:sz w:val="32"/>
          <w:szCs w:val="32"/>
        </w:rPr>
        <w:t>%</w:t>
      </w:r>
      <w:r>
        <w:rPr>
          <w:rFonts w:hint="eastAsia" w:ascii="仿宋" w:hAnsi="仿宋" w:eastAsia="仿宋"/>
          <w:b w:val="0"/>
          <w:bCs w:val="0"/>
          <w:color w:val="000000"/>
          <w:sz w:val="32"/>
          <w:szCs w:val="32"/>
        </w:rPr>
        <w:t>；社会保障和就业（类）支出</w:t>
      </w:r>
      <w:r>
        <w:rPr>
          <w:rFonts w:hint="eastAsia" w:ascii="仿宋" w:hAnsi="仿宋" w:eastAsia="仿宋"/>
          <w:b w:val="0"/>
          <w:bCs w:val="0"/>
          <w:color w:val="000000"/>
          <w:sz w:val="32"/>
          <w:szCs w:val="32"/>
          <w:lang w:val="en-US" w:eastAsia="zh-CN"/>
        </w:rPr>
        <w:t>27.50</w:t>
      </w:r>
      <w:r>
        <w:rPr>
          <w:rFonts w:hint="eastAsia" w:ascii="仿宋" w:hAnsi="仿宋" w:eastAsia="仿宋"/>
          <w:b w:val="0"/>
          <w:bCs w:val="0"/>
          <w:color w:val="000000"/>
          <w:sz w:val="32"/>
          <w:szCs w:val="32"/>
        </w:rPr>
        <w:t>万元，占</w:t>
      </w:r>
      <w:r>
        <w:rPr>
          <w:rFonts w:hint="eastAsia" w:ascii="仿宋" w:hAnsi="仿宋" w:eastAsia="仿宋"/>
          <w:b w:val="0"/>
          <w:bCs w:val="0"/>
          <w:color w:val="000000"/>
          <w:sz w:val="32"/>
          <w:szCs w:val="32"/>
          <w:lang w:val="en-US" w:eastAsia="zh-CN"/>
        </w:rPr>
        <w:t>4.26</w:t>
      </w:r>
      <w:r>
        <w:rPr>
          <w:rFonts w:ascii="仿宋" w:hAnsi="仿宋" w:eastAsia="仿宋"/>
          <w:b w:val="0"/>
          <w:bCs w:val="0"/>
          <w:color w:val="000000"/>
          <w:sz w:val="32"/>
          <w:szCs w:val="32"/>
        </w:rPr>
        <w:t>%</w:t>
      </w:r>
      <w:r>
        <w:rPr>
          <w:rFonts w:hint="eastAsia" w:ascii="仿宋" w:hAnsi="仿宋" w:eastAsia="仿宋"/>
          <w:b w:val="0"/>
          <w:bCs w:val="0"/>
          <w:color w:val="000000"/>
          <w:sz w:val="32"/>
          <w:szCs w:val="32"/>
        </w:rPr>
        <w:t>；卫生健康支出</w:t>
      </w:r>
      <w:r>
        <w:rPr>
          <w:rFonts w:hint="eastAsia" w:ascii="仿宋" w:hAnsi="仿宋" w:eastAsia="仿宋"/>
          <w:b w:val="0"/>
          <w:bCs w:val="0"/>
          <w:color w:val="000000"/>
          <w:sz w:val="32"/>
          <w:szCs w:val="32"/>
          <w:lang w:val="en-US" w:eastAsia="zh-CN"/>
        </w:rPr>
        <w:t>13.75</w:t>
      </w:r>
      <w:r>
        <w:rPr>
          <w:rFonts w:hint="eastAsia" w:ascii="仿宋" w:hAnsi="仿宋" w:eastAsia="仿宋"/>
          <w:b w:val="0"/>
          <w:bCs w:val="0"/>
          <w:color w:val="000000"/>
          <w:sz w:val="32"/>
          <w:szCs w:val="32"/>
        </w:rPr>
        <w:t>万元，占</w:t>
      </w:r>
      <w:r>
        <w:rPr>
          <w:rFonts w:hint="eastAsia" w:ascii="仿宋" w:hAnsi="仿宋" w:eastAsia="仿宋"/>
          <w:b w:val="0"/>
          <w:bCs w:val="0"/>
          <w:color w:val="000000"/>
          <w:sz w:val="32"/>
          <w:szCs w:val="32"/>
          <w:lang w:val="en-US" w:eastAsia="zh-CN"/>
        </w:rPr>
        <w:t>2.13</w:t>
      </w:r>
      <w:r>
        <w:rPr>
          <w:rFonts w:ascii="仿宋" w:hAnsi="仿宋" w:eastAsia="仿宋"/>
          <w:b w:val="0"/>
          <w:bCs w:val="0"/>
          <w:color w:val="000000"/>
          <w:sz w:val="32"/>
          <w:szCs w:val="32"/>
        </w:rPr>
        <w:t>%</w:t>
      </w:r>
      <w:r>
        <w:rPr>
          <w:rFonts w:hint="eastAsia" w:ascii="仿宋" w:hAnsi="仿宋" w:eastAsia="仿宋"/>
          <w:b w:val="0"/>
          <w:bCs w:val="0"/>
          <w:color w:val="000000"/>
          <w:sz w:val="32"/>
          <w:szCs w:val="32"/>
        </w:rPr>
        <w:t>；住房保障支出</w:t>
      </w:r>
      <w:r>
        <w:rPr>
          <w:rFonts w:hint="eastAsia" w:ascii="仿宋" w:hAnsi="仿宋" w:eastAsia="仿宋"/>
          <w:b w:val="0"/>
          <w:bCs w:val="0"/>
          <w:color w:val="000000"/>
          <w:sz w:val="32"/>
          <w:szCs w:val="32"/>
          <w:lang w:val="en-US" w:eastAsia="zh-CN"/>
        </w:rPr>
        <w:t>20.62</w:t>
      </w:r>
      <w:r>
        <w:rPr>
          <w:rFonts w:hint="eastAsia" w:ascii="仿宋" w:hAnsi="仿宋" w:eastAsia="仿宋"/>
          <w:b w:val="0"/>
          <w:bCs w:val="0"/>
          <w:color w:val="000000"/>
          <w:sz w:val="32"/>
          <w:szCs w:val="32"/>
        </w:rPr>
        <w:t>万元，占</w:t>
      </w:r>
      <w:r>
        <w:rPr>
          <w:rFonts w:hint="eastAsia" w:ascii="仿宋" w:hAnsi="仿宋" w:eastAsia="仿宋"/>
          <w:b w:val="0"/>
          <w:bCs w:val="0"/>
          <w:color w:val="000000"/>
          <w:sz w:val="32"/>
          <w:szCs w:val="32"/>
          <w:lang w:val="en-US" w:eastAsia="zh-CN"/>
        </w:rPr>
        <w:t>3.19</w:t>
      </w:r>
      <w:r>
        <w:rPr>
          <w:rFonts w:ascii="仿宋" w:hAnsi="仿宋" w:eastAsia="仿宋"/>
          <w:b w:val="0"/>
          <w:bCs w:val="0"/>
          <w:color w:val="000000"/>
          <w:sz w:val="32"/>
          <w:szCs w:val="32"/>
        </w:rPr>
        <w:t>%</w:t>
      </w:r>
      <w:r>
        <w:rPr>
          <w:rFonts w:hint="eastAsia" w:ascii="仿宋" w:hAnsi="仿宋" w:eastAsia="仿宋"/>
          <w:b w:val="0"/>
          <w:bCs w:val="0"/>
          <w:color w:val="000000"/>
          <w:sz w:val="32"/>
          <w:szCs w:val="32"/>
        </w:rPr>
        <w:t>。</w:t>
      </w:r>
    </w:p>
    <w:p>
      <w:pPr>
        <w:keepNext w:val="0"/>
        <w:keepLines w:val="0"/>
        <w:pageBreakBefore w:val="0"/>
        <w:kinsoku w:val="0"/>
        <w:wordWrap/>
        <w:overflowPunct/>
        <w:topLinePunct/>
        <w:autoSpaceDE/>
        <w:autoSpaceDN/>
        <w:bidi w:val="0"/>
        <w:adjustRightInd/>
        <w:spacing w:line="560" w:lineRule="exact"/>
        <w:ind w:left="0" w:leftChars="0" w:right="0" w:firstLine="640" w:firstLineChars="200"/>
        <w:rPr>
          <w:rFonts w:hint="eastAsia" w:ascii="楷体" w:hAnsi="楷体" w:eastAsia="楷体" w:cs="楷体"/>
          <w:bCs/>
          <w:sz w:val="32"/>
          <w:szCs w:val="32"/>
        </w:rPr>
      </w:pPr>
      <w:bookmarkStart w:id="36" w:name="_Toc15377212"/>
      <w:r>
        <w:rPr>
          <w:rFonts w:hint="eastAsia" w:ascii="楷体" w:hAnsi="楷体" w:eastAsia="楷体" w:cs="楷体"/>
          <w:bCs/>
          <w:sz w:val="32"/>
          <w:szCs w:val="32"/>
        </w:rPr>
        <w:t>（三）一般公共预算财政拨款支出决算具体情况</w:t>
      </w:r>
      <w:bookmarkEnd w:id="36"/>
    </w:p>
    <w:p>
      <w:pPr>
        <w:pageBreakBefore w:val="0"/>
        <w:kinsoku/>
        <w:wordWrap/>
        <w:overflowPunct/>
        <w:topLinePunct w:val="0"/>
        <w:bidi w:val="0"/>
        <w:spacing w:line="556" w:lineRule="exact"/>
        <w:ind w:left="0" w:leftChars="0" w:right="0" w:firstLine="640" w:firstLineChars="200"/>
        <w:outlineLvl w:val="2"/>
        <w:rPr>
          <w:rFonts w:ascii="仿宋" w:hAnsi="仿宋" w:eastAsia="仿宋"/>
          <w:b w:val="0"/>
          <w:bCs w:val="0"/>
          <w:color w:val="FF0000"/>
          <w:sz w:val="32"/>
          <w:szCs w:val="32"/>
        </w:rPr>
      </w:pPr>
      <w:r>
        <w:rPr>
          <w:rFonts w:ascii="仿宋" w:hAnsi="仿宋" w:eastAsia="仿宋"/>
          <w:b w:val="0"/>
          <w:bCs w:val="0"/>
          <w:color w:val="000000"/>
          <w:sz w:val="32"/>
          <w:szCs w:val="32"/>
        </w:rPr>
        <w:t>202</w:t>
      </w:r>
      <w:r>
        <w:rPr>
          <w:rFonts w:hint="eastAsia" w:ascii="仿宋" w:hAnsi="仿宋" w:eastAsia="仿宋"/>
          <w:b w:val="0"/>
          <w:bCs w:val="0"/>
          <w:color w:val="000000"/>
          <w:sz w:val="32"/>
          <w:szCs w:val="32"/>
          <w:lang w:val="en-US" w:eastAsia="zh-CN"/>
        </w:rPr>
        <w:t>2</w:t>
      </w:r>
      <w:r>
        <w:rPr>
          <w:rFonts w:hint="eastAsia" w:ascii="仿宋" w:hAnsi="仿宋" w:eastAsia="仿宋"/>
          <w:b w:val="0"/>
          <w:bCs w:val="0"/>
          <w:color w:val="000000"/>
          <w:sz w:val="32"/>
          <w:szCs w:val="32"/>
        </w:rPr>
        <w:t>年一般公共预算支出决算数为</w:t>
      </w:r>
      <w:r>
        <w:rPr>
          <w:rFonts w:hint="eastAsia" w:ascii="仿宋" w:hAnsi="仿宋" w:eastAsia="仿宋"/>
          <w:b w:val="0"/>
          <w:bCs w:val="0"/>
          <w:color w:val="000000"/>
          <w:sz w:val="32"/>
          <w:szCs w:val="32"/>
          <w:lang w:val="en-US" w:eastAsia="zh-CN"/>
        </w:rPr>
        <w:t>645.63万元</w:t>
      </w:r>
      <w:r>
        <w:rPr>
          <w:rFonts w:hint="eastAsia" w:ascii="仿宋" w:hAnsi="仿宋" w:eastAsia="仿宋"/>
          <w:b w:val="0"/>
          <w:bCs w:val="0"/>
          <w:color w:val="000000"/>
          <w:sz w:val="32"/>
          <w:szCs w:val="32"/>
        </w:rPr>
        <w:t>，</w:t>
      </w:r>
      <w:r>
        <w:rPr>
          <w:rStyle w:val="18"/>
          <w:rFonts w:hint="eastAsia" w:ascii="仿宋" w:hAnsi="仿宋" w:eastAsia="仿宋"/>
          <w:b w:val="0"/>
          <w:bCs w:val="0"/>
          <w:color w:val="000000"/>
          <w:sz w:val="32"/>
          <w:szCs w:val="32"/>
        </w:rPr>
        <w:t>完成预算</w:t>
      </w:r>
      <w:r>
        <w:rPr>
          <w:rStyle w:val="18"/>
          <w:rFonts w:hint="eastAsia" w:ascii="仿宋" w:hAnsi="仿宋" w:eastAsia="仿宋"/>
          <w:b w:val="0"/>
          <w:bCs w:val="0"/>
          <w:color w:val="000000"/>
          <w:sz w:val="32"/>
          <w:szCs w:val="32"/>
          <w:lang w:val="en-US" w:eastAsia="zh-CN"/>
        </w:rPr>
        <w:t>100</w:t>
      </w:r>
      <w:r>
        <w:rPr>
          <w:rStyle w:val="18"/>
          <w:rFonts w:ascii="仿宋" w:hAnsi="仿宋" w:eastAsia="仿宋"/>
          <w:b w:val="0"/>
          <w:bCs w:val="0"/>
          <w:color w:val="000000"/>
          <w:sz w:val="32"/>
          <w:szCs w:val="32"/>
        </w:rPr>
        <w:t>%</w:t>
      </w:r>
      <w:r>
        <w:rPr>
          <w:rStyle w:val="18"/>
          <w:rFonts w:hint="eastAsia" w:ascii="仿宋" w:hAnsi="仿宋" w:eastAsia="仿宋"/>
          <w:b w:val="0"/>
          <w:bCs w:val="0"/>
          <w:color w:val="000000"/>
          <w:sz w:val="32"/>
          <w:szCs w:val="32"/>
        </w:rPr>
        <w:t>。其中：</w:t>
      </w:r>
    </w:p>
    <w:p>
      <w:pPr>
        <w:pageBreakBefore w:val="0"/>
        <w:kinsoku/>
        <w:wordWrap/>
        <w:overflowPunct/>
        <w:topLinePunct w:val="0"/>
        <w:bidi w:val="0"/>
        <w:spacing w:line="556" w:lineRule="exact"/>
        <w:ind w:left="0" w:leftChars="0" w:right="0" w:firstLine="640" w:firstLineChars="200"/>
        <w:rPr>
          <w:rStyle w:val="18"/>
          <w:rFonts w:hint="eastAsia" w:ascii="仿宋" w:hAnsi="仿宋" w:eastAsia="仿宋"/>
          <w:b w:val="0"/>
          <w:bCs w:val="0"/>
          <w:color w:val="000000"/>
          <w:sz w:val="32"/>
          <w:szCs w:val="32"/>
          <w:lang w:eastAsia="zh-CN"/>
        </w:rPr>
      </w:pPr>
      <w:r>
        <w:rPr>
          <w:rStyle w:val="18"/>
          <w:rFonts w:ascii="仿宋" w:hAnsi="仿宋" w:eastAsia="仿宋"/>
          <w:b w:val="0"/>
          <w:bCs w:val="0"/>
          <w:color w:val="000000"/>
          <w:sz w:val="32"/>
          <w:szCs w:val="32"/>
        </w:rPr>
        <w:t>1</w:t>
      </w:r>
      <w:r>
        <w:rPr>
          <w:rStyle w:val="18"/>
          <w:rFonts w:hint="eastAsia" w:ascii="仿宋" w:hAnsi="仿宋" w:eastAsia="仿宋"/>
          <w:b w:val="0"/>
          <w:bCs w:val="0"/>
          <w:color w:val="000000"/>
          <w:sz w:val="32"/>
          <w:szCs w:val="32"/>
          <w:lang w:eastAsia="zh-CN"/>
        </w:rPr>
        <w:t>、公共安全支出</w:t>
      </w:r>
      <w:r>
        <w:rPr>
          <w:rStyle w:val="18"/>
          <w:rFonts w:hint="eastAsia" w:ascii="仿宋" w:hAnsi="仿宋" w:eastAsia="仿宋"/>
          <w:b w:val="0"/>
          <w:bCs w:val="0"/>
          <w:color w:val="000000"/>
          <w:sz w:val="32"/>
          <w:szCs w:val="32"/>
        </w:rPr>
        <w:t>（类）</w:t>
      </w:r>
      <w:r>
        <w:rPr>
          <w:rStyle w:val="18"/>
          <w:rFonts w:hint="eastAsia" w:ascii="仿宋" w:hAnsi="仿宋" w:eastAsia="仿宋"/>
          <w:b w:val="0"/>
          <w:bCs w:val="0"/>
          <w:color w:val="000000"/>
          <w:sz w:val="32"/>
          <w:szCs w:val="32"/>
          <w:lang w:eastAsia="zh-CN"/>
        </w:rPr>
        <w:t>公安</w:t>
      </w:r>
      <w:r>
        <w:rPr>
          <w:rStyle w:val="18"/>
          <w:rFonts w:hint="eastAsia" w:ascii="仿宋" w:hAnsi="仿宋" w:eastAsia="仿宋"/>
          <w:b w:val="0"/>
          <w:bCs w:val="0"/>
          <w:color w:val="000000"/>
          <w:sz w:val="32"/>
          <w:szCs w:val="32"/>
        </w:rPr>
        <w:t>（款）</w:t>
      </w:r>
      <w:r>
        <w:rPr>
          <w:rStyle w:val="18"/>
          <w:rFonts w:hint="eastAsia" w:ascii="仿宋" w:hAnsi="仿宋" w:eastAsia="仿宋"/>
          <w:b w:val="0"/>
          <w:bCs w:val="0"/>
          <w:color w:val="000000"/>
          <w:sz w:val="32"/>
          <w:szCs w:val="32"/>
          <w:lang w:eastAsia="zh-CN"/>
        </w:rPr>
        <w:t>行政运行</w:t>
      </w:r>
      <w:r>
        <w:rPr>
          <w:rStyle w:val="18"/>
          <w:rFonts w:hint="eastAsia" w:ascii="仿宋" w:hAnsi="仿宋" w:eastAsia="仿宋"/>
          <w:b w:val="0"/>
          <w:bCs w:val="0"/>
          <w:color w:val="000000"/>
          <w:sz w:val="32"/>
          <w:szCs w:val="32"/>
          <w:lang w:val="en-US" w:eastAsia="zh-CN"/>
        </w:rPr>
        <w:t>(项)：</w:t>
      </w:r>
      <w:r>
        <w:rPr>
          <w:rStyle w:val="18"/>
          <w:rFonts w:hint="eastAsia" w:ascii="仿宋" w:hAnsi="仿宋" w:eastAsia="仿宋"/>
          <w:b w:val="0"/>
          <w:bCs w:val="0"/>
          <w:color w:val="000000"/>
          <w:sz w:val="32"/>
          <w:szCs w:val="32"/>
        </w:rPr>
        <w:t>支出决算为</w:t>
      </w:r>
      <w:r>
        <w:rPr>
          <w:rStyle w:val="18"/>
          <w:rFonts w:hint="eastAsia" w:ascii="仿宋" w:hAnsi="仿宋" w:eastAsia="仿宋"/>
          <w:b w:val="0"/>
          <w:bCs w:val="0"/>
          <w:color w:val="000000"/>
          <w:sz w:val="32"/>
          <w:szCs w:val="32"/>
          <w:lang w:val="en-US" w:eastAsia="zh-CN"/>
        </w:rPr>
        <w:t>302.62</w:t>
      </w:r>
      <w:r>
        <w:rPr>
          <w:rStyle w:val="18"/>
          <w:rFonts w:hint="eastAsia" w:ascii="仿宋" w:hAnsi="仿宋" w:eastAsia="仿宋"/>
          <w:b w:val="0"/>
          <w:bCs w:val="0"/>
          <w:color w:val="000000"/>
          <w:sz w:val="32"/>
          <w:szCs w:val="32"/>
        </w:rPr>
        <w:t>万元，完成预算</w:t>
      </w:r>
      <w:r>
        <w:rPr>
          <w:rStyle w:val="18"/>
          <w:rFonts w:hint="eastAsia" w:ascii="仿宋" w:hAnsi="仿宋" w:eastAsia="仿宋"/>
          <w:b w:val="0"/>
          <w:bCs w:val="0"/>
          <w:color w:val="000000"/>
          <w:sz w:val="32"/>
          <w:szCs w:val="32"/>
          <w:lang w:val="en-US" w:eastAsia="zh-CN"/>
        </w:rPr>
        <w:t>100</w:t>
      </w:r>
      <w:r>
        <w:rPr>
          <w:rStyle w:val="18"/>
          <w:rFonts w:ascii="仿宋" w:hAnsi="仿宋" w:eastAsia="仿宋"/>
          <w:b w:val="0"/>
          <w:bCs w:val="0"/>
          <w:color w:val="000000"/>
          <w:sz w:val="32"/>
          <w:szCs w:val="32"/>
        </w:rPr>
        <w:t>%</w:t>
      </w:r>
      <w:r>
        <w:rPr>
          <w:rStyle w:val="18"/>
          <w:rFonts w:hint="eastAsia" w:ascii="仿宋" w:hAnsi="仿宋" w:eastAsia="仿宋"/>
          <w:b w:val="0"/>
          <w:bCs w:val="0"/>
          <w:color w:val="000000"/>
          <w:sz w:val="32"/>
          <w:szCs w:val="32"/>
          <w:lang w:eastAsia="zh-CN"/>
        </w:rPr>
        <w:t>。</w:t>
      </w:r>
    </w:p>
    <w:p>
      <w:pPr>
        <w:pageBreakBefore w:val="0"/>
        <w:kinsoku/>
        <w:wordWrap/>
        <w:overflowPunct/>
        <w:topLinePunct w:val="0"/>
        <w:bidi w:val="0"/>
        <w:spacing w:line="556" w:lineRule="exact"/>
        <w:ind w:left="0" w:leftChars="0" w:right="0" w:firstLine="640" w:firstLineChars="200"/>
        <w:rPr>
          <w:rStyle w:val="18"/>
          <w:rFonts w:hint="eastAsia" w:ascii="仿宋" w:hAnsi="仿宋" w:eastAsia="仿宋"/>
          <w:b w:val="0"/>
          <w:bCs w:val="0"/>
          <w:color w:val="000000"/>
          <w:sz w:val="32"/>
          <w:szCs w:val="32"/>
          <w:lang w:eastAsia="zh-CN"/>
        </w:rPr>
      </w:pPr>
      <w:r>
        <w:rPr>
          <w:rStyle w:val="18"/>
          <w:rFonts w:hint="eastAsia" w:ascii="仿宋" w:hAnsi="仿宋" w:eastAsia="仿宋"/>
          <w:b w:val="0"/>
          <w:bCs w:val="0"/>
          <w:color w:val="000000"/>
          <w:sz w:val="32"/>
          <w:szCs w:val="32"/>
          <w:lang w:val="en-US" w:eastAsia="zh-CN"/>
        </w:rPr>
        <w:t>2、</w:t>
      </w:r>
      <w:r>
        <w:rPr>
          <w:rStyle w:val="18"/>
          <w:rFonts w:hint="eastAsia" w:ascii="仿宋" w:hAnsi="仿宋" w:eastAsia="仿宋"/>
          <w:b w:val="0"/>
          <w:bCs w:val="0"/>
          <w:color w:val="000000"/>
          <w:sz w:val="32"/>
          <w:szCs w:val="32"/>
          <w:lang w:eastAsia="zh-CN"/>
        </w:rPr>
        <w:t>公共安全支出</w:t>
      </w:r>
      <w:r>
        <w:rPr>
          <w:rStyle w:val="18"/>
          <w:rFonts w:hint="eastAsia" w:ascii="仿宋" w:hAnsi="仿宋" w:eastAsia="仿宋"/>
          <w:b w:val="0"/>
          <w:bCs w:val="0"/>
          <w:color w:val="000000"/>
          <w:sz w:val="32"/>
          <w:szCs w:val="32"/>
        </w:rPr>
        <w:t>（类）</w:t>
      </w:r>
      <w:r>
        <w:rPr>
          <w:rStyle w:val="18"/>
          <w:rFonts w:hint="eastAsia" w:ascii="仿宋" w:hAnsi="仿宋" w:eastAsia="仿宋"/>
          <w:b w:val="0"/>
          <w:bCs w:val="0"/>
          <w:color w:val="000000"/>
          <w:sz w:val="32"/>
          <w:szCs w:val="32"/>
          <w:lang w:eastAsia="zh-CN"/>
        </w:rPr>
        <w:t>公安</w:t>
      </w:r>
      <w:r>
        <w:rPr>
          <w:rStyle w:val="18"/>
          <w:rFonts w:hint="eastAsia" w:ascii="仿宋" w:hAnsi="仿宋" w:eastAsia="仿宋"/>
          <w:b w:val="0"/>
          <w:bCs w:val="0"/>
          <w:color w:val="000000"/>
          <w:sz w:val="32"/>
          <w:szCs w:val="32"/>
        </w:rPr>
        <w:t>（款）</w:t>
      </w:r>
      <w:r>
        <w:rPr>
          <w:rStyle w:val="18"/>
          <w:rFonts w:hint="eastAsia" w:ascii="仿宋" w:hAnsi="仿宋" w:eastAsia="仿宋"/>
          <w:b w:val="0"/>
          <w:bCs w:val="0"/>
          <w:color w:val="000000"/>
          <w:sz w:val="32"/>
          <w:szCs w:val="32"/>
          <w:lang w:eastAsia="zh-CN"/>
        </w:rPr>
        <w:t>一般行政管理事务</w:t>
      </w:r>
      <w:r>
        <w:rPr>
          <w:rStyle w:val="18"/>
          <w:rFonts w:hint="eastAsia" w:ascii="仿宋" w:hAnsi="仿宋" w:eastAsia="仿宋"/>
          <w:b w:val="0"/>
          <w:bCs w:val="0"/>
          <w:color w:val="000000"/>
          <w:sz w:val="32"/>
          <w:szCs w:val="32"/>
          <w:lang w:val="en-US" w:eastAsia="zh-CN"/>
        </w:rPr>
        <w:t>(项)：</w:t>
      </w:r>
      <w:r>
        <w:rPr>
          <w:rStyle w:val="18"/>
          <w:rFonts w:hint="eastAsia" w:ascii="仿宋" w:hAnsi="仿宋" w:eastAsia="仿宋"/>
          <w:b w:val="0"/>
          <w:bCs w:val="0"/>
          <w:color w:val="000000"/>
          <w:sz w:val="32"/>
          <w:szCs w:val="32"/>
          <w:lang w:eastAsia="zh-CN"/>
        </w:rPr>
        <w:t>支出决算</w:t>
      </w:r>
      <w:r>
        <w:rPr>
          <w:rStyle w:val="18"/>
          <w:rFonts w:hint="eastAsia" w:ascii="仿宋" w:hAnsi="仿宋" w:eastAsia="仿宋"/>
          <w:b w:val="0"/>
          <w:bCs w:val="0"/>
          <w:color w:val="000000"/>
          <w:sz w:val="32"/>
          <w:szCs w:val="32"/>
          <w:lang w:val="en-US" w:eastAsia="zh-CN"/>
        </w:rPr>
        <w:t>14.5万元，</w:t>
      </w:r>
      <w:r>
        <w:rPr>
          <w:rStyle w:val="18"/>
          <w:rFonts w:hint="eastAsia" w:ascii="仿宋" w:hAnsi="仿宋" w:eastAsia="仿宋"/>
          <w:b w:val="0"/>
          <w:bCs w:val="0"/>
          <w:color w:val="000000"/>
          <w:sz w:val="32"/>
          <w:szCs w:val="32"/>
        </w:rPr>
        <w:t>完成预算</w:t>
      </w:r>
      <w:r>
        <w:rPr>
          <w:rStyle w:val="18"/>
          <w:rFonts w:hint="eastAsia" w:ascii="仿宋" w:hAnsi="仿宋" w:eastAsia="仿宋"/>
          <w:b w:val="0"/>
          <w:bCs w:val="0"/>
          <w:color w:val="000000"/>
          <w:sz w:val="32"/>
          <w:szCs w:val="32"/>
          <w:lang w:val="en-US" w:eastAsia="zh-CN"/>
        </w:rPr>
        <w:t>100</w:t>
      </w:r>
      <w:r>
        <w:rPr>
          <w:rStyle w:val="18"/>
          <w:rFonts w:ascii="仿宋" w:hAnsi="仿宋" w:eastAsia="仿宋"/>
          <w:b w:val="0"/>
          <w:bCs w:val="0"/>
          <w:color w:val="000000"/>
          <w:sz w:val="32"/>
          <w:szCs w:val="32"/>
        </w:rPr>
        <w:t>%</w:t>
      </w:r>
      <w:r>
        <w:rPr>
          <w:rStyle w:val="18"/>
          <w:rFonts w:hint="eastAsia" w:ascii="仿宋" w:hAnsi="仿宋" w:eastAsia="仿宋"/>
          <w:b w:val="0"/>
          <w:bCs w:val="0"/>
          <w:color w:val="000000"/>
          <w:sz w:val="32"/>
          <w:szCs w:val="32"/>
          <w:lang w:eastAsia="zh-CN"/>
        </w:rPr>
        <w:t>。</w:t>
      </w:r>
    </w:p>
    <w:p>
      <w:pPr>
        <w:pageBreakBefore w:val="0"/>
        <w:kinsoku/>
        <w:wordWrap/>
        <w:overflowPunct/>
        <w:topLinePunct w:val="0"/>
        <w:bidi w:val="0"/>
        <w:spacing w:line="556" w:lineRule="exact"/>
        <w:ind w:left="0" w:leftChars="0" w:right="0" w:firstLine="640" w:firstLineChars="200"/>
        <w:rPr>
          <w:rStyle w:val="18"/>
          <w:rFonts w:hint="eastAsia" w:ascii="仿宋" w:hAnsi="仿宋" w:eastAsia="仿宋"/>
          <w:b w:val="0"/>
          <w:bCs w:val="0"/>
          <w:color w:val="000000"/>
          <w:sz w:val="32"/>
          <w:szCs w:val="32"/>
          <w:lang w:eastAsia="zh-CN"/>
        </w:rPr>
      </w:pPr>
      <w:r>
        <w:rPr>
          <w:rStyle w:val="18"/>
          <w:rFonts w:hint="eastAsia" w:ascii="仿宋" w:hAnsi="仿宋" w:eastAsia="仿宋"/>
          <w:b w:val="0"/>
          <w:bCs w:val="0"/>
          <w:color w:val="000000"/>
          <w:sz w:val="32"/>
          <w:szCs w:val="32"/>
          <w:lang w:val="en-US" w:eastAsia="zh-CN"/>
        </w:rPr>
        <w:t>3、</w:t>
      </w:r>
      <w:r>
        <w:rPr>
          <w:rStyle w:val="18"/>
          <w:rFonts w:hint="eastAsia" w:ascii="仿宋" w:hAnsi="仿宋" w:eastAsia="仿宋"/>
          <w:b w:val="0"/>
          <w:bCs w:val="0"/>
          <w:color w:val="000000"/>
          <w:sz w:val="32"/>
          <w:szCs w:val="32"/>
          <w:lang w:eastAsia="zh-CN"/>
        </w:rPr>
        <w:t>公共安全支出</w:t>
      </w:r>
      <w:r>
        <w:rPr>
          <w:rStyle w:val="18"/>
          <w:rFonts w:hint="eastAsia" w:ascii="仿宋" w:hAnsi="仿宋" w:eastAsia="仿宋"/>
          <w:b w:val="0"/>
          <w:bCs w:val="0"/>
          <w:color w:val="000000"/>
          <w:sz w:val="32"/>
          <w:szCs w:val="32"/>
        </w:rPr>
        <w:t>（类）</w:t>
      </w:r>
      <w:r>
        <w:rPr>
          <w:rStyle w:val="18"/>
          <w:rFonts w:hint="eastAsia" w:ascii="仿宋" w:hAnsi="仿宋" w:eastAsia="仿宋"/>
          <w:b w:val="0"/>
          <w:bCs w:val="0"/>
          <w:color w:val="000000"/>
          <w:sz w:val="32"/>
          <w:szCs w:val="32"/>
          <w:lang w:eastAsia="zh-CN"/>
        </w:rPr>
        <w:t>公安</w:t>
      </w:r>
      <w:r>
        <w:rPr>
          <w:rStyle w:val="18"/>
          <w:rFonts w:hint="eastAsia" w:ascii="仿宋" w:hAnsi="仿宋" w:eastAsia="仿宋"/>
          <w:b w:val="0"/>
          <w:bCs w:val="0"/>
          <w:color w:val="000000"/>
          <w:sz w:val="32"/>
          <w:szCs w:val="32"/>
        </w:rPr>
        <w:t>（款）</w:t>
      </w:r>
      <w:r>
        <w:rPr>
          <w:rStyle w:val="18"/>
          <w:rFonts w:hint="eastAsia" w:ascii="仿宋" w:hAnsi="仿宋" w:eastAsia="仿宋"/>
          <w:b w:val="0"/>
          <w:bCs w:val="0"/>
          <w:color w:val="000000"/>
          <w:sz w:val="32"/>
          <w:szCs w:val="32"/>
          <w:lang w:eastAsia="zh-CN"/>
        </w:rPr>
        <w:t>信息化建设</w:t>
      </w:r>
      <w:r>
        <w:rPr>
          <w:rStyle w:val="18"/>
          <w:rFonts w:hint="eastAsia" w:ascii="仿宋" w:hAnsi="仿宋" w:eastAsia="仿宋"/>
          <w:b w:val="0"/>
          <w:bCs w:val="0"/>
          <w:color w:val="000000"/>
          <w:sz w:val="32"/>
          <w:szCs w:val="32"/>
          <w:lang w:val="en-US" w:eastAsia="zh-CN"/>
        </w:rPr>
        <w:t>(项)：支出决算为120.77万元，</w:t>
      </w:r>
      <w:r>
        <w:rPr>
          <w:rStyle w:val="18"/>
          <w:rFonts w:hint="eastAsia" w:ascii="仿宋" w:hAnsi="仿宋" w:eastAsia="仿宋"/>
          <w:b w:val="0"/>
          <w:bCs w:val="0"/>
          <w:color w:val="000000"/>
          <w:sz w:val="32"/>
          <w:szCs w:val="32"/>
        </w:rPr>
        <w:t>完成预算</w:t>
      </w:r>
      <w:r>
        <w:rPr>
          <w:rStyle w:val="18"/>
          <w:rFonts w:hint="eastAsia" w:ascii="仿宋" w:hAnsi="仿宋" w:eastAsia="仿宋"/>
          <w:b w:val="0"/>
          <w:bCs w:val="0"/>
          <w:color w:val="000000"/>
          <w:sz w:val="32"/>
          <w:szCs w:val="32"/>
          <w:lang w:val="en-US" w:eastAsia="zh-CN"/>
        </w:rPr>
        <w:t>100</w:t>
      </w:r>
      <w:r>
        <w:rPr>
          <w:rStyle w:val="18"/>
          <w:rFonts w:ascii="仿宋" w:hAnsi="仿宋" w:eastAsia="仿宋"/>
          <w:b w:val="0"/>
          <w:bCs w:val="0"/>
          <w:color w:val="000000"/>
          <w:sz w:val="32"/>
          <w:szCs w:val="32"/>
        </w:rPr>
        <w:t>%</w:t>
      </w:r>
      <w:r>
        <w:rPr>
          <w:rStyle w:val="18"/>
          <w:rFonts w:hint="eastAsia" w:ascii="仿宋" w:hAnsi="仿宋" w:eastAsia="仿宋"/>
          <w:b w:val="0"/>
          <w:bCs w:val="0"/>
          <w:color w:val="000000"/>
          <w:sz w:val="32"/>
          <w:szCs w:val="32"/>
          <w:lang w:eastAsia="zh-CN"/>
        </w:rPr>
        <w:t>。</w:t>
      </w:r>
    </w:p>
    <w:p>
      <w:pPr>
        <w:pageBreakBefore w:val="0"/>
        <w:kinsoku/>
        <w:wordWrap/>
        <w:overflowPunct/>
        <w:topLinePunct w:val="0"/>
        <w:bidi w:val="0"/>
        <w:spacing w:line="556" w:lineRule="exact"/>
        <w:ind w:left="0" w:leftChars="0" w:right="0" w:firstLine="640" w:firstLineChars="200"/>
        <w:rPr>
          <w:rStyle w:val="18"/>
          <w:rFonts w:hint="eastAsia" w:ascii="仿宋" w:hAnsi="仿宋" w:eastAsia="仿宋"/>
          <w:b w:val="0"/>
          <w:bCs w:val="0"/>
          <w:color w:val="000000"/>
          <w:sz w:val="32"/>
          <w:szCs w:val="32"/>
          <w:lang w:eastAsia="zh-CN"/>
        </w:rPr>
      </w:pPr>
      <w:r>
        <w:rPr>
          <w:rStyle w:val="18"/>
          <w:rFonts w:hint="eastAsia" w:ascii="仿宋" w:hAnsi="仿宋" w:eastAsia="仿宋"/>
          <w:b w:val="0"/>
          <w:bCs w:val="0"/>
          <w:color w:val="000000"/>
          <w:sz w:val="32"/>
          <w:szCs w:val="32"/>
          <w:lang w:val="en-US" w:eastAsia="zh-CN"/>
        </w:rPr>
        <w:t>4、</w:t>
      </w:r>
      <w:r>
        <w:rPr>
          <w:rStyle w:val="18"/>
          <w:rFonts w:hint="eastAsia" w:ascii="仿宋" w:hAnsi="仿宋" w:eastAsia="仿宋"/>
          <w:b w:val="0"/>
          <w:bCs w:val="0"/>
          <w:color w:val="000000"/>
          <w:sz w:val="32"/>
          <w:szCs w:val="32"/>
          <w:lang w:eastAsia="zh-CN"/>
        </w:rPr>
        <w:t>公共安全支出</w:t>
      </w:r>
      <w:r>
        <w:rPr>
          <w:rStyle w:val="18"/>
          <w:rFonts w:hint="eastAsia" w:ascii="仿宋" w:hAnsi="仿宋" w:eastAsia="仿宋"/>
          <w:b w:val="0"/>
          <w:bCs w:val="0"/>
          <w:color w:val="000000"/>
          <w:sz w:val="32"/>
          <w:szCs w:val="32"/>
        </w:rPr>
        <w:t>（类）</w:t>
      </w:r>
      <w:r>
        <w:rPr>
          <w:rStyle w:val="18"/>
          <w:rFonts w:hint="eastAsia" w:ascii="仿宋" w:hAnsi="仿宋" w:eastAsia="仿宋"/>
          <w:b w:val="0"/>
          <w:bCs w:val="0"/>
          <w:color w:val="000000"/>
          <w:sz w:val="32"/>
          <w:szCs w:val="32"/>
          <w:lang w:eastAsia="zh-CN"/>
        </w:rPr>
        <w:t>公安</w:t>
      </w:r>
      <w:r>
        <w:rPr>
          <w:rStyle w:val="18"/>
          <w:rFonts w:hint="eastAsia" w:ascii="仿宋" w:hAnsi="仿宋" w:eastAsia="仿宋"/>
          <w:b w:val="0"/>
          <w:bCs w:val="0"/>
          <w:color w:val="000000"/>
          <w:sz w:val="32"/>
          <w:szCs w:val="32"/>
        </w:rPr>
        <w:t>（款）</w:t>
      </w:r>
      <w:r>
        <w:rPr>
          <w:rStyle w:val="18"/>
          <w:rFonts w:hint="eastAsia" w:ascii="仿宋" w:hAnsi="仿宋" w:eastAsia="仿宋"/>
          <w:b w:val="0"/>
          <w:bCs w:val="0"/>
          <w:color w:val="000000"/>
          <w:sz w:val="32"/>
          <w:szCs w:val="32"/>
          <w:lang w:eastAsia="zh-CN"/>
        </w:rPr>
        <w:t>其他公安支出</w:t>
      </w:r>
      <w:r>
        <w:rPr>
          <w:rStyle w:val="18"/>
          <w:rFonts w:hint="eastAsia" w:ascii="仿宋" w:hAnsi="仿宋" w:eastAsia="仿宋"/>
          <w:b w:val="0"/>
          <w:bCs w:val="0"/>
          <w:color w:val="000000"/>
          <w:sz w:val="32"/>
          <w:szCs w:val="32"/>
          <w:lang w:val="en-US" w:eastAsia="zh-CN"/>
        </w:rPr>
        <w:t>(项)：支出</w:t>
      </w:r>
      <w:r>
        <w:rPr>
          <w:rStyle w:val="18"/>
          <w:rFonts w:hint="eastAsia" w:ascii="仿宋" w:hAnsi="仿宋" w:eastAsia="仿宋"/>
          <w:b w:val="0"/>
          <w:bCs w:val="0"/>
          <w:color w:val="000000"/>
          <w:sz w:val="32"/>
          <w:szCs w:val="32"/>
          <w:lang w:eastAsia="zh-CN"/>
        </w:rPr>
        <w:t>决算为</w:t>
      </w:r>
      <w:r>
        <w:rPr>
          <w:rStyle w:val="18"/>
          <w:rFonts w:hint="eastAsia" w:ascii="仿宋" w:hAnsi="仿宋" w:eastAsia="仿宋"/>
          <w:b w:val="0"/>
          <w:bCs w:val="0"/>
          <w:color w:val="000000"/>
          <w:sz w:val="32"/>
          <w:szCs w:val="32"/>
          <w:lang w:val="en-US" w:eastAsia="zh-CN"/>
        </w:rPr>
        <w:t>79.86万元，完成预算100%</w:t>
      </w:r>
      <w:r>
        <w:rPr>
          <w:rStyle w:val="18"/>
          <w:rFonts w:hint="eastAsia" w:ascii="仿宋" w:hAnsi="仿宋" w:eastAsia="仿宋"/>
          <w:b w:val="0"/>
          <w:bCs w:val="0"/>
          <w:color w:val="000000"/>
          <w:sz w:val="32"/>
          <w:szCs w:val="32"/>
          <w:lang w:eastAsia="zh-CN"/>
        </w:rPr>
        <w:t>。</w:t>
      </w:r>
    </w:p>
    <w:p>
      <w:pPr>
        <w:pageBreakBefore w:val="0"/>
        <w:kinsoku/>
        <w:wordWrap/>
        <w:overflowPunct/>
        <w:topLinePunct w:val="0"/>
        <w:bidi w:val="0"/>
        <w:spacing w:line="556" w:lineRule="exact"/>
        <w:ind w:left="0" w:leftChars="0" w:right="0" w:firstLine="640" w:firstLineChars="200"/>
        <w:rPr>
          <w:rStyle w:val="18"/>
          <w:rFonts w:hint="eastAsia" w:ascii="仿宋" w:hAnsi="仿宋" w:eastAsia="仿宋"/>
          <w:b w:val="0"/>
          <w:bCs w:val="0"/>
          <w:color w:val="000000"/>
          <w:sz w:val="32"/>
          <w:szCs w:val="32"/>
          <w:lang w:val="en-US" w:eastAsia="zh-CN"/>
        </w:rPr>
      </w:pPr>
      <w:r>
        <w:rPr>
          <w:rStyle w:val="18"/>
          <w:rFonts w:hint="eastAsia" w:ascii="仿宋" w:hAnsi="仿宋" w:eastAsia="仿宋"/>
          <w:b w:val="0"/>
          <w:bCs w:val="0"/>
          <w:color w:val="000000"/>
          <w:sz w:val="32"/>
          <w:szCs w:val="32"/>
          <w:lang w:val="en-US" w:eastAsia="zh-CN"/>
        </w:rPr>
        <w:t>5、</w:t>
      </w:r>
      <w:r>
        <w:rPr>
          <w:rStyle w:val="18"/>
          <w:rFonts w:hint="eastAsia" w:ascii="仿宋" w:hAnsi="仿宋" w:eastAsia="仿宋"/>
          <w:b w:val="0"/>
          <w:bCs w:val="0"/>
          <w:color w:val="000000"/>
          <w:sz w:val="32"/>
          <w:szCs w:val="32"/>
          <w:lang w:eastAsia="zh-CN"/>
        </w:rPr>
        <w:t>公共安全支出</w:t>
      </w:r>
      <w:r>
        <w:rPr>
          <w:rStyle w:val="18"/>
          <w:rFonts w:hint="eastAsia" w:ascii="仿宋" w:hAnsi="仿宋" w:eastAsia="仿宋"/>
          <w:b w:val="0"/>
          <w:bCs w:val="0"/>
          <w:color w:val="000000"/>
          <w:sz w:val="32"/>
          <w:szCs w:val="32"/>
        </w:rPr>
        <w:t>（类）</w:t>
      </w:r>
      <w:r>
        <w:rPr>
          <w:rStyle w:val="18"/>
          <w:rFonts w:hint="eastAsia" w:ascii="仿宋" w:hAnsi="仿宋" w:eastAsia="仿宋"/>
          <w:b w:val="0"/>
          <w:bCs w:val="0"/>
          <w:color w:val="000000"/>
          <w:sz w:val="32"/>
          <w:szCs w:val="32"/>
          <w:lang w:eastAsia="zh-CN"/>
        </w:rPr>
        <w:t>公安</w:t>
      </w:r>
      <w:r>
        <w:rPr>
          <w:rStyle w:val="18"/>
          <w:rFonts w:hint="eastAsia" w:ascii="仿宋" w:hAnsi="仿宋" w:eastAsia="仿宋"/>
          <w:b w:val="0"/>
          <w:bCs w:val="0"/>
          <w:color w:val="000000"/>
          <w:sz w:val="32"/>
          <w:szCs w:val="32"/>
        </w:rPr>
        <w:t>（款）</w:t>
      </w:r>
      <w:r>
        <w:rPr>
          <w:rStyle w:val="18"/>
          <w:rFonts w:hint="eastAsia" w:ascii="仿宋" w:hAnsi="仿宋" w:eastAsia="仿宋"/>
          <w:b w:val="0"/>
          <w:bCs w:val="0"/>
          <w:color w:val="000000"/>
          <w:sz w:val="32"/>
          <w:szCs w:val="32"/>
          <w:lang w:eastAsia="zh-CN"/>
        </w:rPr>
        <w:t>事业运行</w:t>
      </w:r>
      <w:r>
        <w:rPr>
          <w:rStyle w:val="18"/>
          <w:rFonts w:hint="eastAsia" w:ascii="仿宋" w:hAnsi="仿宋" w:eastAsia="仿宋"/>
          <w:b w:val="0"/>
          <w:bCs w:val="0"/>
          <w:color w:val="000000"/>
          <w:sz w:val="32"/>
          <w:szCs w:val="32"/>
          <w:lang w:val="en-US" w:eastAsia="zh-CN"/>
        </w:rPr>
        <w:t>(项)：</w:t>
      </w:r>
      <w:r>
        <w:rPr>
          <w:rStyle w:val="18"/>
          <w:rFonts w:hint="eastAsia" w:ascii="仿宋" w:hAnsi="仿宋" w:eastAsia="仿宋"/>
          <w:b w:val="0"/>
          <w:bCs w:val="0"/>
          <w:color w:val="000000"/>
          <w:sz w:val="32"/>
          <w:szCs w:val="32"/>
          <w:lang w:eastAsia="zh-CN"/>
        </w:rPr>
        <w:t>出决算</w:t>
      </w:r>
      <w:r>
        <w:rPr>
          <w:rStyle w:val="18"/>
          <w:rFonts w:hint="eastAsia" w:ascii="仿宋" w:hAnsi="仿宋" w:eastAsia="仿宋"/>
          <w:b w:val="0"/>
          <w:bCs w:val="0"/>
          <w:color w:val="000000"/>
          <w:sz w:val="32"/>
          <w:szCs w:val="32"/>
          <w:lang w:val="en-US" w:eastAsia="zh-CN"/>
        </w:rPr>
        <w:t>66.01万元，完成预算100%。</w:t>
      </w:r>
    </w:p>
    <w:p>
      <w:pPr>
        <w:pageBreakBefore w:val="0"/>
        <w:kinsoku/>
        <w:wordWrap/>
        <w:overflowPunct/>
        <w:topLinePunct w:val="0"/>
        <w:bidi w:val="0"/>
        <w:spacing w:line="556" w:lineRule="exact"/>
        <w:ind w:left="0" w:right="0" w:firstLine="640" w:firstLineChars="200"/>
        <w:textAlignment w:val="auto"/>
        <w:rPr>
          <w:rFonts w:ascii="仿宋" w:hAnsi="仿宋" w:eastAsia="仿宋"/>
          <w:b w:val="0"/>
          <w:bCs w:val="0"/>
          <w:color w:val="000000"/>
          <w:sz w:val="32"/>
          <w:szCs w:val="32"/>
        </w:rPr>
      </w:pPr>
      <w:r>
        <w:rPr>
          <w:rStyle w:val="18"/>
          <w:rFonts w:hint="eastAsia" w:ascii="仿宋" w:hAnsi="仿宋" w:eastAsia="仿宋"/>
          <w:b w:val="0"/>
          <w:bCs w:val="0"/>
          <w:color w:val="000000"/>
          <w:sz w:val="32"/>
          <w:szCs w:val="32"/>
          <w:lang w:val="en-US" w:eastAsia="zh-CN"/>
        </w:rPr>
        <w:t>6、</w:t>
      </w:r>
      <w:r>
        <w:rPr>
          <w:rStyle w:val="18"/>
          <w:rFonts w:hint="eastAsia" w:ascii="仿宋" w:hAnsi="仿宋" w:eastAsia="仿宋" w:cs="仿宋"/>
          <w:b w:val="0"/>
          <w:bCs w:val="0"/>
          <w:color w:val="000000"/>
          <w:sz w:val="32"/>
          <w:szCs w:val="32"/>
        </w:rPr>
        <w:t>社会保障和就业（类）</w:t>
      </w:r>
      <w:r>
        <w:rPr>
          <w:rStyle w:val="18"/>
          <w:rFonts w:hint="eastAsia" w:ascii="仿宋" w:hAnsi="仿宋" w:eastAsia="仿宋" w:cs="仿宋"/>
          <w:b w:val="0"/>
          <w:bCs w:val="0"/>
          <w:color w:val="000000"/>
          <w:sz w:val="32"/>
          <w:szCs w:val="32"/>
          <w:lang w:eastAsia="zh-CN"/>
        </w:rPr>
        <w:t>行政事业单位离退休</w:t>
      </w:r>
      <w:r>
        <w:rPr>
          <w:rStyle w:val="18"/>
          <w:rFonts w:hint="eastAsia" w:ascii="仿宋" w:hAnsi="仿宋" w:eastAsia="仿宋" w:cs="仿宋"/>
          <w:b w:val="0"/>
          <w:bCs w:val="0"/>
          <w:color w:val="000000"/>
          <w:sz w:val="32"/>
          <w:szCs w:val="32"/>
        </w:rPr>
        <w:t>（款）</w:t>
      </w:r>
      <w:r>
        <w:rPr>
          <w:rStyle w:val="18"/>
          <w:rFonts w:hint="eastAsia" w:ascii="仿宋" w:hAnsi="仿宋" w:eastAsia="仿宋" w:cs="仿宋"/>
          <w:b w:val="0"/>
          <w:bCs w:val="0"/>
          <w:color w:val="000000"/>
          <w:sz w:val="32"/>
          <w:szCs w:val="32"/>
          <w:lang w:eastAsia="zh-CN"/>
        </w:rPr>
        <w:t>机关事业单位基本养老保险缴费支出</w:t>
      </w:r>
      <w:r>
        <w:rPr>
          <w:rStyle w:val="18"/>
          <w:rFonts w:hint="eastAsia" w:ascii="仿宋" w:hAnsi="仿宋" w:eastAsia="仿宋" w:cs="仿宋"/>
          <w:b w:val="0"/>
          <w:bCs w:val="0"/>
          <w:color w:val="000000"/>
          <w:sz w:val="32"/>
          <w:szCs w:val="32"/>
        </w:rPr>
        <w:t>（项）</w:t>
      </w:r>
      <w:r>
        <w:rPr>
          <w:rStyle w:val="18"/>
          <w:rFonts w:ascii="仿宋" w:hAnsi="仿宋" w:eastAsia="仿宋" w:cs="仿宋"/>
          <w:b w:val="0"/>
          <w:bCs w:val="0"/>
          <w:color w:val="000000"/>
          <w:sz w:val="32"/>
          <w:szCs w:val="32"/>
        </w:rPr>
        <w:t xml:space="preserve">: </w:t>
      </w:r>
      <w:r>
        <w:rPr>
          <w:rStyle w:val="18"/>
          <w:rFonts w:hint="eastAsia" w:ascii="仿宋" w:hAnsi="仿宋" w:eastAsia="仿宋" w:cs="仿宋"/>
          <w:b w:val="0"/>
          <w:bCs w:val="0"/>
          <w:color w:val="000000"/>
          <w:sz w:val="32"/>
          <w:szCs w:val="32"/>
        </w:rPr>
        <w:t>支出决算为</w:t>
      </w:r>
      <w:r>
        <w:rPr>
          <w:rStyle w:val="18"/>
          <w:rFonts w:hint="eastAsia" w:ascii="仿宋" w:hAnsi="仿宋" w:eastAsia="仿宋" w:cs="仿宋"/>
          <w:b w:val="0"/>
          <w:bCs w:val="0"/>
          <w:color w:val="000000"/>
          <w:sz w:val="32"/>
          <w:szCs w:val="32"/>
          <w:lang w:val="en-US" w:eastAsia="zh-CN"/>
        </w:rPr>
        <w:t>27.50</w:t>
      </w:r>
      <w:r>
        <w:rPr>
          <w:rStyle w:val="18"/>
          <w:rFonts w:hint="eastAsia" w:ascii="仿宋" w:hAnsi="仿宋" w:eastAsia="仿宋" w:cs="仿宋"/>
          <w:b w:val="0"/>
          <w:bCs w:val="0"/>
          <w:color w:val="000000"/>
          <w:sz w:val="32"/>
          <w:szCs w:val="32"/>
        </w:rPr>
        <w:t>万元，完成预算</w:t>
      </w:r>
      <w:r>
        <w:rPr>
          <w:rStyle w:val="18"/>
          <w:rFonts w:hint="eastAsia" w:ascii="仿宋" w:hAnsi="仿宋" w:eastAsia="仿宋" w:cs="仿宋"/>
          <w:b w:val="0"/>
          <w:bCs w:val="0"/>
          <w:color w:val="000000"/>
          <w:sz w:val="32"/>
          <w:szCs w:val="32"/>
          <w:lang w:val="en-US" w:eastAsia="zh-CN"/>
        </w:rPr>
        <w:t>100%</w:t>
      </w:r>
      <w:r>
        <w:rPr>
          <w:rStyle w:val="18"/>
          <w:rFonts w:hint="eastAsia" w:ascii="仿宋" w:hAnsi="仿宋" w:eastAsia="仿宋" w:cs="仿宋"/>
          <w:b w:val="0"/>
          <w:bCs w:val="0"/>
          <w:color w:val="000000"/>
          <w:sz w:val="32"/>
          <w:szCs w:val="32"/>
        </w:rPr>
        <w:t>。</w:t>
      </w:r>
    </w:p>
    <w:p>
      <w:pPr>
        <w:pageBreakBefore w:val="0"/>
        <w:kinsoku/>
        <w:wordWrap/>
        <w:overflowPunct/>
        <w:topLinePunct w:val="0"/>
        <w:bidi w:val="0"/>
        <w:spacing w:line="556" w:lineRule="exact"/>
        <w:ind w:left="0" w:right="0" w:firstLine="640" w:firstLineChars="200"/>
        <w:textAlignment w:val="auto"/>
        <w:rPr>
          <w:rFonts w:ascii="仿宋" w:hAnsi="仿宋" w:eastAsia="仿宋"/>
          <w:b w:val="0"/>
          <w:bCs w:val="0"/>
          <w:color w:val="000000"/>
          <w:sz w:val="32"/>
          <w:szCs w:val="32"/>
        </w:rPr>
      </w:pPr>
      <w:r>
        <w:rPr>
          <w:rStyle w:val="18"/>
          <w:rFonts w:hint="eastAsia" w:ascii="仿宋" w:hAnsi="仿宋" w:eastAsia="仿宋" w:cs="仿宋"/>
          <w:b w:val="0"/>
          <w:bCs w:val="0"/>
          <w:color w:val="000000"/>
          <w:sz w:val="32"/>
          <w:szCs w:val="32"/>
          <w:lang w:val="en-US" w:eastAsia="zh-CN"/>
        </w:rPr>
        <w:t>7</w:t>
      </w:r>
      <w:r>
        <w:rPr>
          <w:rStyle w:val="18"/>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卫生健康</w:t>
      </w:r>
      <w:r>
        <w:rPr>
          <w:rStyle w:val="18"/>
          <w:rFonts w:hint="eastAsia" w:ascii="仿宋" w:hAnsi="仿宋" w:eastAsia="仿宋" w:cs="仿宋"/>
          <w:b w:val="0"/>
          <w:bCs w:val="0"/>
          <w:color w:val="000000"/>
          <w:sz w:val="32"/>
          <w:szCs w:val="32"/>
        </w:rPr>
        <w:t>（类）</w:t>
      </w:r>
      <w:r>
        <w:rPr>
          <w:rStyle w:val="18"/>
          <w:rFonts w:hint="eastAsia" w:ascii="仿宋" w:hAnsi="仿宋" w:eastAsia="仿宋" w:cs="仿宋"/>
          <w:b w:val="0"/>
          <w:bCs w:val="0"/>
          <w:color w:val="000000"/>
          <w:sz w:val="32"/>
          <w:szCs w:val="32"/>
          <w:lang w:eastAsia="zh-CN"/>
        </w:rPr>
        <w:t>行政事业单位医疗</w:t>
      </w:r>
      <w:r>
        <w:rPr>
          <w:rStyle w:val="18"/>
          <w:rFonts w:hint="eastAsia" w:ascii="仿宋" w:hAnsi="仿宋" w:eastAsia="仿宋" w:cs="仿宋"/>
          <w:b w:val="0"/>
          <w:bCs w:val="0"/>
          <w:color w:val="000000"/>
          <w:sz w:val="32"/>
          <w:szCs w:val="32"/>
        </w:rPr>
        <w:t>（款）</w:t>
      </w:r>
      <w:r>
        <w:rPr>
          <w:rStyle w:val="18"/>
          <w:rFonts w:hint="eastAsia" w:ascii="仿宋" w:hAnsi="仿宋" w:eastAsia="仿宋" w:cs="仿宋"/>
          <w:b w:val="0"/>
          <w:bCs w:val="0"/>
          <w:color w:val="000000"/>
          <w:sz w:val="32"/>
          <w:szCs w:val="32"/>
          <w:lang w:eastAsia="zh-CN"/>
        </w:rPr>
        <w:t>行政单位医疗</w:t>
      </w:r>
      <w:r>
        <w:rPr>
          <w:rStyle w:val="18"/>
          <w:rFonts w:hint="eastAsia" w:ascii="仿宋" w:hAnsi="仿宋" w:eastAsia="仿宋" w:cs="仿宋"/>
          <w:b w:val="0"/>
          <w:bCs w:val="0"/>
          <w:color w:val="000000"/>
          <w:sz w:val="32"/>
          <w:szCs w:val="32"/>
        </w:rPr>
        <w:t>（项）</w:t>
      </w:r>
      <w:r>
        <w:rPr>
          <w:rStyle w:val="18"/>
          <w:rFonts w:ascii="仿宋" w:hAnsi="仿宋" w:eastAsia="仿宋" w:cs="仿宋"/>
          <w:b w:val="0"/>
          <w:bCs w:val="0"/>
          <w:color w:val="000000"/>
          <w:sz w:val="32"/>
          <w:szCs w:val="32"/>
        </w:rPr>
        <w:t>:</w:t>
      </w:r>
      <w:r>
        <w:rPr>
          <w:rStyle w:val="18"/>
          <w:rFonts w:hint="eastAsia" w:ascii="仿宋" w:hAnsi="仿宋" w:eastAsia="仿宋" w:cs="仿宋"/>
          <w:b w:val="0"/>
          <w:bCs w:val="0"/>
          <w:color w:val="000000"/>
          <w:sz w:val="32"/>
          <w:szCs w:val="32"/>
        </w:rPr>
        <w:t>支出决算为</w:t>
      </w:r>
      <w:r>
        <w:rPr>
          <w:rStyle w:val="18"/>
          <w:rFonts w:hint="eastAsia" w:ascii="仿宋" w:hAnsi="仿宋" w:eastAsia="仿宋" w:cs="仿宋"/>
          <w:b w:val="0"/>
          <w:bCs w:val="0"/>
          <w:color w:val="000000"/>
          <w:sz w:val="32"/>
          <w:szCs w:val="32"/>
          <w:lang w:val="en-US" w:eastAsia="zh-CN"/>
        </w:rPr>
        <w:t>13.75</w:t>
      </w:r>
      <w:r>
        <w:rPr>
          <w:rStyle w:val="18"/>
          <w:rFonts w:hint="eastAsia" w:ascii="仿宋" w:hAnsi="仿宋" w:eastAsia="仿宋" w:cs="仿宋"/>
          <w:b w:val="0"/>
          <w:bCs w:val="0"/>
          <w:color w:val="000000"/>
          <w:sz w:val="32"/>
          <w:szCs w:val="32"/>
        </w:rPr>
        <w:t>万元，完成预算</w:t>
      </w:r>
      <w:r>
        <w:rPr>
          <w:rStyle w:val="18"/>
          <w:rFonts w:hint="eastAsia" w:ascii="仿宋" w:hAnsi="仿宋" w:eastAsia="仿宋" w:cs="仿宋"/>
          <w:b w:val="0"/>
          <w:bCs w:val="0"/>
          <w:color w:val="000000"/>
          <w:sz w:val="32"/>
          <w:szCs w:val="32"/>
          <w:lang w:val="en-US" w:eastAsia="zh-CN"/>
        </w:rPr>
        <w:t>100</w:t>
      </w:r>
      <w:r>
        <w:rPr>
          <w:rStyle w:val="18"/>
          <w:rFonts w:ascii="仿宋" w:hAnsi="仿宋" w:eastAsia="仿宋" w:cs="仿宋"/>
          <w:b w:val="0"/>
          <w:bCs w:val="0"/>
          <w:color w:val="000000"/>
          <w:sz w:val="32"/>
          <w:szCs w:val="32"/>
        </w:rPr>
        <w:t>%</w:t>
      </w:r>
      <w:r>
        <w:rPr>
          <w:rStyle w:val="18"/>
          <w:rFonts w:hint="eastAsia" w:ascii="仿宋" w:hAnsi="仿宋" w:eastAsia="仿宋" w:cs="仿宋"/>
          <w:b w:val="0"/>
          <w:bCs w:val="0"/>
          <w:color w:val="000000"/>
          <w:sz w:val="32"/>
          <w:szCs w:val="32"/>
        </w:rPr>
        <w:t>。</w:t>
      </w:r>
    </w:p>
    <w:p>
      <w:pPr>
        <w:pageBreakBefore w:val="0"/>
        <w:kinsoku/>
        <w:wordWrap/>
        <w:overflowPunct/>
        <w:topLinePunct w:val="0"/>
        <w:bidi w:val="0"/>
        <w:spacing w:line="556" w:lineRule="exact"/>
        <w:ind w:left="0" w:leftChars="0" w:right="0" w:firstLine="640" w:firstLineChars="200"/>
        <w:rPr>
          <w:rFonts w:ascii="仿宋" w:hAnsi="仿宋" w:eastAsia="仿宋"/>
          <w:b w:val="0"/>
          <w:bCs w:val="0"/>
          <w:color w:val="000000"/>
          <w:sz w:val="32"/>
          <w:szCs w:val="32"/>
        </w:rPr>
      </w:pPr>
      <w:r>
        <w:rPr>
          <w:rStyle w:val="18"/>
          <w:rFonts w:hint="eastAsia" w:ascii="仿宋" w:hAnsi="仿宋" w:eastAsia="仿宋" w:cs="仿宋"/>
          <w:b w:val="0"/>
          <w:bCs w:val="0"/>
          <w:color w:val="000000"/>
          <w:sz w:val="32"/>
          <w:szCs w:val="32"/>
          <w:lang w:val="en-US" w:eastAsia="zh-CN"/>
        </w:rPr>
        <w:t>8、</w:t>
      </w:r>
      <w:r>
        <w:rPr>
          <w:rStyle w:val="18"/>
          <w:rFonts w:hint="eastAsia" w:ascii="仿宋" w:hAnsi="仿宋" w:eastAsia="仿宋" w:cs="仿宋"/>
          <w:b w:val="0"/>
          <w:bCs w:val="0"/>
          <w:color w:val="000000"/>
          <w:sz w:val="32"/>
          <w:szCs w:val="32"/>
          <w:lang w:eastAsia="zh-CN"/>
        </w:rPr>
        <w:t>住房保障支出</w:t>
      </w:r>
      <w:r>
        <w:rPr>
          <w:rStyle w:val="18"/>
          <w:rFonts w:hint="eastAsia" w:ascii="仿宋" w:hAnsi="仿宋" w:eastAsia="仿宋" w:cs="仿宋"/>
          <w:b w:val="0"/>
          <w:bCs w:val="0"/>
          <w:color w:val="000000"/>
          <w:sz w:val="32"/>
          <w:szCs w:val="32"/>
        </w:rPr>
        <w:t>（类）</w:t>
      </w:r>
      <w:r>
        <w:rPr>
          <w:rStyle w:val="18"/>
          <w:rFonts w:hint="eastAsia" w:ascii="仿宋" w:hAnsi="仿宋" w:eastAsia="仿宋" w:cs="仿宋"/>
          <w:b w:val="0"/>
          <w:bCs w:val="0"/>
          <w:color w:val="000000"/>
          <w:sz w:val="32"/>
          <w:szCs w:val="32"/>
          <w:lang w:eastAsia="zh-CN"/>
        </w:rPr>
        <w:t>住房改革支出</w:t>
      </w:r>
      <w:r>
        <w:rPr>
          <w:rStyle w:val="18"/>
          <w:rFonts w:hint="eastAsia" w:ascii="仿宋" w:hAnsi="仿宋" w:eastAsia="仿宋" w:cs="仿宋"/>
          <w:b w:val="0"/>
          <w:bCs w:val="0"/>
          <w:color w:val="000000"/>
          <w:sz w:val="32"/>
          <w:szCs w:val="32"/>
        </w:rPr>
        <w:t>（款）</w:t>
      </w:r>
      <w:r>
        <w:rPr>
          <w:rStyle w:val="18"/>
          <w:rFonts w:hint="eastAsia" w:ascii="仿宋" w:hAnsi="仿宋" w:eastAsia="仿宋" w:cs="仿宋"/>
          <w:b w:val="0"/>
          <w:bCs w:val="0"/>
          <w:color w:val="000000"/>
          <w:sz w:val="32"/>
          <w:szCs w:val="32"/>
          <w:lang w:eastAsia="zh-CN"/>
        </w:rPr>
        <w:t>住房公积金</w:t>
      </w:r>
      <w:r>
        <w:rPr>
          <w:rStyle w:val="18"/>
          <w:rFonts w:hint="eastAsia" w:ascii="仿宋" w:hAnsi="仿宋" w:eastAsia="仿宋" w:cs="仿宋"/>
          <w:b w:val="0"/>
          <w:bCs w:val="0"/>
          <w:color w:val="000000"/>
          <w:sz w:val="32"/>
          <w:szCs w:val="32"/>
        </w:rPr>
        <w:t>（项）</w:t>
      </w:r>
      <w:r>
        <w:rPr>
          <w:rStyle w:val="18"/>
          <w:rFonts w:ascii="仿宋" w:hAnsi="仿宋" w:eastAsia="仿宋" w:cs="仿宋"/>
          <w:b w:val="0"/>
          <w:bCs w:val="0"/>
          <w:color w:val="000000"/>
          <w:sz w:val="32"/>
          <w:szCs w:val="32"/>
        </w:rPr>
        <w:t xml:space="preserve">: </w:t>
      </w:r>
      <w:r>
        <w:rPr>
          <w:rStyle w:val="18"/>
          <w:rFonts w:hint="eastAsia" w:ascii="仿宋" w:hAnsi="仿宋" w:eastAsia="仿宋" w:cs="仿宋"/>
          <w:b w:val="0"/>
          <w:bCs w:val="0"/>
          <w:color w:val="000000"/>
          <w:sz w:val="32"/>
          <w:szCs w:val="32"/>
        </w:rPr>
        <w:t>支出决算为</w:t>
      </w:r>
      <w:r>
        <w:rPr>
          <w:rStyle w:val="18"/>
          <w:rFonts w:hint="eastAsia" w:ascii="仿宋" w:hAnsi="仿宋" w:eastAsia="仿宋" w:cs="仿宋"/>
          <w:b w:val="0"/>
          <w:bCs w:val="0"/>
          <w:color w:val="000000"/>
          <w:sz w:val="32"/>
          <w:szCs w:val="32"/>
          <w:lang w:val="en-US" w:eastAsia="zh-CN"/>
        </w:rPr>
        <w:t>20.62</w:t>
      </w:r>
      <w:r>
        <w:rPr>
          <w:rStyle w:val="18"/>
          <w:rFonts w:hint="eastAsia" w:ascii="仿宋" w:hAnsi="仿宋" w:eastAsia="仿宋" w:cs="仿宋"/>
          <w:b w:val="0"/>
          <w:bCs w:val="0"/>
          <w:color w:val="000000"/>
          <w:sz w:val="32"/>
          <w:szCs w:val="32"/>
        </w:rPr>
        <w:t>万元，完成预算</w:t>
      </w:r>
      <w:r>
        <w:rPr>
          <w:rStyle w:val="18"/>
          <w:rFonts w:hint="eastAsia" w:ascii="仿宋" w:hAnsi="仿宋" w:eastAsia="仿宋" w:cs="仿宋"/>
          <w:b w:val="0"/>
          <w:bCs w:val="0"/>
          <w:color w:val="000000"/>
          <w:sz w:val="32"/>
          <w:szCs w:val="32"/>
          <w:lang w:val="en-US" w:eastAsia="zh-CN"/>
        </w:rPr>
        <w:t>100</w:t>
      </w:r>
      <w:r>
        <w:rPr>
          <w:rStyle w:val="18"/>
          <w:rFonts w:ascii="仿宋" w:hAnsi="仿宋" w:eastAsia="仿宋" w:cs="仿宋"/>
          <w:b w:val="0"/>
          <w:bCs w:val="0"/>
          <w:color w:val="000000"/>
          <w:sz w:val="32"/>
          <w:szCs w:val="32"/>
        </w:rPr>
        <w:t>%</w:t>
      </w:r>
      <w:r>
        <w:rPr>
          <w:rStyle w:val="18"/>
          <w:rFonts w:hint="eastAsia" w:ascii="仿宋" w:hAnsi="仿宋" w:eastAsia="仿宋" w:cs="仿宋"/>
          <w:b w:val="0"/>
          <w:bCs w:val="0"/>
          <w:color w:val="000000"/>
          <w:sz w:val="32"/>
          <w:szCs w:val="32"/>
        </w:rPr>
        <w:t>。</w:t>
      </w:r>
    </w:p>
    <w:p>
      <w:pPr>
        <w:pageBreakBefore w:val="0"/>
        <w:tabs>
          <w:tab w:val="right" w:pos="8306"/>
        </w:tabs>
        <w:wordWrap/>
        <w:overflowPunct/>
        <w:bidi w:val="0"/>
        <w:spacing w:line="560" w:lineRule="exact"/>
        <w:ind w:left="0" w:leftChars="0" w:right="0" w:firstLine="640" w:firstLineChars="200"/>
        <w:outlineLvl w:val="1"/>
        <w:rPr>
          <w:rStyle w:val="30"/>
        </w:rPr>
      </w:pPr>
      <w:bookmarkStart w:id="37" w:name="_Toc15396608"/>
      <w:bookmarkStart w:id="38"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30"/>
          <w:rFonts w:hint="eastAsia" w:ascii="黑体" w:hAnsi="黑体" w:eastAsia="黑体"/>
          <w:b w:val="0"/>
        </w:rPr>
        <w:t>般公共预算财政拨款基本支出决算情况说明</w:t>
      </w:r>
      <w:bookmarkEnd w:id="37"/>
      <w:bookmarkEnd w:id="38"/>
      <w:r>
        <w:rPr>
          <w:rStyle w:val="30"/>
          <w:rFonts w:ascii="黑体" w:hAnsi="黑体" w:eastAsia="黑体"/>
          <w:b w:val="0"/>
        </w:rPr>
        <w:tab/>
      </w:r>
    </w:p>
    <w:p>
      <w:pPr>
        <w:pageBreakBefore w:val="0"/>
        <w:wordWrap/>
        <w:overflowPunct/>
        <w:bidi w:val="0"/>
        <w:spacing w:line="560" w:lineRule="exact"/>
        <w:ind w:left="0" w:leftChars="0" w:right="0"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2</w:t>
      </w:r>
      <w:r>
        <w:rPr>
          <w:rFonts w:hint="eastAsia" w:ascii="仿宋" w:hAnsi="仿宋" w:eastAsia="仿宋"/>
          <w:sz w:val="32"/>
          <w:szCs w:val="32"/>
        </w:rPr>
        <w:t>年一般公共预算财政拨款基本支出</w:t>
      </w:r>
      <w:r>
        <w:rPr>
          <w:rFonts w:hint="eastAsia" w:ascii="仿宋" w:hAnsi="仿宋" w:eastAsia="仿宋"/>
          <w:sz w:val="32"/>
          <w:szCs w:val="32"/>
          <w:lang w:val="en-US" w:eastAsia="zh-CN"/>
        </w:rPr>
        <w:t>430.50</w:t>
      </w:r>
      <w:r>
        <w:rPr>
          <w:rFonts w:hint="eastAsia" w:ascii="仿宋" w:hAnsi="仿宋" w:eastAsia="仿宋"/>
          <w:sz w:val="32"/>
          <w:szCs w:val="32"/>
        </w:rPr>
        <w:t>万元，其中：</w:t>
      </w:r>
    </w:p>
    <w:p>
      <w:pPr>
        <w:pageBreakBefore w:val="0"/>
        <w:wordWrap/>
        <w:overflowPunct/>
        <w:bidi w:val="0"/>
        <w:spacing w:line="560" w:lineRule="exact"/>
        <w:ind w:left="0" w:leftChars="0" w:right="0" w:firstLine="640" w:firstLineChars="200"/>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lang w:val="en-US" w:eastAsia="zh-CN"/>
        </w:rPr>
        <w:t>363.83</w:t>
      </w:r>
      <w:r>
        <w:rPr>
          <w:rFonts w:hint="eastAsia" w:ascii="仿宋" w:hAnsi="仿宋" w:eastAsia="仿宋"/>
          <w:sz w:val="32"/>
          <w:szCs w:val="32"/>
        </w:rPr>
        <w:t>万元，主要包括：基本工资、津贴补贴、奖金、绩效工资、机关事业单位基本养老保险缴费、其他社会保障缴费、其他工资福利支出、</w:t>
      </w:r>
      <w:r>
        <w:rPr>
          <w:rFonts w:hint="eastAsia" w:ascii="仿宋" w:hAnsi="仿宋" w:eastAsia="仿宋"/>
          <w:sz w:val="32"/>
          <w:szCs w:val="32"/>
          <w:lang w:eastAsia="zh-CN"/>
        </w:rPr>
        <w:t>生活补助</w:t>
      </w:r>
      <w:r>
        <w:rPr>
          <w:rFonts w:hint="eastAsia" w:ascii="仿宋" w:hAnsi="仿宋" w:eastAsia="仿宋"/>
          <w:sz w:val="32"/>
          <w:szCs w:val="32"/>
        </w:rPr>
        <w:t>、奖励金、住房公积金、其他对个人和家庭的补助支出等。</w:t>
      </w:r>
      <w:r>
        <w:rPr>
          <w:rFonts w:ascii="仿宋" w:hAnsi="仿宋" w:eastAsia="仿宋"/>
          <w:sz w:val="32"/>
          <w:szCs w:val="32"/>
        </w:rPr>
        <w:br w:type="textWrapping"/>
      </w:r>
      <w:r>
        <w:rPr>
          <w:rFonts w:hint="eastAsia" w:ascii="仿宋" w:hAnsi="仿宋" w:eastAsia="仿宋"/>
          <w:sz w:val="32"/>
          <w:szCs w:val="32"/>
        </w:rPr>
        <w:t>　　公用经费</w:t>
      </w:r>
      <w:r>
        <w:rPr>
          <w:rFonts w:hint="eastAsia" w:ascii="仿宋" w:hAnsi="仿宋" w:eastAsia="仿宋"/>
          <w:sz w:val="32"/>
          <w:szCs w:val="32"/>
          <w:lang w:val="en-US" w:eastAsia="zh-CN"/>
        </w:rPr>
        <w:t>62.81</w:t>
      </w:r>
      <w:r>
        <w:rPr>
          <w:rFonts w:hint="eastAsia" w:ascii="仿宋" w:hAnsi="仿宋" w:eastAsia="仿宋"/>
          <w:sz w:val="32"/>
          <w:szCs w:val="32"/>
        </w:rPr>
        <w:t>万元，主要包括：办公费、印刷费、水费、电费、邮电费、物业管理费、</w:t>
      </w:r>
      <w:r>
        <w:rPr>
          <w:rFonts w:hint="eastAsia" w:ascii="仿宋" w:hAnsi="仿宋" w:eastAsia="仿宋"/>
          <w:sz w:val="32"/>
          <w:szCs w:val="32"/>
          <w:lang w:eastAsia="zh-CN"/>
        </w:rPr>
        <w:t>维护费、</w:t>
      </w:r>
      <w:r>
        <w:rPr>
          <w:rFonts w:hint="eastAsia" w:ascii="仿宋" w:hAnsi="仿宋" w:eastAsia="仿宋"/>
          <w:sz w:val="32"/>
          <w:szCs w:val="32"/>
        </w:rPr>
        <w:t>差旅费、会议费、公务接待费、工会经费、福利费、其他交通费、其他商品和服务支出等。</w:t>
      </w:r>
    </w:p>
    <w:p>
      <w:pPr>
        <w:pageBreakBefore w:val="0"/>
        <w:wordWrap/>
        <w:overflowPunct/>
        <w:bidi w:val="0"/>
        <w:spacing w:line="560" w:lineRule="exact"/>
        <w:ind w:left="0" w:leftChars="0" w:right="0" w:firstLine="640" w:firstLineChars="200"/>
        <w:outlineLvl w:val="1"/>
        <w:rPr>
          <w:rStyle w:val="30"/>
          <w:rFonts w:ascii="黑体" w:hAnsi="黑体" w:eastAsia="黑体"/>
          <w:b w:val="0"/>
        </w:rPr>
      </w:pPr>
      <w:bookmarkStart w:id="39" w:name="_Toc15396609"/>
      <w:bookmarkStart w:id="40" w:name="_Toc15377215"/>
      <w:r>
        <w:rPr>
          <w:rFonts w:hint="eastAsia" w:ascii="黑体" w:eastAsia="黑体"/>
          <w:sz w:val="32"/>
          <w:szCs w:val="32"/>
        </w:rPr>
        <w:t>七、</w:t>
      </w:r>
      <w:r>
        <w:rPr>
          <w:rStyle w:val="30"/>
          <w:rFonts w:hint="eastAsia" w:ascii="黑体" w:hAnsi="黑体" w:eastAsia="黑体"/>
        </w:rPr>
        <w:t>“</w:t>
      </w:r>
      <w:r>
        <w:rPr>
          <w:rStyle w:val="30"/>
          <w:rFonts w:hint="eastAsia" w:ascii="黑体" w:hAnsi="黑体" w:eastAsia="黑体"/>
          <w:b w:val="0"/>
        </w:rPr>
        <w:t>三公”经费财政拨款支出决算情况说明</w:t>
      </w:r>
      <w:bookmarkEnd w:id="39"/>
      <w:bookmarkEnd w:id="40"/>
    </w:p>
    <w:p>
      <w:pPr>
        <w:pageBreakBefore w:val="0"/>
        <w:wordWrap/>
        <w:overflowPunct/>
        <w:bidi w:val="0"/>
        <w:spacing w:line="560" w:lineRule="exact"/>
        <w:ind w:left="0" w:leftChars="0" w:right="0" w:firstLine="640" w:firstLineChars="200"/>
        <w:outlineLvl w:val="2"/>
        <w:rPr>
          <w:rFonts w:ascii="仿宋" w:hAnsi="仿宋" w:eastAsia="仿宋"/>
          <w:b/>
          <w:sz w:val="32"/>
          <w:szCs w:val="32"/>
        </w:rPr>
      </w:pPr>
      <w:bookmarkStart w:id="41" w:name="_Toc15377216"/>
      <w:r>
        <w:rPr>
          <w:rFonts w:hint="eastAsia" w:ascii="楷体" w:hAnsi="楷体" w:eastAsia="楷体" w:cs="楷体"/>
          <w:bCs/>
          <w:sz w:val="32"/>
          <w:szCs w:val="32"/>
        </w:rPr>
        <w:t>（一）“三公”经费财政拨款支出决算总体情况说明</w:t>
      </w:r>
      <w:bookmarkEnd w:id="41"/>
    </w:p>
    <w:p>
      <w:pPr>
        <w:pageBreakBefore w:val="0"/>
        <w:wordWrap/>
        <w:overflowPunct/>
        <w:bidi w:val="0"/>
        <w:spacing w:line="560" w:lineRule="exact"/>
        <w:ind w:left="0" w:leftChars="0" w:right="0" w:firstLine="640" w:firstLineChars="200"/>
        <w:rPr>
          <w:rFonts w:ascii="仿宋" w:hAnsi="仿宋" w:eastAsia="仿宋"/>
          <w:b/>
          <w:sz w:val="32"/>
          <w:szCs w:val="32"/>
        </w:rPr>
      </w:pP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2</w:t>
      </w:r>
      <w:r>
        <w:rPr>
          <w:rFonts w:hint="eastAsia" w:ascii="仿宋" w:hAnsi="仿宋" w:eastAsia="仿宋"/>
          <w:sz w:val="32"/>
          <w:szCs w:val="32"/>
        </w:rPr>
        <w:t>年“三公”经费财政拨款支出决算为</w:t>
      </w:r>
      <w:r>
        <w:rPr>
          <w:rFonts w:hint="eastAsia" w:ascii="仿宋" w:hAnsi="仿宋" w:eastAsia="仿宋"/>
          <w:sz w:val="32"/>
          <w:szCs w:val="32"/>
          <w:lang w:val="en-US" w:eastAsia="zh-CN"/>
        </w:rPr>
        <w:t>8.96</w:t>
      </w:r>
      <w:r>
        <w:rPr>
          <w:rFonts w:hint="eastAsia" w:ascii="仿宋" w:hAnsi="仿宋" w:eastAsia="仿宋"/>
          <w:sz w:val="32"/>
          <w:szCs w:val="32"/>
        </w:rPr>
        <w:t>万元，完成预算</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w:t>
      </w:r>
    </w:p>
    <w:p>
      <w:pPr>
        <w:keepNext w:val="0"/>
        <w:keepLines w:val="0"/>
        <w:pageBreakBefore w:val="0"/>
        <w:kinsoku w:val="0"/>
        <w:wordWrap/>
        <w:overflowPunct/>
        <w:topLinePunct/>
        <w:autoSpaceDE/>
        <w:autoSpaceDN/>
        <w:bidi w:val="0"/>
        <w:adjustRightInd/>
        <w:spacing w:line="560" w:lineRule="exact"/>
        <w:ind w:left="0" w:leftChars="0" w:right="0" w:firstLine="640" w:firstLineChars="200"/>
        <w:rPr>
          <w:rFonts w:hint="eastAsia" w:ascii="楷体" w:hAnsi="楷体" w:eastAsia="楷体" w:cs="楷体"/>
          <w:bCs/>
          <w:sz w:val="32"/>
          <w:szCs w:val="32"/>
        </w:rPr>
      </w:pPr>
      <w:bookmarkStart w:id="42" w:name="_Toc15377217"/>
      <w:r>
        <w:rPr>
          <w:rFonts w:hint="eastAsia" w:ascii="楷体" w:hAnsi="楷体" w:eastAsia="楷体" w:cs="楷体"/>
          <w:bCs/>
          <w:sz w:val="32"/>
          <w:szCs w:val="32"/>
        </w:rPr>
        <w:t>（二）“三公”经费财政拨款支出决算具体情况说明</w:t>
      </w:r>
      <w:bookmarkEnd w:id="42"/>
    </w:p>
    <w:p>
      <w:pPr>
        <w:pageBreakBefore w:val="0"/>
        <w:wordWrap/>
        <w:overflowPunct/>
        <w:bidi w:val="0"/>
        <w:spacing w:line="560" w:lineRule="exact"/>
        <w:ind w:left="0" w:leftChars="0" w:right="0"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2</w:t>
      </w:r>
      <w:r>
        <w:rPr>
          <w:rFonts w:hint="eastAsia" w:ascii="仿宋" w:hAnsi="仿宋" w:eastAsia="仿宋"/>
          <w:sz w:val="32"/>
          <w:szCs w:val="32"/>
        </w:rPr>
        <w:t>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8.96</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。具体情况如下：</w:t>
      </w:r>
    </w:p>
    <w:p>
      <w:pPr>
        <w:pageBreakBefore w:val="0"/>
        <w:wordWrap/>
        <w:overflowPunct/>
        <w:bidi w:val="0"/>
        <w:spacing w:line="560" w:lineRule="exact"/>
        <w:ind w:left="0" w:leftChars="0" w:right="0" w:firstLine="640" w:firstLineChars="200"/>
        <w:rPr>
          <w:rFonts w:ascii="仿宋_GB2312" w:eastAsia="仿宋_GB2312"/>
          <w:b w:val="0"/>
          <w:bCs/>
          <w:sz w:val="32"/>
          <w:szCs w:val="32"/>
        </w:rPr>
      </w:pPr>
      <w:r>
        <w:rPr>
          <w:rFonts w:hint="eastAsia" w:ascii="仿宋_GB2312" w:eastAsia="仿宋_GB2312"/>
          <w:b w:val="0"/>
          <w:bCs/>
          <w:sz w:val="32"/>
          <w:szCs w:val="32"/>
        </w:rPr>
        <w:t>公务接待费支出</w:t>
      </w:r>
      <w:r>
        <w:rPr>
          <w:rFonts w:hint="eastAsia" w:ascii="仿宋_GB2312" w:eastAsia="仿宋_GB2312"/>
          <w:b w:val="0"/>
          <w:bCs/>
          <w:sz w:val="32"/>
          <w:szCs w:val="32"/>
          <w:lang w:val="en-US" w:eastAsia="zh-CN"/>
        </w:rPr>
        <w:t>8.96</w:t>
      </w:r>
      <w:r>
        <w:rPr>
          <w:rFonts w:hint="eastAsia" w:ascii="仿宋_GB2312" w:eastAsia="仿宋_GB2312"/>
          <w:b w:val="0"/>
          <w:bCs/>
          <w:sz w:val="32"/>
          <w:szCs w:val="32"/>
        </w:rPr>
        <w:t>万元，</w:t>
      </w:r>
      <w:r>
        <w:rPr>
          <w:rStyle w:val="18"/>
          <w:rFonts w:hint="eastAsia" w:ascii="仿宋" w:hAnsi="仿宋" w:eastAsia="仿宋"/>
          <w:b w:val="0"/>
          <w:bCs/>
          <w:sz w:val="32"/>
          <w:szCs w:val="32"/>
        </w:rPr>
        <w:t>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w:t>
      </w:r>
      <w:r>
        <w:rPr>
          <w:rFonts w:hint="eastAsia" w:ascii="仿宋_GB2312" w:eastAsia="仿宋_GB2312"/>
          <w:b w:val="0"/>
          <w:bCs/>
          <w:sz w:val="32"/>
          <w:szCs w:val="32"/>
        </w:rPr>
        <w:t>公务接待费支出决算比</w:t>
      </w:r>
      <w:r>
        <w:rPr>
          <w:rFonts w:ascii="仿宋_GB2312" w:eastAsia="仿宋_GB2312"/>
          <w:b w:val="0"/>
          <w:bCs/>
          <w:sz w:val="32"/>
          <w:szCs w:val="32"/>
        </w:rPr>
        <w:t>20</w:t>
      </w:r>
      <w:r>
        <w:rPr>
          <w:rFonts w:hint="eastAsia" w:ascii="仿宋_GB2312" w:eastAsia="仿宋_GB2312"/>
          <w:b w:val="0"/>
          <w:bCs/>
          <w:sz w:val="32"/>
          <w:szCs w:val="32"/>
        </w:rPr>
        <w:t>2</w:t>
      </w:r>
      <w:r>
        <w:rPr>
          <w:rFonts w:hint="eastAsia" w:ascii="仿宋_GB2312" w:eastAsia="仿宋_GB2312"/>
          <w:b w:val="0"/>
          <w:bCs/>
          <w:sz w:val="32"/>
          <w:szCs w:val="32"/>
          <w:lang w:val="en-US" w:eastAsia="zh-CN"/>
        </w:rPr>
        <w:t>1</w:t>
      </w:r>
      <w:r>
        <w:rPr>
          <w:rFonts w:hint="eastAsia" w:ascii="仿宋_GB2312" w:eastAsia="仿宋_GB2312"/>
          <w:b w:val="0"/>
          <w:bCs/>
          <w:sz w:val="32"/>
          <w:szCs w:val="32"/>
        </w:rPr>
        <w:t>年</w:t>
      </w:r>
      <w:r>
        <w:rPr>
          <w:rFonts w:hint="eastAsia" w:ascii="仿宋_GB2312" w:eastAsia="仿宋_GB2312"/>
          <w:b w:val="0"/>
          <w:bCs/>
          <w:sz w:val="32"/>
          <w:szCs w:val="32"/>
          <w:lang w:eastAsia="zh-CN"/>
        </w:rPr>
        <w:t>增加</w:t>
      </w:r>
      <w:r>
        <w:rPr>
          <w:rFonts w:hint="eastAsia" w:ascii="仿宋_GB2312" w:eastAsia="仿宋_GB2312"/>
          <w:b w:val="0"/>
          <w:bCs/>
          <w:sz w:val="32"/>
          <w:szCs w:val="32"/>
          <w:lang w:val="en-US" w:eastAsia="zh-CN"/>
        </w:rPr>
        <w:t>0.06</w:t>
      </w:r>
      <w:r>
        <w:rPr>
          <w:rFonts w:hint="eastAsia" w:ascii="仿宋_GB2312" w:eastAsia="仿宋_GB2312"/>
          <w:b w:val="0"/>
          <w:bCs/>
          <w:sz w:val="32"/>
          <w:szCs w:val="32"/>
        </w:rPr>
        <w:t>万元，</w:t>
      </w:r>
      <w:r>
        <w:rPr>
          <w:rFonts w:hint="eastAsia" w:ascii="仿宋_GB2312" w:eastAsia="仿宋_GB2312"/>
          <w:b w:val="0"/>
          <w:bCs/>
          <w:sz w:val="32"/>
          <w:szCs w:val="32"/>
          <w:lang w:eastAsia="zh-CN"/>
        </w:rPr>
        <w:t>增长</w:t>
      </w:r>
      <w:r>
        <w:rPr>
          <w:rFonts w:hint="eastAsia" w:ascii="仿宋_GB2312" w:eastAsia="仿宋_GB2312"/>
          <w:b w:val="0"/>
          <w:bCs/>
          <w:sz w:val="32"/>
          <w:szCs w:val="32"/>
          <w:lang w:val="en-US" w:eastAsia="zh-CN"/>
        </w:rPr>
        <w:t>0.67</w:t>
      </w:r>
      <w:r>
        <w:rPr>
          <w:rFonts w:ascii="仿宋_GB2312" w:eastAsia="仿宋_GB2312"/>
          <w:b w:val="0"/>
          <w:bCs/>
          <w:sz w:val="32"/>
          <w:szCs w:val="32"/>
        </w:rPr>
        <w:t>%</w:t>
      </w:r>
      <w:r>
        <w:rPr>
          <w:rFonts w:hint="eastAsia" w:ascii="仿宋_GB2312" w:eastAsia="仿宋_GB2312"/>
          <w:b w:val="0"/>
          <w:bCs/>
          <w:sz w:val="32"/>
          <w:szCs w:val="32"/>
        </w:rPr>
        <w:t>。其中：</w:t>
      </w:r>
    </w:p>
    <w:p>
      <w:pPr>
        <w:pageBreakBefore w:val="0"/>
        <w:wordWrap/>
        <w:overflowPunct/>
        <w:bidi w:val="0"/>
        <w:spacing w:line="560" w:lineRule="exact"/>
        <w:ind w:left="0" w:leftChars="0" w:right="0" w:firstLine="640" w:firstLineChars="200"/>
        <w:rPr>
          <w:rFonts w:ascii="仿宋_GB2312" w:eastAsia="仿宋_GB2312"/>
          <w:sz w:val="32"/>
          <w:szCs w:val="32"/>
        </w:rPr>
      </w:pPr>
      <w:r>
        <w:rPr>
          <w:rFonts w:hint="eastAsia" w:ascii="仿宋" w:hAnsi="仿宋" w:eastAsia="仿宋"/>
          <w:b w:val="0"/>
          <w:bCs/>
          <w:sz w:val="32"/>
          <w:szCs w:val="32"/>
        </w:rPr>
        <w:t>国内公务接待支出</w:t>
      </w:r>
      <w:r>
        <w:rPr>
          <w:rFonts w:hint="eastAsia" w:ascii="仿宋" w:hAnsi="仿宋" w:eastAsia="仿宋"/>
          <w:sz w:val="32"/>
          <w:szCs w:val="32"/>
          <w:lang w:val="en-US" w:eastAsia="zh-CN"/>
        </w:rPr>
        <w:t>8.96</w:t>
      </w:r>
      <w:r>
        <w:rPr>
          <w:rFonts w:hint="eastAsia" w:ascii="仿宋_GB2312" w:eastAsia="仿宋_GB2312"/>
          <w:sz w:val="32"/>
          <w:szCs w:val="32"/>
        </w:rPr>
        <w:t>万元，主要用于</w:t>
      </w:r>
      <w:r>
        <w:rPr>
          <w:rFonts w:hint="eastAsia" w:ascii="仿宋_GB2312" w:eastAsia="仿宋_GB2312" w:cs="仿宋_GB2312"/>
          <w:b w:val="0"/>
          <w:bCs/>
          <w:color w:val="000000"/>
          <w:sz w:val="32"/>
          <w:szCs w:val="32"/>
        </w:rPr>
        <w:t>主要用于</w:t>
      </w:r>
      <w:r>
        <w:rPr>
          <w:rFonts w:hint="eastAsia" w:ascii="仿宋_GB2312" w:eastAsia="仿宋_GB2312" w:cs="仿宋_GB2312"/>
          <w:b w:val="0"/>
          <w:bCs/>
          <w:color w:val="000000"/>
          <w:sz w:val="32"/>
          <w:szCs w:val="32"/>
          <w:lang w:eastAsia="zh-CN"/>
        </w:rPr>
        <w:t>扫黑除恶斗争、综治维稳工作、国家安全、政治安全及政法工作等</w:t>
      </w:r>
      <w:r>
        <w:rPr>
          <w:rFonts w:hint="eastAsia" w:ascii="仿宋_GB2312" w:eastAsia="仿宋_GB2312" w:cs="仿宋_GB2312"/>
          <w:b w:val="0"/>
          <w:bCs/>
          <w:color w:val="000000"/>
          <w:sz w:val="32"/>
          <w:szCs w:val="32"/>
        </w:rPr>
        <w:t>执行公务、开展业务活动</w:t>
      </w:r>
      <w:r>
        <w:rPr>
          <w:rFonts w:hint="eastAsia" w:ascii="仿宋_GB2312" w:eastAsia="仿宋_GB2312" w:cs="仿宋_GB2312"/>
          <w:b w:val="0"/>
          <w:bCs/>
          <w:color w:val="000000"/>
          <w:sz w:val="32"/>
          <w:szCs w:val="32"/>
          <w:lang w:eastAsia="zh-CN"/>
        </w:rPr>
        <w:t>过程中</w:t>
      </w:r>
      <w:r>
        <w:rPr>
          <w:rFonts w:hint="eastAsia" w:ascii="仿宋_GB2312" w:eastAsia="仿宋_GB2312" w:cs="仿宋_GB2312"/>
          <w:b w:val="0"/>
          <w:bCs/>
          <w:color w:val="000000"/>
          <w:sz w:val="32"/>
          <w:szCs w:val="32"/>
        </w:rPr>
        <w:t>开支的交通费、住宿费、用餐费等。国内公务接待</w:t>
      </w:r>
      <w:r>
        <w:rPr>
          <w:rFonts w:hint="eastAsia" w:ascii="仿宋_GB2312" w:eastAsia="仿宋_GB2312" w:cs="仿宋_GB2312"/>
          <w:b w:val="0"/>
          <w:bCs/>
          <w:color w:val="000000"/>
          <w:sz w:val="32"/>
          <w:szCs w:val="32"/>
          <w:lang w:val="en-US" w:eastAsia="zh-CN"/>
        </w:rPr>
        <w:t>109</w:t>
      </w:r>
      <w:r>
        <w:rPr>
          <w:rFonts w:hint="eastAsia" w:ascii="仿宋_GB2312" w:eastAsia="仿宋_GB2312" w:cs="仿宋_GB2312"/>
          <w:b w:val="0"/>
          <w:bCs/>
          <w:color w:val="000000"/>
          <w:sz w:val="32"/>
          <w:szCs w:val="32"/>
        </w:rPr>
        <w:t>批次，</w:t>
      </w:r>
      <w:r>
        <w:rPr>
          <w:rFonts w:hint="eastAsia" w:ascii="仿宋_GB2312" w:eastAsia="仿宋_GB2312" w:cs="仿宋_GB2312"/>
          <w:b w:val="0"/>
          <w:bCs/>
          <w:color w:val="000000"/>
          <w:sz w:val="32"/>
          <w:szCs w:val="32"/>
          <w:lang w:val="en-US" w:eastAsia="zh-CN"/>
        </w:rPr>
        <w:t>1256</w:t>
      </w:r>
      <w:r>
        <w:rPr>
          <w:rFonts w:hint="eastAsia" w:ascii="仿宋_GB2312" w:eastAsia="仿宋_GB2312" w:cs="仿宋_GB2312"/>
          <w:b w:val="0"/>
          <w:bCs/>
          <w:color w:val="000000"/>
          <w:sz w:val="32"/>
          <w:szCs w:val="32"/>
        </w:rPr>
        <w:t>人次（不包括陪同人员），共计支出</w:t>
      </w:r>
      <w:r>
        <w:rPr>
          <w:rFonts w:hint="eastAsia" w:ascii="仿宋_GB2312" w:eastAsia="仿宋_GB2312" w:cs="仿宋_GB2312"/>
          <w:b w:val="0"/>
          <w:bCs/>
          <w:color w:val="000000"/>
          <w:sz w:val="32"/>
          <w:szCs w:val="32"/>
          <w:lang w:val="en-US" w:eastAsia="zh-CN"/>
        </w:rPr>
        <w:t>8.96</w:t>
      </w:r>
      <w:r>
        <w:rPr>
          <w:rFonts w:hint="eastAsia" w:ascii="仿宋_GB2312" w:eastAsia="仿宋_GB2312" w:cs="仿宋_GB2312"/>
          <w:b w:val="0"/>
          <w:bCs/>
          <w:color w:val="000000"/>
          <w:sz w:val="32"/>
          <w:szCs w:val="32"/>
        </w:rPr>
        <w:t>万元，具体内容包括：</w:t>
      </w:r>
      <w:r>
        <w:rPr>
          <w:rFonts w:hint="eastAsia" w:ascii="仿宋_GB2312" w:eastAsia="仿宋_GB2312" w:cs="仿宋_GB2312"/>
          <w:b w:val="0"/>
          <w:bCs/>
          <w:color w:val="000000"/>
          <w:sz w:val="32"/>
          <w:szCs w:val="32"/>
          <w:lang w:eastAsia="zh-CN"/>
        </w:rPr>
        <w:t>扫黑除恶专项斗争、综治维稳工作、国家安全及政法工作等</w:t>
      </w:r>
      <w:r>
        <w:rPr>
          <w:rFonts w:hint="eastAsia" w:ascii="仿宋_GB2312" w:eastAsia="仿宋_GB2312" w:cs="仿宋_GB2312"/>
          <w:b w:val="0"/>
          <w:bCs/>
          <w:color w:val="000000"/>
          <w:sz w:val="32"/>
          <w:szCs w:val="32"/>
        </w:rPr>
        <w:t>执行公务开展业务</w:t>
      </w:r>
      <w:r>
        <w:rPr>
          <w:rFonts w:hint="eastAsia" w:ascii="仿宋_GB2312" w:eastAsia="仿宋_GB2312" w:cs="仿宋_GB2312"/>
          <w:b w:val="0"/>
          <w:bCs/>
          <w:color w:val="000000"/>
          <w:sz w:val="32"/>
          <w:szCs w:val="32"/>
          <w:lang w:eastAsia="zh-CN"/>
        </w:rPr>
        <w:t>过程中</w:t>
      </w:r>
      <w:r>
        <w:rPr>
          <w:rFonts w:hint="eastAsia" w:ascii="仿宋_GB2312" w:eastAsia="仿宋_GB2312" w:cs="仿宋_GB2312"/>
          <w:b w:val="0"/>
          <w:bCs/>
          <w:color w:val="000000"/>
          <w:sz w:val="32"/>
          <w:szCs w:val="32"/>
        </w:rPr>
        <w:t>开支的交通费、住宿费、用餐费等</w:t>
      </w:r>
      <w:r>
        <w:rPr>
          <w:rFonts w:hint="eastAsia" w:ascii="仿宋_GB2312" w:eastAsia="仿宋_GB2312"/>
          <w:sz w:val="32"/>
          <w:szCs w:val="32"/>
        </w:rPr>
        <w:t>。</w:t>
      </w:r>
    </w:p>
    <w:p>
      <w:pPr>
        <w:pageBreakBefore w:val="0"/>
        <w:wordWrap/>
        <w:overflowPunct/>
        <w:bidi w:val="0"/>
        <w:spacing w:line="560" w:lineRule="exact"/>
        <w:ind w:left="0" w:leftChars="0" w:right="0" w:firstLine="640" w:firstLineChars="200"/>
        <w:outlineLvl w:val="1"/>
        <w:rPr>
          <w:rStyle w:val="30"/>
          <w:rFonts w:ascii="黑体" w:hAnsi="黑体" w:eastAsia="黑体"/>
        </w:rPr>
      </w:pPr>
      <w:bookmarkStart w:id="43" w:name="_Toc15377218"/>
      <w:bookmarkStart w:id="44" w:name="_Toc15396610"/>
      <w:r>
        <w:rPr>
          <w:rFonts w:hint="eastAsia" w:ascii="黑体" w:eastAsia="黑体"/>
          <w:sz w:val="32"/>
          <w:szCs w:val="32"/>
        </w:rPr>
        <w:t>八、</w:t>
      </w:r>
      <w:r>
        <w:rPr>
          <w:rStyle w:val="30"/>
          <w:rFonts w:hint="eastAsia" w:ascii="黑体" w:hAnsi="黑体" w:eastAsia="黑体"/>
          <w:b w:val="0"/>
        </w:rPr>
        <w:t>政府性基金预算支出决算情况说明</w:t>
      </w:r>
      <w:bookmarkEnd w:id="43"/>
      <w:bookmarkEnd w:id="44"/>
    </w:p>
    <w:p>
      <w:pPr>
        <w:pageBreakBefore w:val="0"/>
        <w:wordWrap/>
        <w:overflowPunct/>
        <w:bidi w:val="0"/>
        <w:spacing w:line="560" w:lineRule="exact"/>
        <w:ind w:left="0" w:leftChars="0" w:right="0"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w:t>
      </w:r>
      <w:r>
        <w:rPr>
          <w:rFonts w:hint="eastAsia" w:ascii="仿宋_GB2312" w:eastAsia="仿宋_GB2312"/>
          <w:sz w:val="32"/>
          <w:szCs w:val="32"/>
          <w:lang w:val="en-US" w:eastAsia="zh-CN"/>
        </w:rPr>
        <w:t>2</w:t>
      </w:r>
      <w:r>
        <w:rPr>
          <w:rFonts w:hint="eastAsia" w:ascii="仿宋_GB2312" w:eastAsia="仿宋_GB2312"/>
          <w:sz w:val="32"/>
          <w:szCs w:val="32"/>
        </w:rPr>
        <w:t>年政府性基金预算财政拨款支出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pageBreakBefore w:val="0"/>
        <w:numPr>
          <w:ilvl w:val="0"/>
          <w:numId w:val="1"/>
        </w:numPr>
        <w:wordWrap/>
        <w:overflowPunct/>
        <w:bidi w:val="0"/>
        <w:spacing w:line="560" w:lineRule="exact"/>
        <w:ind w:left="0" w:leftChars="0" w:right="0" w:firstLine="640" w:firstLineChars="200"/>
        <w:outlineLvl w:val="1"/>
        <w:rPr>
          <w:rStyle w:val="30"/>
          <w:rFonts w:ascii="黑体" w:hAnsi="黑体" w:eastAsia="黑体"/>
          <w:b w:val="0"/>
        </w:rPr>
      </w:pPr>
      <w:bookmarkStart w:id="45" w:name="_Toc15396611"/>
      <w:bookmarkStart w:id="46" w:name="_Toc15377219"/>
      <w:r>
        <w:rPr>
          <w:rStyle w:val="30"/>
          <w:rFonts w:hint="eastAsia" w:ascii="黑体" w:hAnsi="黑体" w:eastAsia="黑体"/>
          <w:b w:val="0"/>
        </w:rPr>
        <w:t>国有资本经营预算支出决算情况说明</w:t>
      </w:r>
      <w:bookmarkEnd w:id="45"/>
      <w:bookmarkEnd w:id="46"/>
    </w:p>
    <w:p>
      <w:pPr>
        <w:pageBreakBefore w:val="0"/>
        <w:wordWrap/>
        <w:overflowPunct/>
        <w:bidi w:val="0"/>
        <w:spacing w:line="560" w:lineRule="exact"/>
        <w:ind w:left="0" w:leftChars="0" w:right="0" w:firstLine="640" w:firstLineChars="200"/>
        <w:rPr>
          <w:rFonts w:ascii="方正小标宋简体" w:hAnsi="方正小标宋简体" w:eastAsia="方正小标宋简体" w:cs="方正小标宋简体"/>
          <w:sz w:val="44"/>
          <w:szCs w:val="44"/>
        </w:rPr>
      </w:pPr>
      <w:r>
        <w:rPr>
          <w:rFonts w:ascii="仿宋_GB2312" w:eastAsia="仿宋_GB2312"/>
          <w:sz w:val="32"/>
          <w:szCs w:val="32"/>
        </w:rPr>
        <w:t>20</w:t>
      </w:r>
      <w:r>
        <w:rPr>
          <w:rFonts w:hint="eastAsia" w:ascii="仿宋_GB2312" w:eastAsia="仿宋_GB2312"/>
          <w:sz w:val="32"/>
          <w:szCs w:val="32"/>
        </w:rPr>
        <w:t>2</w:t>
      </w:r>
      <w:r>
        <w:rPr>
          <w:rFonts w:hint="eastAsia" w:ascii="仿宋_GB2312" w:eastAsia="仿宋_GB2312"/>
          <w:sz w:val="32"/>
          <w:szCs w:val="32"/>
          <w:lang w:val="en-US" w:eastAsia="zh-CN"/>
        </w:rPr>
        <w:t>2</w:t>
      </w:r>
      <w:r>
        <w:rPr>
          <w:rFonts w:hint="eastAsia" w:ascii="仿宋_GB2312" w:eastAsia="仿宋_GB2312"/>
          <w:sz w:val="32"/>
          <w:szCs w:val="32"/>
        </w:rPr>
        <w:t>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pageBreakBefore w:val="0"/>
        <w:numPr>
          <w:ilvl w:val="0"/>
          <w:numId w:val="1"/>
        </w:numPr>
        <w:wordWrap/>
        <w:overflowPunct/>
        <w:bidi w:val="0"/>
        <w:spacing w:line="560" w:lineRule="exact"/>
        <w:ind w:left="0" w:leftChars="0" w:right="0" w:firstLine="640" w:firstLineChars="200"/>
        <w:outlineLvl w:val="1"/>
        <w:rPr>
          <w:rStyle w:val="30"/>
          <w:rFonts w:ascii="黑体" w:hAnsi="黑体" w:eastAsia="黑体"/>
          <w:b w:val="0"/>
        </w:rPr>
      </w:pPr>
      <w:bookmarkStart w:id="47" w:name="_Toc15377221"/>
      <w:bookmarkStart w:id="48" w:name="_Toc15396612"/>
      <w:r>
        <w:rPr>
          <w:rStyle w:val="30"/>
          <w:rFonts w:hint="eastAsia" w:ascii="黑体" w:hAnsi="黑体" w:eastAsia="黑体"/>
          <w:b w:val="0"/>
        </w:rPr>
        <w:t>其他重要事项的情况说明</w:t>
      </w:r>
      <w:bookmarkEnd w:id="47"/>
      <w:bookmarkEnd w:id="48"/>
      <w:r>
        <w:rPr>
          <w:rFonts w:hint="eastAsia" w:ascii="仿宋_GB2312" w:eastAsia="仿宋_GB2312"/>
          <w:sz w:val="32"/>
          <w:szCs w:val="32"/>
          <w:lang w:val="en-US" w:eastAsia="zh-CN"/>
        </w:rPr>
        <w:t>49.24</w:t>
      </w:r>
    </w:p>
    <w:p>
      <w:pPr>
        <w:keepNext w:val="0"/>
        <w:keepLines w:val="0"/>
        <w:pageBreakBefore w:val="0"/>
        <w:kinsoku w:val="0"/>
        <w:wordWrap/>
        <w:overflowPunct/>
        <w:topLinePunct/>
        <w:autoSpaceDE/>
        <w:autoSpaceDN/>
        <w:bidi w:val="0"/>
        <w:adjustRightInd/>
        <w:spacing w:line="560" w:lineRule="exact"/>
        <w:ind w:left="0" w:leftChars="0" w:right="0" w:firstLine="640" w:firstLineChars="200"/>
        <w:rPr>
          <w:rFonts w:hint="eastAsia" w:ascii="楷体" w:hAnsi="楷体" w:eastAsia="楷体" w:cs="楷体"/>
          <w:bCs/>
          <w:sz w:val="32"/>
          <w:szCs w:val="32"/>
        </w:rPr>
      </w:pPr>
      <w:bookmarkStart w:id="49" w:name="_Toc15377222"/>
      <w:r>
        <w:rPr>
          <w:rFonts w:hint="eastAsia" w:ascii="楷体" w:hAnsi="楷体" w:eastAsia="楷体" w:cs="楷体"/>
          <w:bCs/>
          <w:sz w:val="32"/>
          <w:szCs w:val="32"/>
        </w:rPr>
        <w:t>（一）机关运行经费支出情况</w:t>
      </w:r>
      <w:bookmarkEnd w:id="49"/>
    </w:p>
    <w:p>
      <w:pPr>
        <w:pageBreakBefore w:val="0"/>
        <w:wordWrap/>
        <w:overflowPunct/>
        <w:bidi w:val="0"/>
        <w:spacing w:line="560" w:lineRule="exact"/>
        <w:ind w:left="0" w:leftChars="0" w:right="0" w:firstLine="640" w:firstLineChars="200"/>
        <w:rPr>
          <w:rFonts w:ascii="仿宋" w:hAnsi="仿宋" w:eastAsia="仿宋"/>
          <w:b/>
          <w:sz w:val="32"/>
          <w:szCs w:val="32"/>
        </w:rPr>
      </w:pPr>
      <w:r>
        <w:rPr>
          <w:rFonts w:ascii="仿宋_GB2312" w:eastAsia="仿宋_GB2312"/>
          <w:sz w:val="32"/>
          <w:szCs w:val="32"/>
        </w:rPr>
        <w:t>20</w:t>
      </w:r>
      <w:r>
        <w:rPr>
          <w:rFonts w:hint="eastAsia" w:ascii="仿宋_GB2312" w:eastAsia="仿宋_GB2312"/>
          <w:sz w:val="32"/>
          <w:szCs w:val="32"/>
        </w:rPr>
        <w:t>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eastAsia="zh-CN"/>
        </w:rPr>
        <w:t>县委政法委</w:t>
      </w:r>
      <w:r>
        <w:rPr>
          <w:rFonts w:hint="eastAsia" w:ascii="仿宋_GB2312" w:eastAsia="仿宋_GB2312"/>
          <w:sz w:val="32"/>
          <w:szCs w:val="32"/>
        </w:rPr>
        <w:t>机关运行经费支出</w:t>
      </w:r>
      <w:r>
        <w:rPr>
          <w:rFonts w:hint="eastAsia" w:ascii="仿宋_GB2312" w:eastAsia="仿宋_GB2312"/>
          <w:sz w:val="32"/>
          <w:szCs w:val="32"/>
          <w:lang w:val="en-US" w:eastAsia="zh-CN"/>
        </w:rPr>
        <w:t>62.81</w:t>
      </w:r>
      <w:r>
        <w:rPr>
          <w:rFonts w:hint="eastAsia" w:ascii="仿宋_GB2312" w:eastAsia="仿宋_GB2312"/>
          <w:sz w:val="32"/>
          <w:szCs w:val="32"/>
        </w:rPr>
        <w:t>万元，比</w:t>
      </w:r>
      <w:r>
        <w:rPr>
          <w:rFonts w:ascii="仿宋_GB2312" w:eastAsia="仿宋_GB2312"/>
          <w:sz w:val="32"/>
          <w:szCs w:val="32"/>
        </w:rPr>
        <w:t>20</w:t>
      </w:r>
      <w:r>
        <w:rPr>
          <w:rFonts w:hint="eastAsia" w:ascii="仿宋_GB2312" w:eastAsia="仿宋_GB2312"/>
          <w:sz w:val="32"/>
          <w:szCs w:val="32"/>
        </w:rPr>
        <w:t>2</w:t>
      </w:r>
      <w:r>
        <w:rPr>
          <w:rFonts w:hint="eastAsia" w:ascii="仿宋_GB2312" w:eastAsia="仿宋_GB2312"/>
          <w:sz w:val="32"/>
          <w:szCs w:val="32"/>
          <w:lang w:val="en-US" w:eastAsia="zh-CN"/>
        </w:rPr>
        <w:t>1</w:t>
      </w:r>
      <w:r>
        <w:rPr>
          <w:rFonts w:hint="eastAsia" w:ascii="仿宋_GB2312" w:eastAsia="仿宋_GB2312"/>
          <w:sz w:val="32"/>
          <w:szCs w:val="32"/>
        </w:rPr>
        <w:t>年增加</w:t>
      </w:r>
      <w:r>
        <w:rPr>
          <w:rFonts w:hint="eastAsia" w:ascii="仿宋_GB2312" w:eastAsia="仿宋_GB2312"/>
          <w:sz w:val="32"/>
          <w:szCs w:val="32"/>
          <w:lang w:val="en-US" w:eastAsia="zh-CN"/>
        </w:rPr>
        <w:t>13.57</w:t>
      </w:r>
      <w:r>
        <w:rPr>
          <w:rFonts w:hint="eastAsia" w:ascii="仿宋_GB2312" w:eastAsia="仿宋_GB2312"/>
          <w:sz w:val="32"/>
          <w:szCs w:val="32"/>
        </w:rPr>
        <w:t>万元，增长</w:t>
      </w:r>
      <w:r>
        <w:rPr>
          <w:rFonts w:hint="eastAsia" w:ascii="仿宋_GB2312" w:eastAsia="仿宋_GB2312"/>
          <w:sz w:val="32"/>
          <w:szCs w:val="32"/>
          <w:lang w:val="en-US" w:eastAsia="zh-CN"/>
        </w:rPr>
        <w:t>27.56</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eastAsia="zh-CN"/>
        </w:rPr>
        <w:t>公务员交通补贴计入机关运行经费增加支出。</w:t>
      </w:r>
    </w:p>
    <w:p>
      <w:pPr>
        <w:keepNext w:val="0"/>
        <w:keepLines w:val="0"/>
        <w:pageBreakBefore w:val="0"/>
        <w:kinsoku w:val="0"/>
        <w:wordWrap/>
        <w:overflowPunct/>
        <w:topLinePunct/>
        <w:autoSpaceDE/>
        <w:autoSpaceDN/>
        <w:bidi w:val="0"/>
        <w:adjustRightInd/>
        <w:spacing w:line="560" w:lineRule="exact"/>
        <w:ind w:left="0" w:leftChars="0" w:right="0" w:firstLine="640" w:firstLineChars="200"/>
        <w:rPr>
          <w:rFonts w:hint="eastAsia" w:ascii="楷体" w:hAnsi="楷体" w:eastAsia="楷体" w:cs="楷体"/>
          <w:bCs/>
          <w:sz w:val="32"/>
          <w:szCs w:val="32"/>
        </w:rPr>
      </w:pPr>
      <w:bookmarkStart w:id="50" w:name="_Toc15377223"/>
      <w:r>
        <w:rPr>
          <w:rFonts w:hint="eastAsia" w:ascii="楷体" w:hAnsi="楷体" w:eastAsia="楷体" w:cs="楷体"/>
          <w:bCs/>
          <w:sz w:val="32"/>
          <w:szCs w:val="32"/>
        </w:rPr>
        <w:t>（二）政府采购支出情况</w:t>
      </w:r>
      <w:bookmarkEnd w:id="50"/>
    </w:p>
    <w:p>
      <w:pPr>
        <w:pageBreakBefore w:val="0"/>
        <w:wordWrap/>
        <w:overflowPunct/>
        <w:bidi w:val="0"/>
        <w:spacing w:line="560" w:lineRule="exact"/>
        <w:ind w:left="0" w:leftChars="0" w:right="0" w:firstLine="640" w:firstLineChars="200"/>
        <w:rPr>
          <w:rFonts w:ascii="仿宋" w:hAnsi="仿宋" w:eastAsia="仿宋"/>
          <w:b/>
          <w:sz w:val="32"/>
          <w:szCs w:val="32"/>
        </w:rPr>
      </w:pPr>
      <w:r>
        <w:rPr>
          <w:rFonts w:ascii="仿宋_GB2312" w:eastAsia="仿宋_GB2312"/>
          <w:sz w:val="32"/>
          <w:szCs w:val="32"/>
        </w:rPr>
        <w:t>20</w:t>
      </w:r>
      <w:r>
        <w:rPr>
          <w:rFonts w:hint="eastAsia" w:ascii="仿宋_GB2312" w:eastAsia="仿宋_GB2312"/>
          <w:sz w:val="32"/>
          <w:szCs w:val="32"/>
        </w:rPr>
        <w:t>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eastAsia="zh-CN"/>
        </w:rPr>
        <w:t>县委政法委</w:t>
      </w:r>
      <w:r>
        <w:rPr>
          <w:rFonts w:hint="eastAsia" w:ascii="仿宋_GB2312" w:eastAsia="仿宋_GB2312"/>
          <w:sz w:val="32"/>
          <w:szCs w:val="32"/>
        </w:rPr>
        <w:t>政府采购支出总额</w:t>
      </w:r>
      <w:r>
        <w:rPr>
          <w:rFonts w:hint="eastAsia" w:ascii="仿宋_GB2312" w:eastAsia="仿宋_GB2312"/>
          <w:sz w:val="32"/>
          <w:szCs w:val="32"/>
          <w:lang w:val="en-US" w:eastAsia="zh-CN"/>
        </w:rPr>
        <w:t>0</w:t>
      </w:r>
      <w:r>
        <w:rPr>
          <w:rFonts w:hint="eastAsia" w:ascii="仿宋_GB2312" w:eastAsia="仿宋_GB2312"/>
          <w:sz w:val="32"/>
          <w:szCs w:val="32"/>
        </w:rPr>
        <w:t>万元。</w:t>
      </w:r>
    </w:p>
    <w:p>
      <w:pPr>
        <w:keepNext w:val="0"/>
        <w:keepLines w:val="0"/>
        <w:pageBreakBefore w:val="0"/>
        <w:kinsoku w:val="0"/>
        <w:wordWrap/>
        <w:overflowPunct/>
        <w:topLinePunct/>
        <w:autoSpaceDE/>
        <w:autoSpaceDN/>
        <w:bidi w:val="0"/>
        <w:adjustRightInd/>
        <w:spacing w:line="560" w:lineRule="exact"/>
        <w:ind w:left="0" w:leftChars="0" w:right="0" w:firstLine="640" w:firstLineChars="200"/>
        <w:rPr>
          <w:rFonts w:hint="eastAsia" w:ascii="楷体" w:hAnsi="楷体" w:eastAsia="楷体" w:cs="楷体"/>
          <w:bCs/>
          <w:sz w:val="32"/>
          <w:szCs w:val="32"/>
        </w:rPr>
      </w:pPr>
      <w:bookmarkStart w:id="51" w:name="_Toc15377224"/>
      <w:r>
        <w:rPr>
          <w:rFonts w:hint="eastAsia" w:ascii="楷体" w:hAnsi="楷体" w:eastAsia="楷体" w:cs="楷体"/>
          <w:bCs/>
          <w:sz w:val="32"/>
          <w:szCs w:val="32"/>
        </w:rPr>
        <w:t>（三）国有资产占有使用情况</w:t>
      </w:r>
      <w:bookmarkEnd w:id="51"/>
    </w:p>
    <w:p>
      <w:pPr>
        <w:pageBreakBefore w:val="0"/>
        <w:wordWrap/>
        <w:overflowPunct/>
        <w:autoSpaceDE w:val="0"/>
        <w:autoSpaceDN w:val="0"/>
        <w:bidi w:val="0"/>
        <w:adjustRightInd w:val="0"/>
        <w:spacing w:line="560" w:lineRule="exact"/>
        <w:ind w:left="0" w:leftChars="0" w:right="0"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w:t>
      </w:r>
      <w:r>
        <w:rPr>
          <w:rFonts w:hint="eastAsia" w:ascii="仿宋_GB2312" w:eastAsia="仿宋_GB2312"/>
          <w:sz w:val="32"/>
          <w:szCs w:val="32"/>
          <w:lang w:val="en-US" w:eastAsia="zh-CN"/>
        </w:rPr>
        <w:t>2</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sz w:val="32"/>
          <w:szCs w:val="32"/>
          <w:lang w:eastAsia="zh-CN"/>
        </w:rPr>
        <w:t>县委政法委</w:t>
      </w:r>
      <w:r>
        <w:rPr>
          <w:rFonts w:hint="eastAsia" w:ascii="仿宋_GB2312" w:eastAsia="仿宋_GB2312"/>
          <w:sz w:val="32"/>
          <w:szCs w:val="32"/>
        </w:rPr>
        <w:t>共有车辆</w:t>
      </w:r>
      <w:r>
        <w:rPr>
          <w:rFonts w:hint="eastAsia" w:ascii="仿宋_GB2312" w:eastAsia="仿宋_GB2312"/>
          <w:sz w:val="32"/>
          <w:szCs w:val="32"/>
          <w:lang w:val="en-US" w:eastAsia="zh-CN"/>
        </w:rPr>
        <w:t>0</w:t>
      </w:r>
      <w:r>
        <w:rPr>
          <w:rFonts w:hint="eastAsia" w:ascii="仿宋_GB2312" w:eastAsia="仿宋_GB2312"/>
          <w:sz w:val="32"/>
          <w:szCs w:val="32"/>
        </w:rPr>
        <w:t>辆，单价</w:t>
      </w:r>
      <w:r>
        <w:rPr>
          <w:rFonts w:ascii="仿宋_GB2312" w:eastAsia="仿宋_GB2312"/>
          <w:sz w:val="32"/>
          <w:szCs w:val="32"/>
        </w:rPr>
        <w:t>50</w:t>
      </w:r>
      <w:r>
        <w:rPr>
          <w:rFonts w:hint="eastAsia" w:ascii="仿宋_GB2312" w:eastAsia="仿宋_GB2312"/>
          <w:sz w:val="32"/>
          <w:szCs w:val="32"/>
        </w:rPr>
        <w:t>万元以上通用设备</w:t>
      </w:r>
      <w:r>
        <w:rPr>
          <w:rFonts w:hint="eastAsia" w:ascii="仿宋_GB2312" w:eastAsia="仿宋_GB2312"/>
          <w:sz w:val="32"/>
          <w:szCs w:val="32"/>
          <w:lang w:val="en-US" w:eastAsia="zh-CN"/>
        </w:rPr>
        <w:t>0</w:t>
      </w:r>
      <w:r>
        <w:rPr>
          <w:rFonts w:hint="eastAsia" w:ascii="仿宋_GB2312" w:eastAsia="仿宋_GB2312"/>
          <w:sz w:val="32"/>
          <w:szCs w:val="32"/>
        </w:rPr>
        <w:t>台（套），单价</w:t>
      </w:r>
      <w:r>
        <w:rPr>
          <w:rFonts w:ascii="仿宋_GB2312" w:eastAsia="仿宋_GB2312"/>
          <w:sz w:val="32"/>
          <w:szCs w:val="32"/>
        </w:rPr>
        <w:t>100</w:t>
      </w:r>
      <w:r>
        <w:rPr>
          <w:rFonts w:hint="eastAsia" w:ascii="仿宋_GB2312" w:eastAsia="仿宋_GB2312"/>
          <w:sz w:val="32"/>
          <w:szCs w:val="32"/>
        </w:rPr>
        <w:t>万元以上专用设备</w:t>
      </w:r>
      <w:r>
        <w:rPr>
          <w:rFonts w:hint="eastAsia" w:ascii="仿宋_GB2312" w:eastAsia="仿宋_GB2312"/>
          <w:sz w:val="32"/>
          <w:szCs w:val="32"/>
          <w:lang w:val="en-US" w:eastAsia="zh-CN"/>
        </w:rPr>
        <w:t>0</w:t>
      </w:r>
      <w:r>
        <w:rPr>
          <w:rFonts w:hint="eastAsia" w:ascii="仿宋_GB2312" w:eastAsia="仿宋_GB2312"/>
          <w:sz w:val="32"/>
          <w:szCs w:val="32"/>
        </w:rPr>
        <w:t>台（套）。</w:t>
      </w:r>
    </w:p>
    <w:p>
      <w:pPr>
        <w:keepNext w:val="0"/>
        <w:keepLines w:val="0"/>
        <w:pageBreakBefore w:val="0"/>
        <w:kinsoku w:val="0"/>
        <w:wordWrap/>
        <w:overflowPunct/>
        <w:topLinePunct/>
        <w:autoSpaceDE/>
        <w:autoSpaceDN/>
        <w:bidi w:val="0"/>
        <w:adjustRightInd/>
        <w:spacing w:line="560" w:lineRule="exact"/>
        <w:ind w:left="0" w:leftChars="0" w:right="0" w:firstLine="640" w:firstLineChars="200"/>
        <w:rPr>
          <w:rFonts w:hint="eastAsia" w:ascii="楷体" w:hAnsi="楷体" w:eastAsia="楷体" w:cs="楷体"/>
          <w:bCs/>
          <w:sz w:val="32"/>
          <w:szCs w:val="32"/>
        </w:rPr>
      </w:pPr>
      <w:r>
        <w:rPr>
          <w:rFonts w:hint="eastAsia" w:ascii="楷体" w:hAnsi="楷体" w:eastAsia="楷体" w:cs="楷体"/>
          <w:bCs/>
          <w:sz w:val="32"/>
          <w:szCs w:val="32"/>
        </w:rPr>
        <w:t>（四）预算绩效管理情况</w:t>
      </w:r>
    </w:p>
    <w:p>
      <w:pPr>
        <w:pageBreakBefore w:val="0"/>
        <w:kinsoku/>
        <w:wordWrap/>
        <w:overflowPunct/>
        <w:topLinePunct w:val="0"/>
        <w:bidi w:val="0"/>
        <w:spacing w:line="556" w:lineRule="exact"/>
        <w:ind w:left="0" w:leftChars="0" w:right="0" w:firstLine="640" w:firstLineChars="200"/>
        <w:outlineLvl w:val="2"/>
        <w:rPr>
          <w:rFonts w:ascii="仿宋_GB2312" w:hAnsi="仿宋_GB2312" w:eastAsia="仿宋_GB2312"/>
          <w:b w:val="0"/>
          <w:bCs/>
          <w:sz w:val="32"/>
          <w:szCs w:val="32"/>
        </w:rPr>
      </w:pPr>
      <w:r>
        <w:rPr>
          <w:rFonts w:hint="eastAsia" w:ascii="仿宋_GB2312" w:hAnsi="仿宋_GB2312" w:eastAsia="仿宋_GB2312" w:cs="仿宋_GB2312"/>
          <w:b w:val="0"/>
          <w:bCs/>
          <w:sz w:val="32"/>
          <w:szCs w:val="32"/>
        </w:rPr>
        <w:t>根据预算绩效管理要求，本部门（单位）在年初预算编制阶段，组织对</w:t>
      </w:r>
      <w:r>
        <w:rPr>
          <w:rFonts w:hint="eastAsia" w:ascii="仿宋_GB2312" w:hAnsi="仿宋_GB2312" w:eastAsia="仿宋_GB2312" w:cs="仿宋_GB2312"/>
          <w:b w:val="0"/>
          <w:bCs/>
          <w:sz w:val="32"/>
          <w:szCs w:val="32"/>
          <w:lang w:eastAsia="zh-CN"/>
        </w:rPr>
        <w:t>扫黑除恶斗争经费、信访维稳基金、雪亮工程网格化经费、政法三级网络费、多元化解法学会工作经费、严重精神障碍患者以奖代补等</w:t>
      </w:r>
      <w:r>
        <w:rPr>
          <w:rFonts w:hint="eastAsia" w:ascii="仿宋_GB2312" w:hAnsi="仿宋_GB2312" w:eastAsia="仿宋_GB2312" w:cs="仿宋_GB2312"/>
          <w:b w:val="0"/>
          <w:bCs/>
          <w:sz w:val="32"/>
          <w:szCs w:val="32"/>
          <w:lang w:val="en-US" w:eastAsia="zh-CN"/>
        </w:rPr>
        <w:t>7</w:t>
      </w:r>
      <w:r>
        <w:rPr>
          <w:rFonts w:hint="eastAsia" w:ascii="仿宋_GB2312" w:hAnsi="仿宋_GB2312" w:eastAsia="仿宋_GB2312" w:cs="仿宋_GB2312"/>
          <w:b w:val="0"/>
          <w:bCs/>
          <w:sz w:val="32"/>
          <w:szCs w:val="32"/>
        </w:rPr>
        <w:t>项目开展了预算事前绩效评估，对</w:t>
      </w:r>
      <w:r>
        <w:rPr>
          <w:rFonts w:hint="eastAsia" w:ascii="仿宋_GB2312" w:hAnsi="仿宋_GB2312" w:eastAsia="仿宋_GB2312" w:cs="仿宋_GB2312"/>
          <w:b w:val="0"/>
          <w:bCs/>
          <w:sz w:val="32"/>
          <w:szCs w:val="32"/>
          <w:lang w:val="en-US" w:eastAsia="zh-CN"/>
        </w:rPr>
        <w:t>9</w:t>
      </w:r>
      <w:r>
        <w:rPr>
          <w:rFonts w:hint="eastAsia" w:ascii="仿宋_GB2312" w:hAnsi="仿宋_GB2312" w:eastAsia="仿宋_GB2312" w:cs="仿宋_GB2312"/>
          <w:b w:val="0"/>
          <w:bCs/>
          <w:sz w:val="32"/>
          <w:szCs w:val="32"/>
        </w:rPr>
        <w:t>个项目编制了绩效目标，预算执行过程中，选取</w:t>
      </w:r>
      <w:r>
        <w:rPr>
          <w:rFonts w:hint="eastAsia" w:ascii="仿宋_GB2312" w:hAnsi="仿宋_GB2312" w:eastAsia="仿宋_GB2312" w:cs="仿宋_GB2312"/>
          <w:b w:val="0"/>
          <w:bCs/>
          <w:sz w:val="32"/>
          <w:szCs w:val="32"/>
          <w:lang w:val="en-US" w:eastAsia="zh-CN"/>
        </w:rPr>
        <w:t>7</w:t>
      </w:r>
      <w:r>
        <w:rPr>
          <w:rFonts w:hint="eastAsia" w:ascii="仿宋_GB2312" w:hAnsi="仿宋_GB2312" w:eastAsia="仿宋_GB2312" w:cs="仿宋_GB2312"/>
          <w:b w:val="0"/>
          <w:bCs/>
          <w:sz w:val="32"/>
          <w:szCs w:val="32"/>
        </w:rPr>
        <w:t>个项目开展绩效监控，年终执行完毕后，对</w:t>
      </w:r>
      <w:r>
        <w:rPr>
          <w:rFonts w:hint="eastAsia" w:ascii="仿宋_GB2312" w:hAnsi="仿宋_GB2312" w:eastAsia="仿宋_GB2312" w:cs="仿宋_GB2312"/>
          <w:b w:val="0"/>
          <w:bCs/>
          <w:sz w:val="32"/>
          <w:szCs w:val="32"/>
          <w:lang w:eastAsia="zh-CN"/>
        </w:rPr>
        <w:t>雪亮工程、网格化</w:t>
      </w: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rPr>
        <w:t>个项目开展了绩效目标完成情况自评。</w:t>
      </w:r>
    </w:p>
    <w:p>
      <w:pPr>
        <w:pageBreakBefore w:val="0"/>
        <w:kinsoku/>
        <w:wordWrap/>
        <w:overflowPunct/>
        <w:topLinePunct w:val="0"/>
        <w:bidi w:val="0"/>
        <w:spacing w:line="556" w:lineRule="exact"/>
        <w:ind w:left="0" w:right="0" w:firstLine="640" w:firstLineChars="200"/>
        <w:textAlignment w:val="auto"/>
        <w:rPr>
          <w:rFonts w:ascii="仿宋_GB2312" w:hAnsi="仿宋_GB2312" w:eastAsia="仿宋_GB2312"/>
          <w:b w:val="0"/>
          <w:bCs/>
          <w:sz w:val="32"/>
          <w:szCs w:val="32"/>
        </w:rPr>
      </w:pPr>
      <w:r>
        <w:rPr>
          <w:rFonts w:hint="eastAsia" w:ascii="仿宋_GB2312" w:hAnsi="仿宋_GB2312" w:eastAsia="仿宋_GB2312" w:cs="仿宋_GB2312"/>
          <w:b w:val="0"/>
          <w:bCs/>
          <w:sz w:val="32"/>
          <w:szCs w:val="32"/>
        </w:rPr>
        <w:t>本部门按要求对</w:t>
      </w:r>
      <w:r>
        <w:rPr>
          <w:rFonts w:ascii="仿宋_GB2312" w:hAnsi="仿宋_GB2312" w:eastAsia="仿宋_GB2312" w:cs="仿宋_GB2312"/>
          <w:b w:val="0"/>
          <w:bCs/>
          <w:sz w:val="32"/>
          <w:szCs w:val="32"/>
        </w:rPr>
        <w:t>20</w:t>
      </w:r>
      <w:r>
        <w:rPr>
          <w:rFonts w:hint="eastAsia" w:ascii="仿宋_GB2312" w:hAnsi="仿宋_GB2312" w:eastAsia="仿宋_GB2312" w:cs="仿宋_GB2312"/>
          <w:b w:val="0"/>
          <w:bCs/>
          <w:sz w:val="32"/>
          <w:szCs w:val="32"/>
          <w:lang w:val="en-US" w:eastAsia="zh-CN"/>
        </w:rPr>
        <w:t>22</w:t>
      </w:r>
      <w:r>
        <w:rPr>
          <w:rFonts w:hint="eastAsia" w:ascii="仿宋_GB2312" w:hAnsi="仿宋_GB2312" w:eastAsia="仿宋_GB2312" w:cs="仿宋_GB2312"/>
          <w:b w:val="0"/>
          <w:bCs/>
          <w:sz w:val="32"/>
          <w:szCs w:val="32"/>
        </w:rPr>
        <w:t>年部门整体支出开展绩效自评，从评价情况来看</w:t>
      </w:r>
      <w:r>
        <w:rPr>
          <w:rFonts w:hint="eastAsia" w:ascii="仿宋" w:hAnsi="仿宋" w:eastAsia="仿宋" w:cs="Times New Roman"/>
          <w:b w:val="0"/>
          <w:bCs/>
          <w:sz w:val="32"/>
          <w:szCs w:val="32"/>
        </w:rPr>
        <w:t>通过绩效自评，</w:t>
      </w:r>
      <w:r>
        <w:rPr>
          <w:rFonts w:ascii="仿宋" w:hAnsi="仿宋" w:eastAsia="仿宋" w:cs="Times New Roman"/>
          <w:b w:val="0"/>
          <w:bCs/>
          <w:sz w:val="32"/>
          <w:szCs w:val="32"/>
        </w:rPr>
        <w:t>20</w:t>
      </w:r>
      <w:r>
        <w:rPr>
          <w:rFonts w:hint="eastAsia" w:ascii="仿宋" w:hAnsi="仿宋" w:eastAsia="仿宋" w:cs="Times New Roman"/>
          <w:b w:val="0"/>
          <w:bCs/>
          <w:sz w:val="32"/>
          <w:szCs w:val="32"/>
          <w:lang w:val="en-US" w:eastAsia="zh-CN"/>
        </w:rPr>
        <w:t>22</w:t>
      </w:r>
      <w:r>
        <w:rPr>
          <w:rFonts w:hint="eastAsia" w:ascii="仿宋" w:hAnsi="仿宋" w:eastAsia="仿宋" w:cs="Times New Roman"/>
          <w:b w:val="0"/>
          <w:bCs/>
          <w:sz w:val="32"/>
          <w:szCs w:val="32"/>
        </w:rPr>
        <w:t>年</w:t>
      </w:r>
      <w:r>
        <w:rPr>
          <w:rFonts w:hint="eastAsia" w:ascii="仿宋" w:hAnsi="仿宋" w:eastAsia="仿宋"/>
          <w:b w:val="0"/>
          <w:bCs/>
          <w:sz w:val="32"/>
          <w:szCs w:val="32"/>
        </w:rPr>
        <w:t>县委政法委</w:t>
      </w:r>
      <w:r>
        <w:rPr>
          <w:rFonts w:hint="eastAsia" w:ascii="仿宋" w:hAnsi="仿宋" w:eastAsia="仿宋" w:cs="Times New Roman"/>
          <w:b w:val="0"/>
          <w:bCs/>
          <w:sz w:val="32"/>
          <w:szCs w:val="32"/>
        </w:rPr>
        <w:t>目标制定明确，完成数量和质量均得到有效控制，认真贯彻落实中央、省市县委全面推进高质量发展的决定，着力抓好</w:t>
      </w:r>
      <w:r>
        <w:rPr>
          <w:rFonts w:hint="eastAsia" w:ascii="仿宋" w:hAnsi="仿宋" w:eastAsia="仿宋"/>
          <w:b w:val="0"/>
          <w:bCs/>
          <w:sz w:val="32"/>
          <w:szCs w:val="32"/>
        </w:rPr>
        <w:t>维护稳定、社会治理、扫黑除恶斗争、司法改革创新</w:t>
      </w:r>
      <w:r>
        <w:rPr>
          <w:rFonts w:hint="eastAsia" w:ascii="仿宋" w:hAnsi="仿宋" w:eastAsia="仿宋" w:cs="Times New Roman"/>
          <w:b w:val="0"/>
          <w:bCs/>
          <w:sz w:val="32"/>
          <w:szCs w:val="32"/>
        </w:rPr>
        <w:t>等重点工作，</w:t>
      </w:r>
      <w:r>
        <w:rPr>
          <w:rFonts w:ascii="仿宋" w:hAnsi="仿宋" w:eastAsia="仿宋"/>
          <w:b w:val="0"/>
          <w:bCs/>
          <w:sz w:val="32"/>
          <w:szCs w:val="32"/>
        </w:rPr>
        <w:t>扫黑除恶斗争</w:t>
      </w:r>
      <w:r>
        <w:rPr>
          <w:rFonts w:hint="eastAsia" w:ascii="仿宋" w:hAnsi="仿宋" w:eastAsia="仿宋"/>
          <w:b w:val="0"/>
          <w:bCs/>
          <w:sz w:val="32"/>
          <w:szCs w:val="32"/>
          <w:lang w:eastAsia="zh-CN"/>
        </w:rPr>
        <w:t>常态开展</w:t>
      </w:r>
      <w:r>
        <w:rPr>
          <w:rFonts w:ascii="仿宋" w:hAnsi="仿宋" w:eastAsia="仿宋"/>
          <w:b w:val="0"/>
          <w:bCs/>
          <w:sz w:val="32"/>
          <w:szCs w:val="32"/>
        </w:rPr>
        <w:t>，维护政治安全和社会稳定坚定有力，平安</w:t>
      </w:r>
      <w:r>
        <w:rPr>
          <w:rFonts w:hint="eastAsia" w:ascii="仿宋" w:hAnsi="仿宋" w:eastAsia="仿宋"/>
          <w:b w:val="0"/>
          <w:bCs/>
          <w:sz w:val="32"/>
          <w:szCs w:val="32"/>
        </w:rPr>
        <w:t>剑阁</w:t>
      </w:r>
      <w:r>
        <w:rPr>
          <w:rFonts w:ascii="仿宋" w:hAnsi="仿宋" w:eastAsia="仿宋"/>
          <w:b w:val="0"/>
          <w:bCs/>
          <w:sz w:val="32"/>
          <w:szCs w:val="32"/>
        </w:rPr>
        <w:t>建设根基不断夯实，服务大局精准有效，执法司法公信力持续有进，法治</w:t>
      </w:r>
      <w:r>
        <w:rPr>
          <w:rFonts w:hint="eastAsia" w:ascii="仿宋" w:hAnsi="仿宋" w:eastAsia="仿宋"/>
          <w:b w:val="0"/>
          <w:bCs/>
          <w:sz w:val="32"/>
          <w:szCs w:val="32"/>
        </w:rPr>
        <w:t>剑阁</w:t>
      </w:r>
      <w:r>
        <w:rPr>
          <w:rFonts w:ascii="仿宋" w:hAnsi="仿宋" w:eastAsia="仿宋"/>
          <w:b w:val="0"/>
          <w:bCs/>
          <w:sz w:val="32"/>
          <w:szCs w:val="32"/>
        </w:rPr>
        <w:t>建设务实有为，过硬队伍建设持续加强。</w:t>
      </w:r>
      <w:r>
        <w:rPr>
          <w:rFonts w:hint="eastAsia" w:ascii="仿宋" w:hAnsi="仿宋" w:eastAsia="仿宋" w:cs="Times New Roman"/>
          <w:b w:val="0"/>
          <w:bCs/>
          <w:sz w:val="32"/>
          <w:szCs w:val="32"/>
        </w:rPr>
        <w:t>认真抓好基层组织建设、党风廉政建设、作风纪律建设、意识形态及宣传思想文化、统一战线等党的建设工作，</w:t>
      </w:r>
      <w:r>
        <w:rPr>
          <w:rFonts w:hint="eastAsia" w:ascii="仿宋" w:hAnsi="仿宋" w:eastAsia="仿宋"/>
          <w:b w:val="0"/>
          <w:bCs/>
          <w:sz w:val="32"/>
          <w:szCs w:val="32"/>
        </w:rPr>
        <w:t>强</w:t>
      </w:r>
      <w:r>
        <w:rPr>
          <w:rFonts w:hint="eastAsia" w:ascii="仿宋" w:hAnsi="仿宋" w:eastAsia="仿宋" w:cs="Times New Roman"/>
          <w:b w:val="0"/>
          <w:bCs/>
          <w:sz w:val="32"/>
          <w:szCs w:val="32"/>
        </w:rPr>
        <w:t>力推动落实脱贫攻坚</w:t>
      </w:r>
      <w:r>
        <w:rPr>
          <w:rFonts w:hint="eastAsia" w:ascii="仿宋" w:hAnsi="仿宋" w:eastAsia="仿宋" w:cs="Times New Roman"/>
          <w:b w:val="0"/>
          <w:bCs/>
          <w:sz w:val="32"/>
          <w:szCs w:val="32"/>
          <w:lang w:eastAsia="zh-CN"/>
        </w:rPr>
        <w:t>与乡村振兴有效衔接</w:t>
      </w:r>
      <w:r>
        <w:rPr>
          <w:rFonts w:hint="eastAsia" w:ascii="仿宋" w:hAnsi="仿宋" w:eastAsia="仿宋" w:cs="Times New Roman"/>
          <w:b w:val="0"/>
          <w:bCs/>
          <w:sz w:val="32"/>
          <w:szCs w:val="32"/>
        </w:rPr>
        <w:t>帮扶工作，完成了县委县政府交办的各项任务。部门整体支出绩效达到了预期目的，确保了目标任务完成。</w:t>
      </w:r>
    </w:p>
    <w:p>
      <w:pPr>
        <w:pageBreakBefore w:val="0"/>
        <w:wordWrap/>
        <w:overflowPunct/>
        <w:bidi w:val="0"/>
        <w:spacing w:line="560" w:lineRule="exact"/>
        <w:ind w:left="0" w:leftChars="0" w:right="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同时，本部门对202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年部门整体开展绩效自评，《202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县委政法委</w:t>
      </w:r>
      <w:r>
        <w:rPr>
          <w:rFonts w:hint="eastAsia" w:ascii="仿宋_GB2312" w:hAnsi="仿宋_GB2312" w:eastAsia="仿宋_GB2312" w:cs="仿宋_GB2312"/>
          <w:sz w:val="32"/>
          <w:szCs w:val="32"/>
        </w:rPr>
        <w:t>部门整体绩效评价报告》见附件（第四部分）。</w:t>
      </w:r>
    </w:p>
    <w:p>
      <w:pPr>
        <w:pageBreakBefore w:val="0"/>
        <w:widowControl/>
        <w:wordWrap/>
        <w:overflowPunct/>
        <w:bidi w:val="0"/>
        <w:spacing w:line="560" w:lineRule="exact"/>
        <w:ind w:left="0" w:leftChars="0" w:right="0" w:firstLine="643" w:firstLineChars="200"/>
        <w:jc w:val="left"/>
        <w:rPr>
          <w:rFonts w:ascii="仿宋_GB2312" w:eastAsia="仿宋_GB2312"/>
          <w:b/>
          <w:sz w:val="32"/>
          <w:szCs w:val="32"/>
        </w:rPr>
      </w:pPr>
      <w:r>
        <w:rPr>
          <w:rFonts w:ascii="仿宋_GB2312" w:eastAsia="仿宋_GB2312"/>
          <w:b/>
          <w:sz w:val="32"/>
          <w:szCs w:val="32"/>
        </w:rPr>
        <w:br w:type="page"/>
      </w:r>
    </w:p>
    <w:p>
      <w:pPr>
        <w:pageBreakBefore w:val="0"/>
        <w:widowControl/>
        <w:kinsoku/>
        <w:wordWrap/>
        <w:overflowPunct/>
        <w:topLinePunct w:val="0"/>
        <w:bidi w:val="0"/>
        <w:spacing w:line="556" w:lineRule="exact"/>
        <w:ind w:right="0"/>
        <w:jc w:val="center"/>
        <w:rPr>
          <w:rStyle w:val="29"/>
          <w:rFonts w:ascii="黑体" w:hAnsi="黑体" w:eastAsia="黑体"/>
          <w:b w:val="0"/>
        </w:rPr>
      </w:pPr>
      <w:r>
        <w:rPr>
          <w:rFonts w:hint="eastAsia" w:ascii="黑体" w:hAnsi="黑体" w:eastAsia="黑体"/>
          <w:color w:val="000000"/>
          <w:sz w:val="44"/>
          <w:szCs w:val="44"/>
        </w:rPr>
        <w:t>第</w:t>
      </w:r>
      <w:r>
        <w:rPr>
          <w:rFonts w:hint="eastAsia" w:ascii="黑体" w:hAnsi="黑体" w:eastAsia="黑体"/>
          <w:color w:val="000000"/>
          <w:sz w:val="44"/>
          <w:szCs w:val="44"/>
          <w:lang w:eastAsia="zh-CN"/>
        </w:rPr>
        <w:t>三</w:t>
      </w:r>
      <w:r>
        <w:rPr>
          <w:rFonts w:hint="eastAsia" w:ascii="黑体" w:hAnsi="黑体" w:eastAsia="黑体"/>
          <w:color w:val="000000"/>
          <w:sz w:val="44"/>
          <w:szCs w:val="44"/>
        </w:rPr>
        <w:t>部分</w:t>
      </w:r>
      <w:r>
        <w:rPr>
          <w:rFonts w:hint="eastAsia" w:ascii="黑体" w:hAnsi="黑体" w:eastAsia="黑体"/>
          <w:color w:val="000000"/>
          <w:sz w:val="44"/>
          <w:szCs w:val="44"/>
          <w:lang w:val="en-US" w:eastAsia="zh-CN"/>
        </w:rPr>
        <w:t xml:space="preserve">  </w:t>
      </w:r>
      <w:r>
        <w:rPr>
          <w:rFonts w:hint="eastAsia" w:ascii="黑体" w:hAnsi="黑体" w:eastAsia="黑体"/>
          <w:color w:val="000000"/>
          <w:sz w:val="44"/>
          <w:szCs w:val="44"/>
        </w:rPr>
        <w:t>名</w:t>
      </w:r>
      <w:r>
        <w:rPr>
          <w:rStyle w:val="29"/>
          <w:rFonts w:hint="eastAsia" w:ascii="黑体" w:hAnsi="黑体" w:eastAsia="黑体"/>
          <w:b w:val="0"/>
        </w:rPr>
        <w:t>词解释</w:t>
      </w:r>
    </w:p>
    <w:p>
      <w:pPr>
        <w:pageBreakBefore w:val="0"/>
        <w:kinsoku/>
        <w:wordWrap/>
        <w:overflowPunct/>
        <w:topLinePunct w:val="0"/>
        <w:bidi w:val="0"/>
        <w:spacing w:line="556" w:lineRule="exact"/>
        <w:ind w:left="0" w:leftChars="0" w:right="0" w:firstLine="883" w:firstLineChars="200"/>
        <w:jc w:val="left"/>
        <w:rPr>
          <w:rFonts w:ascii="宋体"/>
          <w:b/>
          <w:color w:val="000000"/>
          <w:sz w:val="44"/>
          <w:szCs w:val="44"/>
        </w:rPr>
      </w:pPr>
    </w:p>
    <w:p>
      <w:pPr>
        <w:pStyle w:val="21"/>
        <w:pageBreakBefore w:val="0"/>
        <w:kinsoku/>
        <w:wordWrap/>
        <w:overflowPunct/>
        <w:topLinePunct w:val="0"/>
        <w:bidi w:val="0"/>
        <w:spacing w:line="556" w:lineRule="exact"/>
        <w:ind w:left="0" w:firstLine="640" w:firstLineChars="200"/>
        <w:textAlignment w:val="auto"/>
        <w:rPr>
          <w:rFonts w:ascii="仿宋_GB2312" w:eastAsia="仿宋_GB2312" w:cs="Times New Roman"/>
          <w:spacing w:val="-11"/>
          <w:sz w:val="32"/>
          <w:szCs w:val="32"/>
        </w:rPr>
      </w:pPr>
      <w:r>
        <w:rPr>
          <w:rFonts w:hint="eastAsia" w:ascii="楷体_GB2312" w:hAnsi="楷体_GB2312" w:eastAsia="楷体_GB2312" w:cs="楷体_GB2312"/>
          <w:b w:val="0"/>
          <w:bCs w:val="0"/>
          <w:color w:val="auto"/>
          <w:kern w:val="2"/>
          <w:sz w:val="32"/>
          <w:szCs w:val="32"/>
          <w:lang w:val="en-US" w:eastAsia="zh-CN" w:bidi="ar-SA"/>
        </w:rPr>
        <w:t>1.财政拨款收入：</w:t>
      </w:r>
      <w:r>
        <w:rPr>
          <w:rFonts w:hint="eastAsia" w:ascii="仿宋_GB2312" w:eastAsia="仿宋_GB2312" w:cs="仿宋_GB2312"/>
          <w:spacing w:val="-11"/>
          <w:sz w:val="32"/>
          <w:szCs w:val="32"/>
        </w:rPr>
        <w:t>指单位从同级财政部门取得的财政预算资金。</w:t>
      </w:r>
    </w:p>
    <w:p>
      <w:pPr>
        <w:pStyle w:val="21"/>
        <w:pageBreakBefore w:val="0"/>
        <w:kinsoku/>
        <w:wordWrap/>
        <w:overflowPunct/>
        <w:topLinePunct w:val="0"/>
        <w:bidi w:val="0"/>
        <w:spacing w:line="556" w:lineRule="exact"/>
        <w:ind w:left="0" w:firstLine="640" w:firstLineChars="200"/>
        <w:textAlignment w:val="auto"/>
        <w:rPr>
          <w:rFonts w:ascii="仿宋_GB2312" w:eastAsia="仿宋_GB2312" w:cs="Times New Roman"/>
          <w:sz w:val="32"/>
          <w:szCs w:val="32"/>
        </w:rPr>
      </w:pPr>
      <w:r>
        <w:rPr>
          <w:rFonts w:hint="eastAsia" w:ascii="楷体_GB2312" w:hAnsi="楷体_GB2312" w:eastAsia="楷体_GB2312" w:cs="楷体_GB2312"/>
          <w:b w:val="0"/>
          <w:bCs w:val="0"/>
          <w:color w:val="auto"/>
          <w:kern w:val="2"/>
          <w:sz w:val="32"/>
          <w:szCs w:val="32"/>
          <w:lang w:val="en-US" w:eastAsia="zh-CN" w:bidi="ar-SA"/>
        </w:rPr>
        <w:t>2.事业收入：</w:t>
      </w:r>
      <w:r>
        <w:rPr>
          <w:rFonts w:hint="eastAsia" w:ascii="仿宋_GB2312" w:eastAsia="仿宋_GB2312" w:cs="仿宋_GB2312"/>
          <w:sz w:val="32"/>
          <w:szCs w:val="32"/>
        </w:rPr>
        <w:t>指事业单位开展专业业务活动及辅助活动取得的收入。</w:t>
      </w:r>
    </w:p>
    <w:p>
      <w:pPr>
        <w:pStyle w:val="21"/>
        <w:pageBreakBefore w:val="0"/>
        <w:kinsoku/>
        <w:wordWrap/>
        <w:overflowPunct/>
        <w:topLinePunct w:val="0"/>
        <w:bidi w:val="0"/>
        <w:spacing w:line="556" w:lineRule="exact"/>
        <w:ind w:left="0" w:firstLine="640" w:firstLineChars="200"/>
        <w:textAlignment w:val="auto"/>
        <w:rPr>
          <w:rFonts w:ascii="仿宋_GB2312" w:eastAsia="仿宋_GB2312" w:cs="Times New Roman"/>
          <w:sz w:val="32"/>
          <w:szCs w:val="32"/>
        </w:rPr>
      </w:pPr>
      <w:r>
        <w:rPr>
          <w:rFonts w:hint="eastAsia" w:ascii="楷体_GB2312" w:hAnsi="楷体_GB2312" w:eastAsia="楷体_GB2312" w:cs="楷体_GB2312"/>
          <w:b w:val="0"/>
          <w:bCs w:val="0"/>
          <w:color w:val="auto"/>
          <w:kern w:val="2"/>
          <w:sz w:val="32"/>
          <w:szCs w:val="32"/>
          <w:lang w:val="en-US" w:eastAsia="zh-CN" w:bidi="ar-SA"/>
        </w:rPr>
        <w:t>3.经营收入：</w:t>
      </w:r>
      <w:r>
        <w:rPr>
          <w:rFonts w:hint="eastAsia" w:ascii="仿宋_GB2312" w:eastAsia="仿宋_GB2312" w:cs="仿宋_GB2312"/>
          <w:sz w:val="32"/>
          <w:szCs w:val="32"/>
        </w:rPr>
        <w:t>指事业单位在专业业务活动及其辅助活动之外开展非独立核算经营活动取得的收入。</w:t>
      </w:r>
    </w:p>
    <w:p>
      <w:pPr>
        <w:pStyle w:val="21"/>
        <w:pageBreakBefore w:val="0"/>
        <w:kinsoku/>
        <w:wordWrap/>
        <w:overflowPunct/>
        <w:topLinePunct w:val="0"/>
        <w:bidi w:val="0"/>
        <w:spacing w:line="556" w:lineRule="exact"/>
        <w:ind w:left="0" w:firstLine="640" w:firstLineChars="200"/>
        <w:textAlignment w:val="auto"/>
        <w:rPr>
          <w:rFonts w:ascii="仿宋_GB2312" w:eastAsia="仿宋_GB2312" w:cs="Times New Roman"/>
          <w:sz w:val="32"/>
          <w:szCs w:val="32"/>
        </w:rPr>
      </w:pPr>
      <w:r>
        <w:rPr>
          <w:rFonts w:hint="eastAsia" w:ascii="楷体_GB2312" w:hAnsi="楷体_GB2312" w:eastAsia="楷体_GB2312" w:cs="楷体_GB2312"/>
          <w:b w:val="0"/>
          <w:bCs w:val="0"/>
          <w:color w:val="auto"/>
          <w:kern w:val="2"/>
          <w:sz w:val="32"/>
          <w:szCs w:val="32"/>
          <w:lang w:val="en-US" w:eastAsia="zh-CN" w:bidi="ar-SA"/>
        </w:rPr>
        <w:t>4.其他收入：</w:t>
      </w:r>
      <w:r>
        <w:rPr>
          <w:rFonts w:hint="eastAsia" w:ascii="仿宋_GB2312" w:eastAsia="仿宋_GB2312" w:cs="仿宋_GB2312"/>
          <w:sz w:val="32"/>
          <w:szCs w:val="32"/>
        </w:rPr>
        <w:t>指单位取得的除上述收入以外的各项收入。</w:t>
      </w:r>
    </w:p>
    <w:p>
      <w:pPr>
        <w:pageBreakBefore w:val="0"/>
        <w:kinsoku/>
        <w:wordWrap/>
        <w:overflowPunct/>
        <w:topLinePunct w:val="0"/>
        <w:bidi w:val="0"/>
        <w:spacing w:line="556" w:lineRule="exact"/>
        <w:ind w:left="0" w:firstLine="640" w:firstLineChars="200"/>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lang w:val="en-US" w:eastAsia="zh-CN"/>
        </w:rPr>
        <w:t>5</w:t>
      </w:r>
      <w:r>
        <w:rPr>
          <w:rFonts w:hint="eastAsia" w:ascii="楷体_GB2312" w:hAnsi="楷体_GB2312" w:eastAsia="楷体_GB2312" w:cs="楷体_GB2312"/>
          <w:b w:val="0"/>
          <w:bCs w:val="0"/>
          <w:sz w:val="32"/>
          <w:szCs w:val="32"/>
        </w:rPr>
        <w:t>.一般公共预算拨款收入：</w:t>
      </w:r>
      <w:r>
        <w:rPr>
          <w:rFonts w:hint="eastAsia" w:ascii="仿宋_GB2312" w:hAnsi="仿宋_GB2312" w:eastAsia="仿宋_GB2312" w:cs="仿宋_GB2312"/>
          <w:b w:val="0"/>
          <w:bCs w:val="0"/>
          <w:sz w:val="32"/>
          <w:szCs w:val="32"/>
        </w:rPr>
        <w:t>指县级财政当年拨付的资金。</w:t>
      </w:r>
    </w:p>
    <w:p>
      <w:pPr>
        <w:pageBreakBefore w:val="0"/>
        <w:kinsoku/>
        <w:wordWrap/>
        <w:overflowPunct/>
        <w:topLinePunct w:val="0"/>
        <w:bidi w:val="0"/>
        <w:spacing w:line="556" w:lineRule="exact"/>
        <w:ind w:left="0" w:firstLine="640" w:firstLineChars="200"/>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lang w:val="en-US" w:eastAsia="zh-CN"/>
        </w:rPr>
        <w:t>6</w:t>
      </w:r>
      <w:r>
        <w:rPr>
          <w:rFonts w:hint="eastAsia" w:ascii="楷体_GB2312" w:hAnsi="楷体_GB2312" w:eastAsia="楷体_GB2312" w:cs="楷体_GB2312"/>
          <w:b w:val="0"/>
          <w:bCs w:val="0"/>
          <w:sz w:val="32"/>
          <w:szCs w:val="32"/>
        </w:rPr>
        <w:t>.公共安全支出(类)公安(款)行政运行(项)：</w:t>
      </w:r>
      <w:r>
        <w:rPr>
          <w:rFonts w:hint="eastAsia" w:ascii="仿宋_GB2312" w:hAnsi="仿宋_GB2312" w:eastAsia="仿宋_GB2312" w:cs="仿宋_GB2312"/>
          <w:b w:val="0"/>
          <w:bCs w:val="0"/>
          <w:sz w:val="32"/>
          <w:szCs w:val="32"/>
        </w:rPr>
        <w:t>指本单位用于保障机构正常运行、开展日常工作的基本支出。</w:t>
      </w:r>
    </w:p>
    <w:p>
      <w:pPr>
        <w:pageBreakBefore w:val="0"/>
        <w:kinsoku/>
        <w:wordWrap/>
        <w:overflowPunct/>
        <w:topLinePunct w:val="0"/>
        <w:bidi w:val="0"/>
        <w:spacing w:line="556" w:lineRule="exact"/>
        <w:ind w:left="0" w:firstLine="640" w:firstLineChars="200"/>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lang w:val="en-US" w:eastAsia="zh-CN"/>
        </w:rPr>
        <w:t>7</w:t>
      </w:r>
      <w:r>
        <w:rPr>
          <w:rFonts w:hint="eastAsia" w:ascii="楷体_GB2312" w:hAnsi="楷体_GB2312" w:eastAsia="楷体_GB2312" w:cs="楷体_GB2312"/>
          <w:b w:val="0"/>
          <w:bCs w:val="0"/>
          <w:sz w:val="32"/>
          <w:szCs w:val="32"/>
        </w:rPr>
        <w:t>.公共安全支出(类)公安(款)一般行政管理事务(项)：</w:t>
      </w:r>
      <w:r>
        <w:rPr>
          <w:rFonts w:hint="eastAsia" w:ascii="仿宋_GB2312" w:hAnsi="仿宋_GB2312" w:eastAsia="仿宋_GB2312" w:cs="仿宋_GB2312"/>
          <w:b w:val="0"/>
          <w:bCs w:val="0"/>
          <w:sz w:val="32"/>
          <w:szCs w:val="32"/>
        </w:rPr>
        <w:t>指本单位开展政法、综治、维稳、多调等管理工作的项目支出。</w:t>
      </w:r>
    </w:p>
    <w:p>
      <w:pPr>
        <w:pageBreakBefore w:val="0"/>
        <w:kinsoku/>
        <w:wordWrap/>
        <w:overflowPunct/>
        <w:topLinePunct w:val="0"/>
        <w:bidi w:val="0"/>
        <w:spacing w:line="556" w:lineRule="exact"/>
        <w:ind w:left="0" w:firstLine="640" w:firstLineChars="200"/>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lang w:val="en-US" w:eastAsia="zh-CN"/>
        </w:rPr>
        <w:t>8</w:t>
      </w:r>
      <w:r>
        <w:rPr>
          <w:rFonts w:hint="eastAsia" w:ascii="楷体_GB2312" w:hAnsi="楷体_GB2312" w:eastAsia="楷体_GB2312" w:cs="楷体_GB2312"/>
          <w:b w:val="0"/>
          <w:bCs w:val="0"/>
          <w:sz w:val="32"/>
          <w:szCs w:val="32"/>
        </w:rPr>
        <w:t>.公共安全支出(类)公安(款)其他公安支出(项)：</w:t>
      </w:r>
      <w:r>
        <w:rPr>
          <w:rFonts w:hint="eastAsia" w:ascii="仿宋_GB2312" w:hAnsi="仿宋_GB2312" w:eastAsia="仿宋_GB2312" w:cs="仿宋_GB2312"/>
          <w:b w:val="0"/>
          <w:bCs w:val="0"/>
          <w:sz w:val="32"/>
          <w:szCs w:val="32"/>
        </w:rPr>
        <w:t>指开展司法救助、见义勇为、重度精神障碍患者监护人、涉案财务管理等相关工作的救助、补助和房屋租赁等支出。</w:t>
      </w:r>
    </w:p>
    <w:p>
      <w:pPr>
        <w:pageBreakBefore w:val="0"/>
        <w:kinsoku/>
        <w:wordWrap/>
        <w:overflowPunct/>
        <w:topLinePunct w:val="0"/>
        <w:bidi w:val="0"/>
        <w:spacing w:line="556" w:lineRule="exact"/>
        <w:ind w:left="0" w:firstLine="640" w:firstLineChars="200"/>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lang w:val="en-US" w:eastAsia="zh-CN"/>
        </w:rPr>
        <w:t>9</w:t>
      </w:r>
      <w:r>
        <w:rPr>
          <w:rFonts w:hint="eastAsia" w:ascii="楷体_GB2312" w:hAnsi="楷体_GB2312" w:eastAsia="楷体_GB2312" w:cs="楷体_GB2312"/>
          <w:b w:val="0"/>
          <w:bCs w:val="0"/>
          <w:sz w:val="32"/>
          <w:szCs w:val="32"/>
        </w:rPr>
        <w:t>.公共安全支出(类)公安(款)网络运行及维护(项)：</w:t>
      </w:r>
      <w:r>
        <w:rPr>
          <w:rFonts w:hint="eastAsia" w:ascii="仿宋_GB2312" w:hAnsi="仿宋_GB2312" w:eastAsia="仿宋_GB2312" w:cs="仿宋_GB2312"/>
          <w:b w:val="0"/>
          <w:bCs w:val="0"/>
          <w:sz w:val="32"/>
          <w:szCs w:val="32"/>
        </w:rPr>
        <w:t>指按照国家统一要求，实施网格化管理、雪亮工程建设运行维护等项目支出。</w:t>
      </w:r>
    </w:p>
    <w:p>
      <w:pPr>
        <w:pageBreakBefore w:val="0"/>
        <w:kinsoku/>
        <w:wordWrap/>
        <w:overflowPunct/>
        <w:topLinePunct w:val="0"/>
        <w:bidi w:val="0"/>
        <w:spacing w:line="556" w:lineRule="exact"/>
        <w:ind w:left="0" w:firstLine="640" w:firstLineChars="200"/>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lang w:val="en-US" w:eastAsia="zh-CN"/>
        </w:rPr>
        <w:t>10</w:t>
      </w:r>
      <w:r>
        <w:rPr>
          <w:rFonts w:hint="eastAsia" w:ascii="楷体_GB2312" w:hAnsi="楷体_GB2312" w:eastAsia="楷体_GB2312" w:cs="楷体_GB2312"/>
          <w:b w:val="0"/>
          <w:bCs w:val="0"/>
          <w:sz w:val="32"/>
          <w:szCs w:val="32"/>
        </w:rPr>
        <w:t>.社会保障和就业(类)行政事业单位离退休(款)机关事业单位基本养老保险缴费支出(项)：</w:t>
      </w:r>
      <w:r>
        <w:rPr>
          <w:rFonts w:hint="eastAsia" w:ascii="仿宋_GB2312" w:hAnsi="仿宋_GB2312" w:eastAsia="仿宋_GB2312" w:cs="仿宋_GB2312"/>
          <w:b w:val="0"/>
          <w:bCs w:val="0"/>
          <w:sz w:val="32"/>
          <w:szCs w:val="32"/>
        </w:rPr>
        <w:t>指部门实施养老保险制度由单位缴纳的养老保险费的支出。</w:t>
      </w:r>
    </w:p>
    <w:p>
      <w:pPr>
        <w:pageBreakBefore w:val="0"/>
        <w:kinsoku/>
        <w:wordWrap/>
        <w:overflowPunct/>
        <w:topLinePunct w:val="0"/>
        <w:bidi w:val="0"/>
        <w:spacing w:line="556" w:lineRule="exact"/>
        <w:ind w:left="0" w:firstLine="640" w:firstLineChars="200"/>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lang w:val="en-US" w:eastAsia="zh-CN"/>
        </w:rPr>
        <w:t>11</w:t>
      </w:r>
      <w:r>
        <w:rPr>
          <w:rFonts w:hint="eastAsia" w:ascii="楷体_GB2312" w:hAnsi="楷体_GB2312" w:eastAsia="楷体_GB2312" w:cs="楷体_GB2312"/>
          <w:b w:val="0"/>
          <w:bCs w:val="0"/>
          <w:sz w:val="32"/>
          <w:szCs w:val="32"/>
        </w:rPr>
        <w:t>.医疗卫生与计划生育(类)行政事业单位医疗(款)行政单位医疗(项)：</w:t>
      </w:r>
      <w:r>
        <w:rPr>
          <w:rFonts w:hint="eastAsia" w:ascii="仿宋_GB2312" w:hAnsi="仿宋_GB2312" w:eastAsia="仿宋_GB2312" w:cs="仿宋_GB2312"/>
          <w:b w:val="0"/>
          <w:bCs w:val="0"/>
          <w:sz w:val="32"/>
          <w:szCs w:val="32"/>
        </w:rPr>
        <w:t>指单位基本医疗保险缴费支出。</w:t>
      </w:r>
    </w:p>
    <w:p>
      <w:pPr>
        <w:pageBreakBefore w:val="0"/>
        <w:kinsoku/>
        <w:wordWrap/>
        <w:overflowPunct/>
        <w:topLinePunct w:val="0"/>
        <w:bidi w:val="0"/>
        <w:spacing w:line="556" w:lineRule="exact"/>
        <w:ind w:left="0" w:firstLine="640" w:firstLineChars="200"/>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lang w:val="en-US" w:eastAsia="zh-CN"/>
        </w:rPr>
        <w:t>12</w:t>
      </w:r>
      <w:r>
        <w:rPr>
          <w:rFonts w:hint="eastAsia" w:ascii="楷体_GB2312" w:hAnsi="楷体_GB2312" w:eastAsia="楷体_GB2312" w:cs="楷体_GB2312"/>
          <w:b w:val="0"/>
          <w:bCs w:val="0"/>
          <w:sz w:val="32"/>
          <w:szCs w:val="32"/>
        </w:rPr>
        <w:t>.住房保障(类)住房改革支出(款)住房公积金(项)：</w:t>
      </w:r>
      <w:r>
        <w:rPr>
          <w:rFonts w:hint="eastAsia" w:ascii="仿宋_GB2312" w:hAnsi="仿宋_GB2312" w:eastAsia="仿宋_GB2312" w:cs="仿宋_GB2312"/>
          <w:b w:val="0"/>
          <w:bCs w:val="0"/>
          <w:sz w:val="32"/>
          <w:szCs w:val="32"/>
        </w:rPr>
        <w:t>指按照《住房公积金管理条例》的规定，由单位及其在职职工缴存的长期住房储金。</w:t>
      </w:r>
    </w:p>
    <w:p>
      <w:pPr>
        <w:pageBreakBefore w:val="0"/>
        <w:kinsoku/>
        <w:wordWrap/>
        <w:overflowPunct/>
        <w:topLinePunct w:val="0"/>
        <w:bidi w:val="0"/>
        <w:spacing w:line="556" w:lineRule="exact"/>
        <w:ind w:left="0" w:firstLine="640" w:firstLineChars="200"/>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rPr>
        <w:t>1</w:t>
      </w:r>
      <w:r>
        <w:rPr>
          <w:rFonts w:hint="eastAsia" w:ascii="楷体_GB2312" w:hAnsi="楷体_GB2312" w:eastAsia="楷体_GB2312" w:cs="楷体_GB2312"/>
          <w:b w:val="0"/>
          <w:bCs w:val="0"/>
          <w:sz w:val="32"/>
          <w:szCs w:val="32"/>
          <w:lang w:val="en-US" w:eastAsia="zh-CN"/>
        </w:rPr>
        <w:t>3</w:t>
      </w:r>
      <w:r>
        <w:rPr>
          <w:rFonts w:hint="eastAsia" w:ascii="楷体_GB2312" w:hAnsi="楷体_GB2312" w:eastAsia="楷体_GB2312" w:cs="楷体_GB2312"/>
          <w:b w:val="0"/>
          <w:bCs w:val="0"/>
          <w:sz w:val="32"/>
          <w:szCs w:val="32"/>
        </w:rPr>
        <w:t>.农林水支出(类)扶贫(款)其他扶贫支出(项):</w:t>
      </w:r>
      <w:r>
        <w:rPr>
          <w:rFonts w:hint="eastAsia" w:ascii="仿宋_GB2312" w:hAnsi="仿宋_GB2312" w:eastAsia="仿宋_GB2312" w:cs="仿宋_GB2312"/>
          <w:b w:val="0"/>
          <w:bCs w:val="0"/>
          <w:sz w:val="32"/>
          <w:szCs w:val="32"/>
        </w:rPr>
        <w:t>指用于精准扶贫帮扶及驻村队员补助等支出。</w:t>
      </w:r>
    </w:p>
    <w:p>
      <w:pPr>
        <w:pageBreakBefore w:val="0"/>
        <w:kinsoku/>
        <w:wordWrap/>
        <w:overflowPunct/>
        <w:topLinePunct w:val="0"/>
        <w:bidi w:val="0"/>
        <w:spacing w:line="556" w:lineRule="exact"/>
        <w:ind w:left="0" w:firstLine="640" w:firstLineChars="200"/>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rPr>
        <w:t>1</w:t>
      </w:r>
      <w:r>
        <w:rPr>
          <w:rFonts w:hint="eastAsia" w:ascii="楷体_GB2312" w:hAnsi="楷体_GB2312" w:eastAsia="楷体_GB2312" w:cs="楷体_GB2312"/>
          <w:b w:val="0"/>
          <w:bCs w:val="0"/>
          <w:sz w:val="32"/>
          <w:szCs w:val="32"/>
          <w:lang w:val="en-US" w:eastAsia="zh-CN"/>
        </w:rPr>
        <w:t>4</w:t>
      </w:r>
      <w:r>
        <w:rPr>
          <w:rFonts w:hint="eastAsia" w:ascii="楷体_GB2312" w:hAnsi="楷体_GB2312" w:eastAsia="楷体_GB2312" w:cs="楷体_GB2312"/>
          <w:b w:val="0"/>
          <w:bCs w:val="0"/>
          <w:sz w:val="32"/>
          <w:szCs w:val="32"/>
        </w:rPr>
        <w:t>.基本支出：</w:t>
      </w:r>
      <w:r>
        <w:rPr>
          <w:rFonts w:hint="eastAsia" w:ascii="仿宋_GB2312" w:hAnsi="仿宋_GB2312" w:eastAsia="仿宋_GB2312" w:cs="仿宋_GB2312"/>
          <w:b w:val="0"/>
          <w:bCs w:val="0"/>
          <w:sz w:val="32"/>
          <w:szCs w:val="32"/>
        </w:rPr>
        <w:t>指为保证机构正常运转，完成日常工作任务而发生的人员支出和公用支出。</w:t>
      </w:r>
    </w:p>
    <w:p>
      <w:pPr>
        <w:pageBreakBefore w:val="0"/>
        <w:kinsoku/>
        <w:wordWrap/>
        <w:overflowPunct/>
        <w:topLinePunct w:val="0"/>
        <w:bidi w:val="0"/>
        <w:spacing w:line="556" w:lineRule="exact"/>
        <w:ind w:left="0" w:firstLine="640" w:firstLineChars="200"/>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rPr>
        <w:t>1</w:t>
      </w:r>
      <w:r>
        <w:rPr>
          <w:rFonts w:hint="eastAsia" w:ascii="楷体_GB2312" w:hAnsi="楷体_GB2312" w:eastAsia="楷体_GB2312" w:cs="楷体_GB2312"/>
          <w:b w:val="0"/>
          <w:bCs w:val="0"/>
          <w:sz w:val="32"/>
          <w:szCs w:val="32"/>
          <w:lang w:val="en-US" w:eastAsia="zh-CN"/>
        </w:rPr>
        <w:t>5</w:t>
      </w:r>
      <w:r>
        <w:rPr>
          <w:rFonts w:hint="eastAsia" w:ascii="楷体_GB2312" w:hAnsi="楷体_GB2312" w:eastAsia="楷体_GB2312" w:cs="楷体_GB2312"/>
          <w:b w:val="0"/>
          <w:bCs w:val="0"/>
          <w:sz w:val="32"/>
          <w:szCs w:val="32"/>
        </w:rPr>
        <w:t>.项目支出：</w:t>
      </w:r>
      <w:r>
        <w:rPr>
          <w:rFonts w:hint="eastAsia" w:ascii="仿宋_GB2312" w:hAnsi="仿宋_GB2312" w:eastAsia="仿宋_GB2312" w:cs="仿宋_GB2312"/>
          <w:b w:val="0"/>
          <w:bCs w:val="0"/>
          <w:sz w:val="32"/>
          <w:szCs w:val="32"/>
        </w:rPr>
        <w:t>指在基本支出之外为完成特定行政任务和事业发展目标所发生的支出。</w:t>
      </w:r>
    </w:p>
    <w:p>
      <w:pPr>
        <w:pageBreakBefore w:val="0"/>
        <w:kinsoku/>
        <w:wordWrap/>
        <w:overflowPunct/>
        <w:topLinePunct w:val="0"/>
        <w:bidi w:val="0"/>
        <w:spacing w:line="556" w:lineRule="exact"/>
        <w:ind w:left="0" w:firstLine="640" w:firstLineChars="200"/>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rPr>
        <w:t>1</w:t>
      </w:r>
      <w:r>
        <w:rPr>
          <w:rFonts w:hint="eastAsia" w:ascii="楷体_GB2312" w:hAnsi="楷体_GB2312" w:eastAsia="楷体_GB2312" w:cs="楷体_GB2312"/>
          <w:b w:val="0"/>
          <w:bCs w:val="0"/>
          <w:sz w:val="32"/>
          <w:szCs w:val="32"/>
          <w:lang w:val="en-US" w:eastAsia="zh-CN"/>
        </w:rPr>
        <w:t>6</w:t>
      </w:r>
      <w:r>
        <w:rPr>
          <w:rFonts w:hint="eastAsia" w:ascii="楷体_GB2312" w:hAnsi="楷体_GB2312" w:eastAsia="楷体_GB2312" w:cs="楷体_GB2312"/>
          <w:b w:val="0"/>
          <w:bCs w:val="0"/>
          <w:sz w:val="32"/>
          <w:szCs w:val="32"/>
        </w:rPr>
        <w:t>.“三公”经费：</w:t>
      </w:r>
      <w:r>
        <w:rPr>
          <w:rFonts w:hint="eastAsia" w:ascii="仿宋_GB2312" w:hAnsi="仿宋_GB2312" w:eastAsia="仿宋_GB2312" w:cs="仿宋_GB2312"/>
          <w:b w:val="0"/>
          <w:bCs w:val="0"/>
          <w:sz w:val="32"/>
          <w:szCs w:val="32"/>
        </w:rPr>
        <w:t>纳入县委政法委预决算管理的“三公”经费，是指部门用财政拨款安排的因公出国(境)费用、公务用车购置及运行费和公务接待费。其中公务接待费反映单位按规定开支的各类公务接待支出。</w:t>
      </w:r>
    </w:p>
    <w:p>
      <w:pPr>
        <w:pStyle w:val="21"/>
        <w:pageBreakBefore w:val="0"/>
        <w:kinsoku/>
        <w:wordWrap/>
        <w:overflowPunct/>
        <w:topLinePunct w:val="0"/>
        <w:bidi w:val="0"/>
        <w:spacing w:line="556" w:lineRule="exact"/>
        <w:ind w:left="0" w:firstLine="640" w:firstLineChars="200"/>
        <w:textAlignment w:val="auto"/>
        <w:rPr>
          <w:rFonts w:hint="eastAsia" w:ascii="仿宋_GB2312" w:eastAsia="仿宋_GB2312" w:cs="仿宋_GB2312"/>
          <w:b w:val="0"/>
          <w:bCs w:val="0"/>
          <w:sz w:val="32"/>
          <w:szCs w:val="32"/>
        </w:rPr>
      </w:pPr>
      <w:r>
        <w:rPr>
          <w:rFonts w:hint="eastAsia" w:ascii="楷体_GB2312" w:hAnsi="楷体_GB2312" w:eastAsia="楷体_GB2312" w:cs="楷体_GB2312"/>
          <w:b w:val="0"/>
          <w:bCs w:val="0"/>
          <w:color w:val="auto"/>
          <w:kern w:val="2"/>
          <w:sz w:val="32"/>
          <w:szCs w:val="32"/>
          <w:lang w:val="en-US" w:eastAsia="zh-CN" w:bidi="ar-SA"/>
        </w:rPr>
        <w:t>17.机关运行经费：</w:t>
      </w:r>
      <w:r>
        <w:rPr>
          <w:rFonts w:hint="eastAsia" w:ascii="仿宋_GB2312" w:eastAsia="仿宋_GB2312" w:cs="仿宋_GB2312"/>
          <w:b w:val="0"/>
          <w:bCs w:val="0"/>
          <w:sz w:val="32"/>
          <w:szCs w:val="32"/>
        </w:rPr>
        <w:t>为保障单位运行用于购买货物和服务的各项资金，包括办公及印刷费、邮电费、差旅费、会议费、福利费、日常维修费、办公用房水电费、办公用房物业管理费、以及其他费用。</w:t>
      </w:r>
    </w:p>
    <w:p>
      <w:pPr>
        <w:pageBreakBefore w:val="0"/>
        <w:wordWrap/>
        <w:overflowPunct/>
        <w:bidi w:val="0"/>
        <w:spacing w:line="560" w:lineRule="exact"/>
        <w:ind w:left="0" w:leftChars="0" w:right="0" w:firstLine="883" w:firstLineChars="200"/>
        <w:jc w:val="center"/>
        <w:outlineLvl w:val="0"/>
        <w:rPr>
          <w:rFonts w:ascii="方正小标宋简体" w:hAnsi="方正小标宋简体" w:eastAsia="方正小标宋简体" w:cs="方正小标宋简体"/>
          <w:sz w:val="44"/>
          <w:szCs w:val="44"/>
        </w:rPr>
      </w:pPr>
      <w:bookmarkStart w:id="52" w:name="_Toc15377226"/>
      <w:r>
        <w:rPr>
          <w:rFonts w:ascii="宋体"/>
          <w:b/>
          <w:sz w:val="44"/>
          <w:szCs w:val="44"/>
        </w:rPr>
        <w:br w:type="page"/>
      </w:r>
      <w:bookmarkStart w:id="53" w:name="_Toc15396614"/>
      <w:r>
        <w:rPr>
          <w:rFonts w:hint="eastAsia" w:ascii="黑体" w:hAnsi="黑体" w:eastAsia="黑体"/>
          <w:sz w:val="44"/>
          <w:szCs w:val="44"/>
        </w:rPr>
        <w:t>第</w:t>
      </w:r>
      <w:r>
        <w:rPr>
          <w:rStyle w:val="29"/>
          <w:rFonts w:hint="eastAsia" w:ascii="黑体" w:hAnsi="黑体" w:eastAsia="黑体"/>
          <w:b w:val="0"/>
        </w:rPr>
        <w:t>四部分 附件</w:t>
      </w:r>
      <w:bookmarkEnd w:id="53"/>
    </w:p>
    <w:p>
      <w:pPr>
        <w:pageBreakBefore w:val="0"/>
        <w:widowControl/>
        <w:wordWrap/>
        <w:overflowPunct/>
        <w:bidi w:val="0"/>
        <w:adjustRightInd w:val="0"/>
        <w:snapToGrid w:val="0"/>
        <w:spacing w:line="560" w:lineRule="exact"/>
        <w:ind w:left="0" w:leftChars="0" w:right="0" w:firstLine="480" w:firstLineChars="200"/>
        <w:contextualSpacing/>
        <w:jc w:val="left"/>
        <w:rPr>
          <w:rFonts w:ascii="黑体" w:hAnsi="宋体" w:eastAsia="黑体" w:cs="宋体"/>
          <w:kern w:val="0"/>
          <w:sz w:val="24"/>
          <w:szCs w:val="32"/>
          <w:shd w:val="clear" w:color="auto" w:fill="FFFFFF"/>
        </w:rPr>
      </w:pPr>
    </w:p>
    <w:p>
      <w:pPr>
        <w:spacing w:line="576" w:lineRule="exact"/>
        <w:jc w:val="center"/>
        <w:rPr>
          <w:rFonts w:ascii="方正小标宋简体" w:hAnsi="方正小标宋简体" w:eastAsia="方正小标宋简体"/>
          <w:bCs/>
          <w:color w:val="auto"/>
          <w:sz w:val="40"/>
          <w:szCs w:val="40"/>
          <w:shd w:val="clear" w:color="auto" w:fill="FFFFFF"/>
        </w:rPr>
      </w:pPr>
      <w:r>
        <w:rPr>
          <w:rFonts w:hint="eastAsia" w:ascii="方正小标宋简体" w:hAnsi="方正小标宋简体" w:eastAsia="方正小标宋简体" w:cs="方正小标宋简体"/>
          <w:bCs/>
          <w:color w:val="auto"/>
          <w:sz w:val="40"/>
          <w:szCs w:val="40"/>
          <w:shd w:val="clear" w:color="auto" w:fill="FFFFFF"/>
        </w:rPr>
        <w:t>中共剑阁县委政法委员会</w:t>
      </w:r>
    </w:p>
    <w:p>
      <w:pPr>
        <w:spacing w:line="576" w:lineRule="exact"/>
        <w:jc w:val="center"/>
        <w:rPr>
          <w:rFonts w:ascii="方正小标宋简体" w:hAnsi="方正小标宋简体" w:eastAsia="方正小标宋简体"/>
          <w:bCs/>
          <w:color w:val="auto"/>
          <w:sz w:val="40"/>
          <w:szCs w:val="40"/>
          <w:shd w:val="clear" w:color="auto" w:fill="FFFFFF"/>
        </w:rPr>
      </w:pPr>
      <w:r>
        <w:rPr>
          <w:rFonts w:ascii="方正小标宋简体" w:hAnsi="方正小标宋简体" w:eastAsia="方正小标宋简体" w:cs="方正小标宋简体"/>
          <w:bCs/>
          <w:color w:val="auto"/>
          <w:sz w:val="40"/>
          <w:szCs w:val="40"/>
          <w:shd w:val="clear" w:color="auto" w:fill="FFFFFF"/>
        </w:rPr>
        <w:t>20</w:t>
      </w:r>
      <w:r>
        <w:rPr>
          <w:rFonts w:hint="eastAsia" w:ascii="方正小标宋简体" w:hAnsi="方正小标宋简体" w:eastAsia="方正小标宋简体" w:cs="方正小标宋简体"/>
          <w:bCs/>
          <w:color w:val="auto"/>
          <w:sz w:val="40"/>
          <w:szCs w:val="40"/>
          <w:shd w:val="clear" w:color="auto" w:fill="FFFFFF"/>
          <w:lang w:val="en-US" w:eastAsia="zh-CN"/>
        </w:rPr>
        <w:t>22</w:t>
      </w:r>
      <w:r>
        <w:rPr>
          <w:rFonts w:hint="eastAsia" w:ascii="方正小标宋简体" w:hAnsi="方正小标宋简体" w:eastAsia="方正小标宋简体" w:cs="方正小标宋简体"/>
          <w:bCs/>
          <w:color w:val="auto"/>
          <w:sz w:val="40"/>
          <w:szCs w:val="40"/>
          <w:shd w:val="clear" w:color="auto" w:fill="FFFFFF"/>
        </w:rPr>
        <w:t>年部门整体支出绩效评价报告</w:t>
      </w:r>
    </w:p>
    <w:p>
      <w:pPr>
        <w:adjustRightInd w:val="0"/>
        <w:snapToGrid w:val="0"/>
        <w:spacing w:line="576" w:lineRule="exact"/>
        <w:ind w:firstLine="640" w:firstLineChars="200"/>
        <w:rPr>
          <w:rFonts w:ascii="仿宋_GB2312" w:hAnsi="仿宋" w:eastAsia="仿宋_GB2312"/>
          <w:color w:val="auto"/>
          <w:kern w:val="0"/>
          <w:sz w:val="32"/>
          <w:szCs w:val="32"/>
          <w:shd w:val="clear" w:color="auto" w:fill="FFFFFF"/>
        </w:rPr>
      </w:pPr>
    </w:p>
    <w:p>
      <w:pPr>
        <w:adjustRightInd w:val="0"/>
        <w:snapToGrid w:val="0"/>
        <w:spacing w:line="576" w:lineRule="exact"/>
        <w:ind w:firstLine="640" w:firstLineChars="200"/>
        <w:rPr>
          <w:rFonts w:ascii="黑体" w:hAnsi="黑体" w:eastAsia="黑体"/>
          <w:bCs/>
          <w:color w:val="auto"/>
          <w:kern w:val="0"/>
          <w:sz w:val="32"/>
          <w:szCs w:val="32"/>
          <w:shd w:val="clear" w:color="auto" w:fill="FFFFFF"/>
          <w:lang w:val="zh-CN"/>
        </w:rPr>
      </w:pPr>
      <w:r>
        <w:rPr>
          <w:rFonts w:hint="eastAsia" w:ascii="黑体" w:hAnsi="黑体" w:eastAsia="黑体" w:cs="黑体"/>
          <w:bCs/>
          <w:color w:val="auto"/>
          <w:kern w:val="0"/>
          <w:sz w:val="32"/>
          <w:szCs w:val="32"/>
          <w:shd w:val="clear" w:color="auto" w:fill="FFFFFF"/>
        </w:rPr>
        <w:t>一、</w:t>
      </w:r>
      <w:r>
        <w:rPr>
          <w:rFonts w:hint="eastAsia" w:ascii="黑体" w:hAnsi="黑体" w:eastAsia="黑体" w:cs="黑体"/>
          <w:bCs/>
          <w:color w:val="auto"/>
          <w:kern w:val="0"/>
          <w:sz w:val="32"/>
          <w:szCs w:val="32"/>
          <w:shd w:val="clear" w:color="auto" w:fill="FFFFFF"/>
          <w:lang w:val="zh-CN"/>
        </w:rPr>
        <w:t>部门概况</w:t>
      </w:r>
    </w:p>
    <w:p>
      <w:pPr>
        <w:spacing w:line="576" w:lineRule="exact"/>
        <w:ind w:firstLine="640" w:firstLineChars="200"/>
        <w:rPr>
          <w:rFonts w:hint="eastAsia" w:ascii="仿宋_GB2312" w:hAnsi="仿宋_GB2312" w:eastAsia="仿宋_GB2312" w:cs="仿宋_GB2312"/>
          <w:bCs/>
          <w:color w:val="auto"/>
          <w:kern w:val="0"/>
          <w:sz w:val="32"/>
          <w:szCs w:val="32"/>
          <w:shd w:val="clear" w:color="auto" w:fill="FFFFFF"/>
          <w:lang w:val="zh-CN"/>
        </w:rPr>
      </w:pPr>
      <w:r>
        <w:rPr>
          <w:rFonts w:hint="eastAsia" w:ascii="楷体" w:hAnsi="楷体" w:eastAsia="楷体" w:cs="楷体_GB2312"/>
          <w:bCs/>
          <w:color w:val="auto"/>
          <w:kern w:val="0"/>
          <w:sz w:val="32"/>
          <w:szCs w:val="32"/>
          <w:shd w:val="clear" w:color="auto" w:fill="FFFFFF"/>
          <w:lang w:val="zh-CN"/>
        </w:rPr>
        <w:t>（一）机构组成</w:t>
      </w:r>
      <w:r>
        <w:rPr>
          <w:rFonts w:hint="eastAsia" w:ascii="楷体" w:hAnsi="楷体" w:eastAsia="楷体"/>
          <w:bCs/>
          <w:color w:val="auto"/>
          <w:kern w:val="0"/>
          <w:sz w:val="32"/>
          <w:szCs w:val="32"/>
          <w:shd w:val="clear" w:color="auto" w:fill="FFFFFF"/>
          <w:lang w:val="zh-CN"/>
        </w:rPr>
        <w:t>。</w:t>
      </w:r>
      <w:r>
        <w:rPr>
          <w:rFonts w:hint="eastAsia" w:ascii="仿宋_GB2312" w:hAnsi="仿宋_GB2312" w:eastAsia="仿宋_GB2312" w:cs="仿宋_GB2312"/>
          <w:color w:val="auto"/>
          <w:sz w:val="32"/>
          <w:szCs w:val="32"/>
        </w:rPr>
        <w:t>中共剑阁县委政法委员会（简称剑阁县委政法委），属党委序列，正科级单位，内设办公室、统筹督查股、政治安全和反邪教指导股、综治督导股、维稳指导股、政治处、社会管理信息中心（事业单位）。</w:t>
      </w:r>
    </w:p>
    <w:p>
      <w:pPr>
        <w:spacing w:line="576" w:lineRule="exact"/>
        <w:ind w:firstLine="640" w:firstLineChars="200"/>
        <w:rPr>
          <w:rFonts w:hint="eastAsia" w:ascii="仿宋_GB2312" w:hAnsi="仿宋_GB2312" w:eastAsia="仿宋_GB2312" w:cs="仿宋_GB2312"/>
          <w:color w:val="auto"/>
          <w:sz w:val="32"/>
          <w:szCs w:val="32"/>
        </w:rPr>
      </w:pPr>
      <w:r>
        <w:rPr>
          <w:rFonts w:hint="eastAsia" w:ascii="楷体" w:hAnsi="楷体" w:eastAsia="楷体" w:cs="楷体_GB2312"/>
          <w:bCs/>
          <w:color w:val="auto"/>
          <w:kern w:val="0"/>
          <w:sz w:val="32"/>
          <w:szCs w:val="32"/>
          <w:shd w:val="clear" w:color="auto" w:fill="FFFFFF"/>
          <w:lang w:val="zh-CN"/>
        </w:rPr>
        <w:t>（二）机构职能。</w:t>
      </w:r>
      <w:r>
        <w:rPr>
          <w:rFonts w:hint="eastAsia" w:ascii="仿宋_GB2312" w:hAnsi="仿宋_GB2312" w:eastAsia="仿宋_GB2312" w:cs="仿宋_GB2312"/>
          <w:color w:val="auto"/>
          <w:sz w:val="32"/>
          <w:szCs w:val="32"/>
        </w:rPr>
        <w:t>一是深入贯彻党的路线方针政策和决策部署，统一政法单位思想和行动，坚持党对政法工作的绝对领导，坚决维护党中央权威和集中统一领导。</w:t>
      </w:r>
      <w:r>
        <w:rPr>
          <w:rFonts w:hint="eastAsia" w:ascii="仿宋_GB2312" w:hAnsi="仿宋_GB2312" w:eastAsia="仿宋_GB2312" w:cs="仿宋_GB2312"/>
          <w:color w:val="auto"/>
          <w:kern w:val="0"/>
          <w:sz w:val="32"/>
          <w:szCs w:val="32"/>
          <w:shd w:val="clear" w:color="auto" w:fill="FFFFFF"/>
          <w:lang w:val="zh-CN"/>
        </w:rPr>
        <w:t>二是</w:t>
      </w:r>
      <w:r>
        <w:rPr>
          <w:rFonts w:hint="eastAsia" w:ascii="仿宋_GB2312" w:hAnsi="仿宋_GB2312" w:eastAsia="仿宋_GB2312" w:cs="仿宋_GB2312"/>
          <w:color w:val="auto"/>
          <w:sz w:val="32"/>
          <w:szCs w:val="32"/>
        </w:rPr>
        <w:t>深入贯彻党中央决定和省委、市委、县委决策，对政法工作研究提出全局性部署，推进平安剑阁、法治剑阁建设，加强过硬队伍建设，深化智能化建设，坚决维护国家政治安全、确保社会大局稳定、促进社会公平正义、保障人民安居乐业、护航经济社会发展。三是了解掌握和分析研判政法工作情况动态和全县社会稳定形势。创新完善多部门参与的综治维稳工作机制，构建矛盾纠纷多元化解体系和机制，协调推动预防、化解影响稳定的社会矛盾和风险，协调应对和处置重大突发事件，统筹推动全县维护稳定工作。四是加强对政法工作的督查，统筹协调维护政治安全、社会治安综合治理、维护社会稳定、反邪教有关法律法规政策的实施工作；指导全县政法单位网络安全和智能化建设工作。五是组织开展政法领域的调查研究，研究拟订全县政法工作的政策措施，及时向县委提出建议；参与有关法规、规章的起草、修改工作，及时提出立法建议。六是掌握分析政法舆情动态，指导协调政法单位媒体网络宣传工作，指导政法单位做好涉及政法工作的重大宣传和舆论引导工作。七是支持和监督政法单位依法行使职权，指导和协调政法单位密切配合，研究和协调重大、疑难案件，推进严格执法、公正司法。八是组织研究政法改革中带有方向性、倾向性和普遍性的重大问题，深化政法改革。九是指导推动政法系统党的建设和政法队伍建设，协同县级有关职能单位管理监督政法领导干部，代管剑阁县法学会。十是完成县委交办的其他任务。</w:t>
      </w:r>
    </w:p>
    <w:p>
      <w:pPr>
        <w:spacing w:line="576" w:lineRule="exact"/>
        <w:ind w:firstLine="640" w:firstLineChars="200"/>
        <w:rPr>
          <w:rFonts w:hint="eastAsia" w:ascii="仿宋_GB2312" w:hAnsi="仿宋_GB2312" w:eastAsia="仿宋_GB2312" w:cs="仿宋_GB2312"/>
          <w:color w:val="auto"/>
          <w:sz w:val="32"/>
          <w:szCs w:val="32"/>
        </w:rPr>
      </w:pPr>
      <w:r>
        <w:rPr>
          <w:rFonts w:hint="eastAsia" w:ascii="楷体" w:hAnsi="楷体" w:eastAsia="楷体" w:cs="楷体_GB2312"/>
          <w:bCs/>
          <w:color w:val="auto"/>
          <w:kern w:val="0"/>
          <w:sz w:val="32"/>
          <w:szCs w:val="32"/>
          <w:shd w:val="clear" w:color="auto" w:fill="FFFFFF"/>
          <w:lang w:val="zh-CN"/>
        </w:rPr>
        <w:t>（三）人员概况。</w:t>
      </w:r>
      <w:r>
        <w:rPr>
          <w:rFonts w:hint="eastAsia" w:ascii="仿宋_GB2312" w:hAnsi="仿宋_GB2312" w:eastAsia="仿宋_GB2312" w:cs="仿宋_GB2312"/>
          <w:color w:val="auto"/>
          <w:sz w:val="32"/>
          <w:szCs w:val="32"/>
        </w:rPr>
        <w:t>中共剑阁县委政法委员会属于财政全额预算行政单位，总编制</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名，其中行政编制13名，事业编制</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名，机关工勤编制</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名。在职人员总数2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人，其中行政人员1</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人，事业人员</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rPr>
        <w:t>人，机关工勤人员</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人；退休人员</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人。</w:t>
      </w:r>
    </w:p>
    <w:p>
      <w:pPr>
        <w:adjustRightInd w:val="0"/>
        <w:snapToGrid w:val="0"/>
        <w:spacing w:line="576" w:lineRule="exact"/>
        <w:ind w:firstLine="640" w:firstLineChars="200"/>
        <w:rPr>
          <w:rFonts w:ascii="黑体" w:hAnsi="黑体" w:eastAsia="黑体"/>
          <w:bCs/>
          <w:color w:val="auto"/>
          <w:kern w:val="0"/>
          <w:sz w:val="32"/>
          <w:szCs w:val="32"/>
          <w:shd w:val="clear" w:color="auto" w:fill="FFFFFF"/>
        </w:rPr>
      </w:pPr>
      <w:r>
        <w:rPr>
          <w:rFonts w:hint="eastAsia" w:ascii="黑体" w:hAnsi="黑体" w:eastAsia="黑体" w:cs="黑体"/>
          <w:bCs/>
          <w:color w:val="auto"/>
          <w:kern w:val="0"/>
          <w:sz w:val="32"/>
          <w:szCs w:val="32"/>
          <w:shd w:val="clear" w:color="auto" w:fill="FFFFFF"/>
        </w:rPr>
        <w:t>二、部门财政资金收支情况</w:t>
      </w:r>
    </w:p>
    <w:p>
      <w:pPr>
        <w:adjustRightInd w:val="0"/>
        <w:snapToGrid w:val="0"/>
        <w:spacing w:line="576" w:lineRule="exact"/>
        <w:ind w:firstLine="640" w:firstLineChars="200"/>
        <w:rPr>
          <w:rFonts w:ascii="楷体" w:hAnsi="楷体" w:eastAsia="楷体"/>
          <w:color w:val="auto"/>
          <w:kern w:val="0"/>
          <w:sz w:val="32"/>
          <w:szCs w:val="32"/>
          <w:shd w:val="clear" w:color="auto" w:fill="FFFFFF"/>
          <w:lang w:val="zh-CN"/>
        </w:rPr>
      </w:pPr>
      <w:r>
        <w:rPr>
          <w:rFonts w:hint="eastAsia" w:ascii="楷体" w:hAnsi="楷体" w:eastAsia="楷体" w:cs="楷体_GB2312"/>
          <w:bCs/>
          <w:color w:val="auto"/>
          <w:kern w:val="0"/>
          <w:sz w:val="32"/>
          <w:szCs w:val="32"/>
          <w:shd w:val="clear" w:color="auto" w:fill="FFFFFF"/>
          <w:lang w:val="zh-CN"/>
        </w:rPr>
        <w:t>（一）部门财政资金收入情况。</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eastAsia="zh-CN"/>
        </w:rPr>
        <w:t>全年</w:t>
      </w:r>
      <w:r>
        <w:rPr>
          <w:rFonts w:hint="eastAsia" w:ascii="仿宋_GB2312" w:hAnsi="仿宋_GB2312" w:eastAsia="仿宋_GB2312" w:cs="仿宋_GB2312"/>
          <w:color w:val="auto"/>
          <w:sz w:val="32"/>
          <w:szCs w:val="32"/>
        </w:rPr>
        <w:t>收入决算总额为</w:t>
      </w:r>
      <w:r>
        <w:rPr>
          <w:rFonts w:hint="eastAsia" w:ascii="仿宋_GB2312" w:hAnsi="仿宋_GB2312" w:eastAsia="仿宋_GB2312" w:cs="仿宋_GB2312"/>
          <w:color w:val="auto"/>
          <w:sz w:val="32"/>
          <w:szCs w:val="32"/>
          <w:lang w:val="en-US" w:eastAsia="zh-CN"/>
        </w:rPr>
        <w:t>7432057.39</w:t>
      </w:r>
      <w:r>
        <w:rPr>
          <w:rFonts w:hint="eastAsia" w:ascii="仿宋_GB2312" w:hAnsi="仿宋_GB2312" w:eastAsia="仿宋_GB2312" w:cs="仿宋_GB2312"/>
          <w:color w:val="auto"/>
          <w:sz w:val="32"/>
          <w:szCs w:val="32"/>
        </w:rPr>
        <w:t>元，其中一般财政预算拨款收入</w:t>
      </w:r>
      <w:r>
        <w:rPr>
          <w:rFonts w:hint="eastAsia" w:ascii="仿宋_GB2312" w:hAnsi="仿宋_GB2312" w:eastAsia="仿宋_GB2312" w:cs="仿宋_GB2312"/>
          <w:color w:val="auto"/>
          <w:sz w:val="32"/>
          <w:szCs w:val="32"/>
          <w:lang w:val="en-US" w:eastAsia="zh-CN"/>
        </w:rPr>
        <w:t>6182057.39</w:t>
      </w:r>
      <w:r>
        <w:rPr>
          <w:rFonts w:hint="eastAsia" w:ascii="仿宋_GB2312" w:hAnsi="仿宋_GB2312" w:eastAsia="仿宋_GB2312" w:cs="仿宋_GB2312"/>
          <w:color w:val="auto"/>
          <w:sz w:val="32"/>
          <w:szCs w:val="32"/>
        </w:rPr>
        <w:t>元，</w:t>
      </w:r>
      <w:r>
        <w:rPr>
          <w:rFonts w:hint="eastAsia" w:ascii="仿宋_GB2312" w:hAnsi="仿宋_GB2312" w:eastAsia="仿宋_GB2312" w:cs="仿宋_GB2312"/>
          <w:color w:val="auto"/>
          <w:sz w:val="32"/>
          <w:szCs w:val="32"/>
          <w:lang w:eastAsia="zh-CN"/>
        </w:rPr>
        <w:t>其他收入</w:t>
      </w:r>
      <w:r>
        <w:rPr>
          <w:rFonts w:hint="eastAsia" w:ascii="仿宋_GB2312" w:hAnsi="仿宋_GB2312" w:eastAsia="仿宋_GB2312" w:cs="仿宋_GB2312"/>
          <w:color w:val="auto"/>
          <w:sz w:val="32"/>
          <w:szCs w:val="32"/>
          <w:lang w:val="en-US" w:eastAsia="zh-CN"/>
        </w:rPr>
        <w:t>1250000元</w:t>
      </w:r>
      <w:r>
        <w:rPr>
          <w:rFonts w:hint="eastAsia" w:ascii="仿宋_GB2312" w:hAnsi="仿宋_GB2312" w:eastAsia="仿宋_GB2312" w:cs="仿宋_GB2312"/>
          <w:color w:val="auto"/>
          <w:sz w:val="32"/>
          <w:szCs w:val="32"/>
        </w:rPr>
        <w:t>。</w:t>
      </w:r>
    </w:p>
    <w:p>
      <w:pPr>
        <w:adjustRightInd w:val="0"/>
        <w:snapToGrid w:val="0"/>
        <w:spacing w:line="576" w:lineRule="exact"/>
        <w:ind w:firstLine="640" w:firstLineChars="200"/>
        <w:rPr>
          <w:rFonts w:hint="eastAsia" w:ascii="仿宋_GB2312" w:hAnsi="仿宋_GB2312" w:eastAsia="仿宋_GB2312" w:cs="仿宋_GB2312"/>
          <w:color w:val="auto"/>
          <w:sz w:val="32"/>
          <w:szCs w:val="32"/>
        </w:rPr>
      </w:pPr>
      <w:r>
        <w:rPr>
          <w:rFonts w:hint="eastAsia" w:ascii="楷体" w:hAnsi="楷体" w:eastAsia="楷体" w:cs="楷体_GB2312"/>
          <w:bCs/>
          <w:color w:val="auto"/>
          <w:kern w:val="0"/>
          <w:sz w:val="32"/>
          <w:szCs w:val="32"/>
          <w:shd w:val="clear" w:color="auto" w:fill="FFFFFF"/>
          <w:lang w:val="zh-CN"/>
        </w:rPr>
        <w:t>（二）部门财政资金支出情况。</w:t>
      </w:r>
      <w:r>
        <w:rPr>
          <w:rFonts w:hint="eastAsia" w:ascii="仿宋_GB2312" w:hAnsi="仿宋_GB2312" w:eastAsia="仿宋_GB2312" w:cs="仿宋_GB2312"/>
          <w:color w:val="auto"/>
          <w:sz w:val="32"/>
          <w:szCs w:val="32"/>
        </w:rPr>
        <w:t>县委政法委20</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rPr>
        <w:t>年支出决算总额为</w:t>
      </w:r>
      <w:r>
        <w:rPr>
          <w:rFonts w:hint="eastAsia" w:ascii="仿宋_GB2312" w:hAnsi="仿宋_GB2312" w:eastAsia="仿宋_GB2312" w:cs="仿宋_GB2312"/>
          <w:color w:val="auto"/>
          <w:sz w:val="32"/>
          <w:szCs w:val="32"/>
          <w:lang w:val="en-US" w:eastAsia="zh-CN"/>
        </w:rPr>
        <w:t>7706315.94</w:t>
      </w:r>
      <w:r>
        <w:rPr>
          <w:rFonts w:hint="eastAsia" w:ascii="仿宋_GB2312" w:hAnsi="仿宋_GB2312" w:eastAsia="仿宋_GB2312" w:cs="仿宋_GB2312"/>
          <w:color w:val="auto"/>
          <w:sz w:val="32"/>
          <w:szCs w:val="32"/>
        </w:rPr>
        <w:t>元，其中：公共安全支出</w:t>
      </w:r>
      <w:r>
        <w:rPr>
          <w:rFonts w:hint="eastAsia" w:ascii="仿宋_GB2312" w:hAnsi="仿宋_GB2312" w:eastAsia="仿宋_GB2312" w:cs="仿宋_GB2312"/>
          <w:color w:val="auto"/>
          <w:sz w:val="32"/>
          <w:szCs w:val="32"/>
          <w:lang w:val="en-US" w:eastAsia="zh-CN"/>
        </w:rPr>
        <w:t>7087615.26</w:t>
      </w:r>
      <w:r>
        <w:rPr>
          <w:rFonts w:hint="eastAsia" w:ascii="仿宋_GB2312" w:hAnsi="仿宋_GB2312" w:eastAsia="仿宋_GB2312" w:cs="仿宋_GB2312"/>
          <w:color w:val="auto"/>
          <w:sz w:val="32"/>
          <w:szCs w:val="32"/>
        </w:rPr>
        <w:t>元、社会保障和就业支出</w:t>
      </w:r>
      <w:r>
        <w:rPr>
          <w:rFonts w:hint="eastAsia" w:ascii="仿宋_GB2312" w:hAnsi="仿宋_GB2312" w:eastAsia="仿宋_GB2312" w:cs="仿宋_GB2312"/>
          <w:color w:val="auto"/>
          <w:sz w:val="32"/>
          <w:szCs w:val="32"/>
          <w:lang w:val="en-US" w:eastAsia="zh-CN"/>
        </w:rPr>
        <w:t>274978.08</w:t>
      </w:r>
      <w:r>
        <w:rPr>
          <w:rFonts w:hint="eastAsia" w:ascii="仿宋_GB2312" w:hAnsi="仿宋_GB2312" w:eastAsia="仿宋_GB2312" w:cs="仿宋_GB2312"/>
          <w:color w:val="auto"/>
          <w:sz w:val="32"/>
          <w:szCs w:val="32"/>
        </w:rPr>
        <w:t>元、卫生健康支出</w:t>
      </w:r>
      <w:r>
        <w:rPr>
          <w:rFonts w:hint="eastAsia" w:ascii="仿宋_GB2312" w:hAnsi="仿宋_GB2312" w:eastAsia="仿宋_GB2312" w:cs="仿宋_GB2312"/>
          <w:color w:val="auto"/>
          <w:sz w:val="32"/>
          <w:szCs w:val="32"/>
          <w:lang w:val="en-US" w:eastAsia="zh-CN"/>
        </w:rPr>
        <w:t>137489.04</w:t>
      </w:r>
      <w:r>
        <w:rPr>
          <w:rFonts w:hint="eastAsia" w:ascii="仿宋_GB2312" w:hAnsi="仿宋_GB2312" w:eastAsia="仿宋_GB2312" w:cs="仿宋_GB2312"/>
          <w:color w:val="auto"/>
          <w:sz w:val="32"/>
          <w:szCs w:val="32"/>
        </w:rPr>
        <w:t>元、住房保障支出</w:t>
      </w:r>
      <w:r>
        <w:rPr>
          <w:rFonts w:hint="eastAsia" w:ascii="仿宋_GB2312" w:hAnsi="仿宋_GB2312" w:eastAsia="仿宋_GB2312" w:cs="仿宋_GB2312"/>
          <w:color w:val="auto"/>
          <w:sz w:val="32"/>
          <w:szCs w:val="32"/>
          <w:lang w:val="en-US" w:eastAsia="zh-CN"/>
        </w:rPr>
        <w:t>206233.56</w:t>
      </w:r>
      <w:r>
        <w:rPr>
          <w:rFonts w:hint="eastAsia" w:ascii="仿宋_GB2312" w:hAnsi="仿宋_GB2312" w:eastAsia="仿宋_GB2312" w:cs="仿宋_GB2312"/>
          <w:color w:val="auto"/>
          <w:sz w:val="32"/>
          <w:szCs w:val="32"/>
        </w:rPr>
        <w:t>元。</w:t>
      </w:r>
    </w:p>
    <w:p>
      <w:pPr>
        <w:adjustRightInd w:val="0"/>
        <w:snapToGrid w:val="0"/>
        <w:spacing w:line="576"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我委属于财政全额预算单位，财政拨款支出主要用于保障本部门机构正常运转、完成日常工作任务。</w:t>
      </w:r>
    </w:p>
    <w:p>
      <w:pPr>
        <w:adjustRightInd w:val="0"/>
        <w:snapToGrid w:val="0"/>
        <w:spacing w:line="576" w:lineRule="exact"/>
        <w:ind w:firstLine="640" w:firstLineChars="200"/>
        <w:rPr>
          <w:rFonts w:hint="default" w:ascii="仿宋_GB2312" w:hAnsi="仿宋_GB2312" w:eastAsia="仿宋_GB2312" w:cs="仿宋_GB2312"/>
          <w:color w:val="auto"/>
          <w:sz w:val="32"/>
          <w:szCs w:val="32"/>
          <w:lang w:val="en-US"/>
        </w:rPr>
      </w:pPr>
      <w:r>
        <w:rPr>
          <w:rFonts w:hint="eastAsia" w:ascii="仿宋_GB2312" w:hAnsi="仿宋_GB2312" w:eastAsia="仿宋_GB2312" w:cs="仿宋_GB2312"/>
          <w:color w:val="auto"/>
          <w:sz w:val="32"/>
          <w:szCs w:val="32"/>
        </w:rPr>
        <w:t>1、20</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rPr>
        <w:t>年一般公共预算财政拨款基本支出决算</w:t>
      </w:r>
      <w:r>
        <w:rPr>
          <w:rFonts w:hint="eastAsia" w:ascii="仿宋_GB2312" w:hAnsi="仿宋_GB2312" w:eastAsia="仿宋_GB2312" w:cs="仿宋_GB2312"/>
          <w:color w:val="auto"/>
          <w:sz w:val="32"/>
          <w:szCs w:val="32"/>
          <w:lang w:val="en-US" w:eastAsia="zh-CN"/>
        </w:rPr>
        <w:t>4305011.94</w:t>
      </w:r>
      <w:r>
        <w:rPr>
          <w:rFonts w:hint="eastAsia" w:ascii="仿宋_GB2312" w:hAnsi="仿宋_GB2312" w:eastAsia="仿宋_GB2312" w:cs="仿宋_GB2312"/>
          <w:color w:val="auto"/>
          <w:sz w:val="32"/>
          <w:szCs w:val="32"/>
        </w:rPr>
        <w:t>元（</w:t>
      </w:r>
      <w:r>
        <w:rPr>
          <w:rFonts w:hint="eastAsia" w:ascii="仿宋_GB2312" w:hAnsi="仿宋_GB2312" w:eastAsia="仿宋_GB2312" w:cs="仿宋_GB2312"/>
          <w:color w:val="auto"/>
          <w:sz w:val="32"/>
          <w:szCs w:val="32"/>
          <w:lang w:eastAsia="zh-CN"/>
        </w:rPr>
        <w:t>其中</w:t>
      </w:r>
      <w:r>
        <w:rPr>
          <w:rFonts w:hint="eastAsia" w:ascii="仿宋_GB2312" w:hAnsi="仿宋_GB2312" w:eastAsia="仿宋_GB2312" w:cs="仿宋_GB2312"/>
          <w:color w:val="auto"/>
          <w:sz w:val="32"/>
          <w:szCs w:val="32"/>
        </w:rPr>
        <w:t>人员经费</w:t>
      </w:r>
      <w:r>
        <w:rPr>
          <w:rFonts w:hint="eastAsia" w:ascii="仿宋_GB2312" w:hAnsi="仿宋_GB2312" w:eastAsia="仿宋_GB2312" w:cs="仿宋_GB2312"/>
          <w:color w:val="auto"/>
          <w:sz w:val="32"/>
          <w:szCs w:val="32"/>
          <w:lang w:val="en-US" w:eastAsia="zh-CN"/>
        </w:rPr>
        <w:t>3638346.03</w:t>
      </w:r>
      <w:r>
        <w:rPr>
          <w:rFonts w:hint="eastAsia" w:ascii="仿宋_GB2312" w:hAnsi="仿宋_GB2312" w:eastAsia="仿宋_GB2312" w:cs="仿宋_GB2312"/>
          <w:color w:val="auto"/>
          <w:sz w:val="32"/>
          <w:szCs w:val="32"/>
        </w:rPr>
        <w:t>元，日常公</w:t>
      </w:r>
      <w:r>
        <w:rPr>
          <w:rFonts w:hint="eastAsia" w:ascii="仿宋_GB2312" w:hAnsi="仿宋_GB2312" w:eastAsia="仿宋_GB2312" w:cs="仿宋_GB2312"/>
          <w:color w:val="auto"/>
          <w:sz w:val="32"/>
          <w:szCs w:val="32"/>
          <w:lang w:eastAsia="zh-CN"/>
        </w:rPr>
        <w:t>用经</w:t>
      </w:r>
      <w:r>
        <w:rPr>
          <w:rFonts w:hint="eastAsia" w:ascii="仿宋_GB2312" w:hAnsi="仿宋_GB2312" w:eastAsia="仿宋_GB2312" w:cs="仿宋_GB2312"/>
          <w:color w:val="auto"/>
          <w:sz w:val="32"/>
          <w:szCs w:val="32"/>
        </w:rPr>
        <w:t>费</w:t>
      </w:r>
      <w:r>
        <w:rPr>
          <w:rFonts w:hint="eastAsia" w:ascii="仿宋_GB2312" w:hAnsi="仿宋_GB2312" w:eastAsia="仿宋_GB2312" w:cs="仿宋_GB2312"/>
          <w:color w:val="auto"/>
          <w:sz w:val="32"/>
          <w:szCs w:val="32"/>
          <w:lang w:val="en-US" w:eastAsia="zh-CN"/>
        </w:rPr>
        <w:t>628073.91</w:t>
      </w:r>
      <w:r>
        <w:rPr>
          <w:rFonts w:hint="eastAsia" w:ascii="仿宋_GB2312" w:hAnsi="仿宋_GB2312" w:eastAsia="仿宋_GB2312" w:cs="仿宋_GB2312"/>
          <w:color w:val="auto"/>
          <w:sz w:val="32"/>
          <w:szCs w:val="32"/>
        </w:rPr>
        <w:t>元）主是用于保障单位人员经费和日常公务费用支出，</w:t>
      </w:r>
      <w:r>
        <w:rPr>
          <w:rFonts w:hint="eastAsia" w:ascii="仿宋_GB2312" w:hAnsi="仿宋_GB2312" w:eastAsia="仿宋_GB2312" w:cs="仿宋_GB2312"/>
          <w:color w:val="auto"/>
          <w:sz w:val="32"/>
          <w:szCs w:val="32"/>
          <w:lang w:eastAsia="zh-CN"/>
        </w:rPr>
        <w:t>人员经费</w:t>
      </w:r>
      <w:r>
        <w:rPr>
          <w:rFonts w:hint="eastAsia" w:ascii="仿宋_GB2312" w:hAnsi="仿宋_GB2312" w:eastAsia="仿宋_GB2312" w:cs="仿宋_GB2312"/>
          <w:color w:val="auto"/>
          <w:sz w:val="32"/>
          <w:szCs w:val="32"/>
        </w:rPr>
        <w:t>包括基本工资</w:t>
      </w:r>
      <w:r>
        <w:rPr>
          <w:rFonts w:hint="eastAsia" w:ascii="仿宋_GB2312" w:hAnsi="仿宋_GB2312" w:eastAsia="仿宋_GB2312" w:cs="仿宋_GB2312"/>
          <w:color w:val="auto"/>
          <w:sz w:val="32"/>
          <w:szCs w:val="32"/>
          <w:lang w:val="en-US" w:eastAsia="zh-CN"/>
        </w:rPr>
        <w:t>1115898元</w:t>
      </w:r>
      <w:r>
        <w:rPr>
          <w:rFonts w:hint="eastAsia" w:ascii="仿宋_GB2312" w:hAnsi="仿宋_GB2312" w:eastAsia="仿宋_GB2312" w:cs="仿宋_GB2312"/>
          <w:color w:val="auto"/>
          <w:sz w:val="32"/>
          <w:szCs w:val="32"/>
        </w:rPr>
        <w:t>、津贴补贴</w:t>
      </w:r>
      <w:r>
        <w:rPr>
          <w:rFonts w:hint="eastAsia" w:ascii="仿宋_GB2312" w:hAnsi="仿宋_GB2312" w:eastAsia="仿宋_GB2312" w:cs="仿宋_GB2312"/>
          <w:color w:val="auto"/>
          <w:sz w:val="32"/>
          <w:szCs w:val="32"/>
          <w:lang w:val="en-US" w:eastAsia="zh-CN"/>
        </w:rPr>
        <w:t>770651元</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目标绩效</w:t>
      </w:r>
      <w:r>
        <w:rPr>
          <w:rFonts w:hint="eastAsia" w:ascii="仿宋_GB2312" w:hAnsi="仿宋_GB2312" w:eastAsia="仿宋_GB2312" w:cs="仿宋_GB2312"/>
          <w:color w:val="auto"/>
          <w:sz w:val="32"/>
          <w:szCs w:val="32"/>
        </w:rPr>
        <w:t>奖</w:t>
      </w:r>
      <w:r>
        <w:rPr>
          <w:rFonts w:hint="eastAsia" w:ascii="仿宋_GB2312" w:hAnsi="仿宋_GB2312" w:eastAsia="仿宋_GB2312" w:cs="仿宋_GB2312"/>
          <w:color w:val="auto"/>
          <w:sz w:val="32"/>
          <w:szCs w:val="32"/>
          <w:lang w:val="en-US" w:eastAsia="zh-CN"/>
        </w:rPr>
        <w:t>954059元</w:t>
      </w:r>
      <w:r>
        <w:rPr>
          <w:rFonts w:hint="eastAsia" w:ascii="仿宋_GB2312" w:hAnsi="仿宋_GB2312" w:eastAsia="仿宋_GB2312" w:cs="仿宋_GB2312"/>
          <w:color w:val="auto"/>
          <w:sz w:val="32"/>
          <w:szCs w:val="32"/>
        </w:rPr>
        <w:t>、绩效工资</w:t>
      </w:r>
      <w:r>
        <w:rPr>
          <w:rFonts w:hint="eastAsia" w:ascii="仿宋_GB2312" w:hAnsi="仿宋_GB2312" w:eastAsia="仿宋_GB2312" w:cs="仿宋_GB2312"/>
          <w:color w:val="auto"/>
          <w:sz w:val="32"/>
          <w:szCs w:val="32"/>
          <w:lang w:val="en-US" w:eastAsia="zh-CN"/>
        </w:rPr>
        <w:t>168492元</w:t>
      </w:r>
      <w:r>
        <w:rPr>
          <w:rFonts w:hint="eastAsia" w:ascii="仿宋_GB2312" w:hAnsi="仿宋_GB2312" w:eastAsia="仿宋_GB2312" w:cs="仿宋_GB2312"/>
          <w:color w:val="auto"/>
          <w:sz w:val="32"/>
          <w:szCs w:val="32"/>
        </w:rPr>
        <w:t>、职工养老保险缴费</w:t>
      </w:r>
      <w:r>
        <w:rPr>
          <w:rFonts w:hint="eastAsia" w:ascii="仿宋_GB2312" w:hAnsi="仿宋_GB2312" w:eastAsia="仿宋_GB2312" w:cs="仿宋_GB2312"/>
          <w:color w:val="auto"/>
          <w:sz w:val="32"/>
          <w:szCs w:val="32"/>
          <w:lang w:val="en-US" w:eastAsia="zh-CN"/>
        </w:rPr>
        <w:t>274978.08元</w:t>
      </w:r>
      <w:r>
        <w:rPr>
          <w:rFonts w:hint="eastAsia" w:ascii="仿宋_GB2312" w:hAnsi="仿宋_GB2312" w:eastAsia="仿宋_GB2312" w:cs="仿宋_GB2312"/>
          <w:color w:val="auto"/>
          <w:sz w:val="32"/>
          <w:szCs w:val="32"/>
        </w:rPr>
        <w:t>、职工基本医疗保险缴费</w:t>
      </w:r>
      <w:r>
        <w:rPr>
          <w:rFonts w:hint="eastAsia" w:ascii="仿宋_GB2312" w:hAnsi="仿宋_GB2312" w:eastAsia="仿宋_GB2312" w:cs="仿宋_GB2312"/>
          <w:color w:val="auto"/>
          <w:sz w:val="32"/>
          <w:szCs w:val="32"/>
          <w:lang w:val="en-US" w:eastAsia="zh-CN"/>
        </w:rPr>
        <w:t>137489.04元</w:t>
      </w:r>
      <w:r>
        <w:rPr>
          <w:rFonts w:hint="eastAsia" w:ascii="仿宋_GB2312" w:hAnsi="仿宋_GB2312" w:eastAsia="仿宋_GB2312" w:cs="仿宋_GB2312"/>
          <w:color w:val="auto"/>
          <w:sz w:val="32"/>
          <w:szCs w:val="32"/>
        </w:rPr>
        <w:t>、其他社会保障缴费</w:t>
      </w:r>
      <w:r>
        <w:rPr>
          <w:rFonts w:hint="eastAsia" w:ascii="仿宋_GB2312" w:hAnsi="仿宋_GB2312" w:eastAsia="仿宋_GB2312" w:cs="仿宋_GB2312"/>
          <w:color w:val="auto"/>
          <w:sz w:val="32"/>
          <w:szCs w:val="32"/>
          <w:lang w:val="en-US" w:eastAsia="zh-CN"/>
        </w:rPr>
        <w:t>10545.35元</w:t>
      </w:r>
      <w:r>
        <w:rPr>
          <w:rFonts w:hint="eastAsia" w:ascii="仿宋_GB2312" w:hAnsi="仿宋_GB2312" w:eastAsia="仿宋_GB2312" w:cs="仿宋_GB2312"/>
          <w:color w:val="auto"/>
          <w:sz w:val="32"/>
          <w:szCs w:val="32"/>
        </w:rPr>
        <w:t>、住房公积金</w:t>
      </w:r>
      <w:r>
        <w:rPr>
          <w:rFonts w:hint="eastAsia" w:ascii="仿宋_GB2312" w:hAnsi="仿宋_GB2312" w:eastAsia="仿宋_GB2312" w:cs="仿宋_GB2312"/>
          <w:color w:val="auto"/>
          <w:sz w:val="32"/>
          <w:szCs w:val="32"/>
          <w:lang w:val="en-US" w:eastAsia="zh-CN"/>
        </w:rPr>
        <w:t>206233.56元</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公用经费包括</w:t>
      </w:r>
      <w:r>
        <w:rPr>
          <w:rFonts w:hint="eastAsia" w:ascii="仿宋_GB2312" w:hAnsi="仿宋_GB2312" w:eastAsia="仿宋_GB2312" w:cs="仿宋_GB2312"/>
          <w:color w:val="auto"/>
          <w:sz w:val="32"/>
          <w:szCs w:val="32"/>
        </w:rPr>
        <w:t>办公费</w:t>
      </w:r>
      <w:r>
        <w:rPr>
          <w:rFonts w:hint="eastAsia" w:ascii="仿宋_GB2312" w:hAnsi="仿宋_GB2312" w:eastAsia="仿宋_GB2312" w:cs="仿宋_GB2312"/>
          <w:color w:val="auto"/>
          <w:sz w:val="32"/>
          <w:szCs w:val="32"/>
          <w:lang w:val="en-US" w:eastAsia="zh-CN"/>
        </w:rPr>
        <w:t>102408.18</w:t>
      </w:r>
      <w:r>
        <w:rPr>
          <w:rFonts w:hint="eastAsia" w:ascii="仿宋_GB2312" w:hAnsi="仿宋_GB2312" w:eastAsia="仿宋_GB2312" w:cs="仿宋_GB2312"/>
          <w:color w:val="auto"/>
          <w:sz w:val="32"/>
          <w:szCs w:val="32"/>
        </w:rPr>
        <w:t>元、印刷费</w:t>
      </w:r>
      <w:r>
        <w:rPr>
          <w:rFonts w:hint="eastAsia" w:ascii="仿宋_GB2312" w:hAnsi="仿宋_GB2312" w:eastAsia="仿宋_GB2312" w:cs="仿宋_GB2312"/>
          <w:color w:val="auto"/>
          <w:sz w:val="32"/>
          <w:szCs w:val="32"/>
          <w:lang w:val="en-US" w:eastAsia="zh-CN"/>
        </w:rPr>
        <w:t>70500</w:t>
      </w:r>
      <w:r>
        <w:rPr>
          <w:rFonts w:hint="eastAsia" w:ascii="仿宋_GB2312" w:hAnsi="仿宋_GB2312" w:eastAsia="仿宋_GB2312" w:cs="仿宋_GB2312"/>
          <w:color w:val="auto"/>
          <w:sz w:val="32"/>
          <w:szCs w:val="32"/>
        </w:rPr>
        <w:t>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水</w:t>
      </w:r>
      <w:r>
        <w:rPr>
          <w:rFonts w:hint="eastAsia" w:ascii="仿宋_GB2312" w:hAnsi="仿宋_GB2312" w:eastAsia="仿宋_GB2312" w:cs="仿宋_GB2312"/>
          <w:color w:val="auto"/>
          <w:sz w:val="32"/>
          <w:szCs w:val="32"/>
          <w:lang w:eastAsia="zh-CN"/>
        </w:rPr>
        <w:t>费</w:t>
      </w:r>
      <w:r>
        <w:rPr>
          <w:rFonts w:hint="eastAsia" w:ascii="仿宋_GB2312" w:hAnsi="仿宋_GB2312" w:eastAsia="仿宋_GB2312" w:cs="仿宋_GB2312"/>
          <w:color w:val="auto"/>
          <w:sz w:val="32"/>
          <w:szCs w:val="32"/>
          <w:lang w:val="en-US" w:eastAsia="zh-CN"/>
        </w:rPr>
        <w:t>15000元</w:t>
      </w:r>
      <w:r>
        <w:rPr>
          <w:rFonts w:hint="eastAsia" w:ascii="仿宋_GB2312" w:hAnsi="仿宋_GB2312" w:eastAsia="仿宋_GB2312" w:cs="仿宋_GB2312"/>
          <w:color w:val="auto"/>
          <w:sz w:val="32"/>
          <w:szCs w:val="32"/>
        </w:rPr>
        <w:t>、电</w:t>
      </w:r>
      <w:r>
        <w:rPr>
          <w:rFonts w:hint="eastAsia" w:ascii="仿宋_GB2312" w:hAnsi="仿宋_GB2312" w:eastAsia="仿宋_GB2312" w:cs="仿宋_GB2312"/>
          <w:color w:val="auto"/>
          <w:sz w:val="32"/>
          <w:szCs w:val="32"/>
          <w:lang w:eastAsia="zh-CN"/>
        </w:rPr>
        <w:t>费</w:t>
      </w:r>
      <w:r>
        <w:rPr>
          <w:rFonts w:hint="eastAsia" w:ascii="仿宋_GB2312" w:hAnsi="仿宋_GB2312" w:eastAsia="仿宋_GB2312" w:cs="仿宋_GB2312"/>
          <w:color w:val="auto"/>
          <w:sz w:val="32"/>
          <w:szCs w:val="32"/>
          <w:lang w:val="en-US" w:eastAsia="zh-CN"/>
        </w:rPr>
        <w:t>20000元</w:t>
      </w:r>
      <w:r>
        <w:rPr>
          <w:rFonts w:hint="eastAsia" w:ascii="仿宋_GB2312" w:hAnsi="仿宋_GB2312" w:eastAsia="仿宋_GB2312" w:cs="仿宋_GB2312"/>
          <w:color w:val="auto"/>
          <w:sz w:val="32"/>
          <w:szCs w:val="32"/>
        </w:rPr>
        <w:t>、邮电费</w:t>
      </w:r>
      <w:r>
        <w:rPr>
          <w:rFonts w:hint="eastAsia" w:ascii="仿宋_GB2312" w:hAnsi="仿宋_GB2312" w:eastAsia="仿宋_GB2312" w:cs="仿宋_GB2312"/>
          <w:color w:val="auto"/>
          <w:sz w:val="32"/>
          <w:szCs w:val="32"/>
          <w:lang w:val="en-US" w:eastAsia="zh-CN"/>
        </w:rPr>
        <w:t>20000元</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物业管理费</w:t>
      </w:r>
      <w:r>
        <w:rPr>
          <w:rFonts w:hint="eastAsia" w:ascii="仿宋_GB2312" w:hAnsi="仿宋_GB2312" w:eastAsia="仿宋_GB2312" w:cs="仿宋_GB2312"/>
          <w:color w:val="auto"/>
          <w:sz w:val="32"/>
          <w:szCs w:val="32"/>
          <w:lang w:val="en-US" w:eastAsia="zh-CN"/>
        </w:rPr>
        <w:t>5000元、</w:t>
      </w:r>
      <w:r>
        <w:rPr>
          <w:rFonts w:hint="eastAsia" w:ascii="仿宋_GB2312" w:hAnsi="仿宋_GB2312" w:eastAsia="仿宋_GB2312" w:cs="仿宋_GB2312"/>
          <w:color w:val="auto"/>
          <w:sz w:val="32"/>
          <w:szCs w:val="32"/>
        </w:rPr>
        <w:t>差旅费</w:t>
      </w:r>
      <w:r>
        <w:rPr>
          <w:rFonts w:hint="eastAsia" w:ascii="仿宋_GB2312" w:hAnsi="仿宋_GB2312" w:eastAsia="仿宋_GB2312" w:cs="仿宋_GB2312"/>
          <w:color w:val="auto"/>
          <w:sz w:val="32"/>
          <w:szCs w:val="32"/>
          <w:lang w:val="en-US" w:eastAsia="zh-CN"/>
        </w:rPr>
        <w:t>45416.23元</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维护费</w:t>
      </w:r>
      <w:r>
        <w:rPr>
          <w:rFonts w:hint="eastAsia" w:ascii="仿宋_GB2312" w:hAnsi="仿宋_GB2312" w:eastAsia="仿宋_GB2312" w:cs="仿宋_GB2312"/>
          <w:color w:val="auto"/>
          <w:sz w:val="32"/>
          <w:szCs w:val="32"/>
          <w:lang w:val="en-US" w:eastAsia="zh-CN"/>
        </w:rPr>
        <w:t>50000元、</w:t>
      </w:r>
      <w:r>
        <w:rPr>
          <w:rFonts w:hint="eastAsia" w:ascii="仿宋_GB2312" w:hAnsi="仿宋_GB2312" w:eastAsia="仿宋_GB2312" w:cs="仿宋_GB2312"/>
          <w:color w:val="auto"/>
          <w:sz w:val="32"/>
          <w:szCs w:val="32"/>
        </w:rPr>
        <w:t>会议费</w:t>
      </w:r>
      <w:r>
        <w:rPr>
          <w:rFonts w:hint="eastAsia" w:ascii="仿宋_GB2312" w:hAnsi="仿宋_GB2312" w:eastAsia="仿宋_GB2312" w:cs="仿宋_GB2312"/>
          <w:color w:val="auto"/>
          <w:sz w:val="32"/>
          <w:szCs w:val="32"/>
          <w:lang w:val="en-US" w:eastAsia="zh-CN"/>
        </w:rPr>
        <w:t>10000元</w:t>
      </w:r>
      <w:r>
        <w:rPr>
          <w:rFonts w:hint="eastAsia" w:ascii="仿宋_GB2312" w:hAnsi="仿宋_GB2312" w:eastAsia="仿宋_GB2312" w:cs="仿宋_GB2312"/>
          <w:color w:val="auto"/>
          <w:sz w:val="32"/>
          <w:szCs w:val="32"/>
        </w:rPr>
        <w:t>、工会经费</w:t>
      </w:r>
      <w:r>
        <w:rPr>
          <w:rFonts w:hint="eastAsia" w:ascii="仿宋_GB2312" w:hAnsi="仿宋_GB2312" w:eastAsia="仿宋_GB2312" w:cs="仿宋_GB2312"/>
          <w:color w:val="auto"/>
          <w:sz w:val="32"/>
          <w:szCs w:val="32"/>
          <w:lang w:val="en-US" w:eastAsia="zh-CN"/>
        </w:rPr>
        <w:t>12664.52元</w:t>
      </w:r>
      <w:r>
        <w:rPr>
          <w:rFonts w:hint="eastAsia" w:ascii="仿宋_GB2312" w:hAnsi="仿宋_GB2312" w:eastAsia="仿宋_GB2312" w:cs="仿宋_GB2312"/>
          <w:color w:val="auto"/>
          <w:sz w:val="32"/>
          <w:szCs w:val="32"/>
        </w:rPr>
        <w:t>、福利费</w:t>
      </w:r>
      <w:r>
        <w:rPr>
          <w:rFonts w:hint="eastAsia" w:ascii="仿宋_GB2312" w:hAnsi="仿宋_GB2312" w:eastAsia="仿宋_GB2312" w:cs="仿宋_GB2312"/>
          <w:color w:val="auto"/>
          <w:sz w:val="32"/>
          <w:szCs w:val="32"/>
          <w:lang w:val="en-US" w:eastAsia="zh-CN"/>
        </w:rPr>
        <w:t>21143.62元</w:t>
      </w:r>
      <w:r>
        <w:rPr>
          <w:rFonts w:hint="eastAsia" w:ascii="仿宋_GB2312" w:hAnsi="仿宋_GB2312" w:eastAsia="仿宋_GB2312" w:cs="仿宋_GB2312"/>
          <w:color w:val="auto"/>
          <w:sz w:val="32"/>
          <w:szCs w:val="32"/>
        </w:rPr>
        <w:t>、公务接待费</w:t>
      </w:r>
      <w:r>
        <w:rPr>
          <w:rFonts w:hint="eastAsia" w:ascii="仿宋_GB2312" w:hAnsi="仿宋_GB2312" w:eastAsia="仿宋_GB2312" w:cs="仿宋_GB2312"/>
          <w:color w:val="auto"/>
          <w:sz w:val="32"/>
          <w:szCs w:val="32"/>
          <w:lang w:val="en-US" w:eastAsia="zh-CN"/>
        </w:rPr>
        <w:t>89636.45</w:t>
      </w:r>
      <w:r>
        <w:rPr>
          <w:rFonts w:hint="eastAsia" w:ascii="仿宋_GB2312" w:hAnsi="仿宋_GB2312" w:eastAsia="仿宋_GB2312" w:cs="仿宋_GB2312"/>
          <w:color w:val="auto"/>
          <w:sz w:val="32"/>
          <w:szCs w:val="32"/>
        </w:rPr>
        <w:t>元、其他交通费用</w:t>
      </w:r>
      <w:r>
        <w:rPr>
          <w:rFonts w:hint="eastAsia" w:ascii="仿宋_GB2312" w:hAnsi="仿宋_GB2312" w:eastAsia="仿宋_GB2312" w:cs="仿宋_GB2312"/>
          <w:color w:val="auto"/>
          <w:sz w:val="32"/>
          <w:szCs w:val="32"/>
          <w:lang w:val="en-US" w:eastAsia="zh-CN"/>
        </w:rPr>
        <w:t>164650.62元、其他商品和服务支出1654.29元；对个人和家庭的补助38592元（退休费38592元）。</w:t>
      </w:r>
    </w:p>
    <w:p>
      <w:pPr>
        <w:adjustRightInd w:val="0"/>
        <w:snapToGrid w:val="0"/>
        <w:spacing w:line="576"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2、20</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rPr>
        <w:t>年一般公共预算财政拨款项目支出决算</w:t>
      </w:r>
      <w:r>
        <w:rPr>
          <w:rFonts w:hint="eastAsia" w:ascii="仿宋_GB2312" w:hAnsi="仿宋_GB2312" w:eastAsia="仿宋_GB2312" w:cs="仿宋_GB2312"/>
          <w:color w:val="auto"/>
          <w:sz w:val="32"/>
          <w:szCs w:val="32"/>
          <w:lang w:val="en-US" w:eastAsia="zh-CN"/>
        </w:rPr>
        <w:t>2151304</w:t>
      </w:r>
      <w:r>
        <w:rPr>
          <w:rFonts w:hint="eastAsia" w:ascii="仿宋_GB2312" w:hAnsi="仿宋_GB2312" w:eastAsia="仿宋_GB2312" w:cs="仿宋_GB2312"/>
          <w:color w:val="auto"/>
          <w:sz w:val="32"/>
          <w:szCs w:val="32"/>
        </w:rPr>
        <w:t>元，包括（1）一般行政管理事务支出</w:t>
      </w:r>
      <w:r>
        <w:rPr>
          <w:rFonts w:hint="eastAsia" w:ascii="仿宋_GB2312" w:hAnsi="仿宋_GB2312" w:eastAsia="仿宋_GB2312" w:cs="仿宋_GB2312"/>
          <w:color w:val="auto"/>
          <w:sz w:val="32"/>
          <w:szCs w:val="32"/>
          <w:lang w:val="en-US" w:eastAsia="zh-CN"/>
        </w:rPr>
        <w:t>145000</w:t>
      </w:r>
      <w:r>
        <w:rPr>
          <w:rFonts w:hint="eastAsia" w:ascii="仿宋_GB2312" w:hAnsi="仿宋_GB2312" w:eastAsia="仿宋_GB2312" w:cs="仿宋_GB2312"/>
          <w:color w:val="auto"/>
          <w:sz w:val="32"/>
          <w:szCs w:val="32"/>
        </w:rPr>
        <w:t>元，主要是防范整治邪教活动经费</w:t>
      </w:r>
      <w:r>
        <w:rPr>
          <w:rFonts w:hint="eastAsia" w:ascii="仿宋_GB2312" w:hAnsi="仿宋_GB2312" w:eastAsia="仿宋_GB2312" w:cs="仿宋_GB2312"/>
          <w:color w:val="auto"/>
          <w:sz w:val="32"/>
          <w:szCs w:val="32"/>
          <w:lang w:val="en-US" w:eastAsia="zh-CN"/>
        </w:rPr>
        <w:t>90000</w:t>
      </w:r>
      <w:r>
        <w:rPr>
          <w:rFonts w:hint="eastAsia" w:ascii="仿宋_GB2312" w:hAnsi="仿宋_GB2312" w:eastAsia="仿宋_GB2312" w:cs="仿宋_GB2312"/>
          <w:color w:val="auto"/>
          <w:sz w:val="32"/>
          <w:szCs w:val="32"/>
        </w:rPr>
        <w:t>元（差旅费</w:t>
      </w:r>
      <w:r>
        <w:rPr>
          <w:rFonts w:hint="eastAsia" w:ascii="仿宋_GB2312" w:hAnsi="仿宋_GB2312" w:eastAsia="仿宋_GB2312" w:cs="仿宋_GB2312"/>
          <w:color w:val="auto"/>
          <w:sz w:val="32"/>
          <w:szCs w:val="32"/>
          <w:lang w:val="en-US" w:eastAsia="zh-CN"/>
        </w:rPr>
        <w:t>20000</w:t>
      </w:r>
      <w:r>
        <w:rPr>
          <w:rFonts w:hint="eastAsia" w:ascii="仿宋_GB2312" w:hAnsi="仿宋_GB2312" w:eastAsia="仿宋_GB2312" w:cs="仿宋_GB2312"/>
          <w:color w:val="auto"/>
          <w:sz w:val="32"/>
          <w:szCs w:val="32"/>
        </w:rPr>
        <w:t>元，印刷费</w:t>
      </w:r>
      <w:r>
        <w:rPr>
          <w:rFonts w:hint="eastAsia" w:ascii="仿宋_GB2312" w:hAnsi="仿宋_GB2312" w:eastAsia="仿宋_GB2312" w:cs="仿宋_GB2312"/>
          <w:color w:val="auto"/>
          <w:sz w:val="32"/>
          <w:szCs w:val="32"/>
          <w:lang w:val="en-US" w:eastAsia="zh-CN"/>
        </w:rPr>
        <w:t>50000</w:t>
      </w:r>
      <w:r>
        <w:rPr>
          <w:rFonts w:hint="eastAsia" w:ascii="仿宋_GB2312" w:hAnsi="仿宋_GB2312" w:eastAsia="仿宋_GB2312" w:cs="仿宋_GB2312"/>
          <w:color w:val="auto"/>
          <w:sz w:val="32"/>
          <w:szCs w:val="32"/>
        </w:rPr>
        <w:t>元</w:t>
      </w:r>
      <w:r>
        <w:rPr>
          <w:rFonts w:hint="eastAsia" w:ascii="仿宋_GB2312" w:hAnsi="仿宋_GB2312" w:eastAsia="仿宋_GB2312" w:cs="仿宋_GB2312"/>
          <w:color w:val="auto"/>
          <w:sz w:val="32"/>
          <w:szCs w:val="32"/>
          <w:lang w:eastAsia="zh-CN"/>
        </w:rPr>
        <w:t>、维护费</w:t>
      </w:r>
      <w:r>
        <w:rPr>
          <w:rFonts w:hint="eastAsia" w:ascii="仿宋_GB2312" w:hAnsi="仿宋_GB2312" w:eastAsia="仿宋_GB2312" w:cs="仿宋_GB2312"/>
          <w:color w:val="auto"/>
          <w:sz w:val="32"/>
          <w:szCs w:val="32"/>
          <w:lang w:val="en-US" w:eastAsia="zh-CN"/>
        </w:rPr>
        <w:t>20000元</w:t>
      </w:r>
      <w:r>
        <w:rPr>
          <w:rFonts w:hint="eastAsia" w:ascii="仿宋_GB2312" w:hAnsi="仿宋_GB2312" w:eastAsia="仿宋_GB2312" w:cs="仿宋_GB2312"/>
          <w:color w:val="auto"/>
          <w:sz w:val="32"/>
          <w:szCs w:val="32"/>
        </w:rPr>
        <w:t>）、扫黑除恶斗争经费</w:t>
      </w:r>
      <w:r>
        <w:rPr>
          <w:rFonts w:hint="eastAsia" w:ascii="仿宋_GB2312" w:hAnsi="仿宋_GB2312" w:eastAsia="仿宋_GB2312" w:cs="仿宋_GB2312"/>
          <w:color w:val="auto"/>
          <w:sz w:val="32"/>
          <w:szCs w:val="32"/>
          <w:lang w:val="en-US" w:eastAsia="zh-CN"/>
        </w:rPr>
        <w:t>50000</w:t>
      </w:r>
      <w:r>
        <w:rPr>
          <w:rFonts w:hint="eastAsia" w:ascii="仿宋_GB2312" w:hAnsi="仿宋_GB2312" w:eastAsia="仿宋_GB2312" w:cs="仿宋_GB2312"/>
          <w:color w:val="auto"/>
          <w:sz w:val="32"/>
          <w:szCs w:val="32"/>
        </w:rPr>
        <w:t>元（</w:t>
      </w:r>
      <w:r>
        <w:rPr>
          <w:rFonts w:hint="eastAsia" w:ascii="仿宋_GB2312" w:hAnsi="仿宋_GB2312" w:eastAsia="仿宋_GB2312" w:cs="仿宋_GB2312"/>
          <w:color w:val="auto"/>
          <w:sz w:val="32"/>
          <w:szCs w:val="32"/>
          <w:lang w:eastAsia="zh-CN"/>
        </w:rPr>
        <w:t>办公费</w:t>
      </w:r>
      <w:r>
        <w:rPr>
          <w:rFonts w:hint="eastAsia" w:ascii="仿宋_GB2312" w:hAnsi="仿宋_GB2312" w:eastAsia="仿宋_GB2312" w:cs="仿宋_GB2312"/>
          <w:color w:val="auto"/>
          <w:sz w:val="32"/>
          <w:szCs w:val="32"/>
          <w:lang w:val="en-US" w:eastAsia="zh-CN"/>
        </w:rPr>
        <w:t>5000元、</w:t>
      </w:r>
      <w:r>
        <w:rPr>
          <w:rFonts w:hint="eastAsia" w:ascii="仿宋_GB2312" w:hAnsi="仿宋_GB2312" w:eastAsia="仿宋_GB2312" w:cs="仿宋_GB2312"/>
          <w:color w:val="auto"/>
          <w:sz w:val="32"/>
          <w:szCs w:val="32"/>
        </w:rPr>
        <w:t>印刷费</w:t>
      </w:r>
      <w:r>
        <w:rPr>
          <w:rFonts w:hint="eastAsia" w:ascii="仿宋_GB2312" w:hAnsi="仿宋_GB2312" w:eastAsia="仿宋_GB2312" w:cs="仿宋_GB2312"/>
          <w:color w:val="auto"/>
          <w:sz w:val="32"/>
          <w:szCs w:val="32"/>
          <w:lang w:val="en-US" w:eastAsia="zh-CN"/>
        </w:rPr>
        <w:t>30000</w:t>
      </w:r>
      <w:r>
        <w:rPr>
          <w:rFonts w:hint="eastAsia" w:ascii="仿宋_GB2312" w:hAnsi="仿宋_GB2312" w:eastAsia="仿宋_GB2312" w:cs="仿宋_GB2312"/>
          <w:color w:val="auto"/>
          <w:sz w:val="32"/>
          <w:szCs w:val="32"/>
        </w:rPr>
        <w:t>元、差旅费1</w:t>
      </w:r>
      <w:r>
        <w:rPr>
          <w:rFonts w:hint="eastAsia" w:ascii="仿宋_GB2312" w:hAnsi="仿宋_GB2312" w:eastAsia="仿宋_GB2312" w:cs="仿宋_GB2312"/>
          <w:color w:val="auto"/>
          <w:sz w:val="32"/>
          <w:szCs w:val="32"/>
          <w:lang w:val="en-US" w:eastAsia="zh-CN"/>
        </w:rPr>
        <w:t>5000</w:t>
      </w:r>
      <w:r>
        <w:rPr>
          <w:rFonts w:hint="eastAsia" w:ascii="仿宋_GB2312" w:hAnsi="仿宋_GB2312" w:eastAsia="仿宋_GB2312" w:cs="仿宋_GB2312"/>
          <w:color w:val="auto"/>
          <w:sz w:val="32"/>
          <w:szCs w:val="32"/>
        </w:rPr>
        <w:t>元）、</w:t>
      </w:r>
      <w:r>
        <w:rPr>
          <w:rFonts w:hint="eastAsia" w:ascii="仿宋_GB2312" w:hAnsi="仿宋_GB2312" w:eastAsia="仿宋_GB2312" w:cs="仿宋_GB2312"/>
          <w:color w:val="auto"/>
          <w:sz w:val="32"/>
          <w:szCs w:val="32"/>
          <w:lang w:eastAsia="zh-CN"/>
        </w:rPr>
        <w:t>党组织活动经费</w:t>
      </w:r>
      <w:r>
        <w:rPr>
          <w:rFonts w:hint="eastAsia" w:ascii="仿宋_GB2312" w:hAnsi="仿宋_GB2312" w:eastAsia="仿宋_GB2312" w:cs="仿宋_GB2312"/>
          <w:color w:val="auto"/>
          <w:sz w:val="32"/>
          <w:szCs w:val="32"/>
          <w:lang w:val="en-US" w:eastAsia="zh-CN"/>
        </w:rPr>
        <w:t>5000元</w:t>
      </w: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信息化建设经费</w:t>
      </w:r>
      <w:r>
        <w:rPr>
          <w:rFonts w:hint="eastAsia" w:ascii="仿宋_GB2312" w:hAnsi="仿宋_GB2312" w:eastAsia="仿宋_GB2312" w:cs="仿宋_GB2312"/>
          <w:color w:val="auto"/>
          <w:sz w:val="32"/>
          <w:szCs w:val="32"/>
          <w:lang w:val="en-US" w:eastAsia="zh-CN"/>
        </w:rPr>
        <w:t>1207708元，主要是网格化工作经费700000元（办公费100000元、维护费500000元、劳务费100000元）、政法三级网络上交市级507708元（维护费507708元）；</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）其他公安支出</w:t>
      </w:r>
      <w:r>
        <w:rPr>
          <w:rFonts w:hint="eastAsia" w:ascii="仿宋_GB2312" w:hAnsi="仿宋_GB2312" w:eastAsia="仿宋_GB2312" w:cs="仿宋_GB2312"/>
          <w:color w:val="auto"/>
          <w:sz w:val="32"/>
          <w:szCs w:val="32"/>
          <w:lang w:val="en-US" w:eastAsia="zh-CN"/>
        </w:rPr>
        <w:t>798596</w:t>
      </w:r>
      <w:r>
        <w:rPr>
          <w:rFonts w:hint="eastAsia" w:ascii="仿宋_GB2312" w:hAnsi="仿宋_GB2312" w:eastAsia="仿宋_GB2312" w:cs="仿宋_GB2312"/>
          <w:color w:val="auto"/>
          <w:sz w:val="32"/>
          <w:szCs w:val="32"/>
        </w:rPr>
        <w:t>元，主要是</w:t>
      </w:r>
      <w:r>
        <w:rPr>
          <w:rFonts w:hint="eastAsia" w:ascii="仿宋_GB2312" w:hAnsi="仿宋_GB2312" w:eastAsia="仿宋_GB2312" w:cs="仿宋_GB2312"/>
          <w:color w:val="auto"/>
          <w:sz w:val="32"/>
          <w:szCs w:val="32"/>
          <w:lang w:val="en-US" w:eastAsia="zh-CN"/>
        </w:rPr>
        <w:t>涉案财物管理费56728元、多元化解法学会经费441868元、</w:t>
      </w:r>
      <w:r>
        <w:rPr>
          <w:rFonts w:hint="eastAsia" w:ascii="仿宋_GB2312" w:hAnsi="仿宋_GB2312" w:eastAsia="仿宋_GB2312" w:cs="仿宋_GB2312"/>
          <w:color w:val="auto"/>
          <w:sz w:val="32"/>
          <w:szCs w:val="32"/>
        </w:rPr>
        <w:t>严重精神障碍患者监护人以奖代补经费</w:t>
      </w:r>
      <w:r>
        <w:rPr>
          <w:rFonts w:hint="eastAsia" w:ascii="仿宋_GB2312" w:hAnsi="仿宋_GB2312" w:eastAsia="仿宋_GB2312" w:cs="仿宋_GB2312"/>
          <w:color w:val="auto"/>
          <w:sz w:val="32"/>
          <w:szCs w:val="32"/>
          <w:lang w:val="en-US" w:eastAsia="zh-CN"/>
        </w:rPr>
        <w:t>300000元</w:t>
      </w:r>
      <w:r>
        <w:rPr>
          <w:rFonts w:hint="eastAsia" w:ascii="仿宋_GB2312" w:hAnsi="仿宋_GB2312" w:eastAsia="仿宋_GB2312" w:cs="仿宋_GB2312"/>
          <w:color w:val="auto"/>
          <w:sz w:val="32"/>
          <w:szCs w:val="32"/>
          <w:lang w:eastAsia="zh-CN"/>
        </w:rPr>
        <w:t>。</w:t>
      </w:r>
    </w:p>
    <w:p>
      <w:pPr>
        <w:adjustRightInd w:val="0"/>
        <w:snapToGrid w:val="0"/>
        <w:spacing w:line="576" w:lineRule="exact"/>
        <w:ind w:firstLine="640" w:firstLineChars="200"/>
        <w:rPr>
          <w:rFonts w:hint="default" w:ascii="仿宋_GB2312" w:hAnsi="仿宋_GB2312" w:eastAsia="仿宋_GB2312" w:cs="仿宋_GB2312"/>
          <w:color w:val="auto"/>
          <w:sz w:val="32"/>
          <w:szCs w:val="32"/>
          <w:lang w:val="en-US" w:eastAsia="zh-CN"/>
        </w:rPr>
      </w:pPr>
      <w:r>
        <w:rPr>
          <w:rFonts w:hint="eastAsia" w:ascii="楷体" w:hAnsi="楷体" w:eastAsia="楷体" w:cs="楷体_GB2312"/>
          <w:bCs/>
          <w:color w:val="auto"/>
          <w:kern w:val="0"/>
          <w:sz w:val="32"/>
          <w:szCs w:val="32"/>
          <w:shd w:val="clear" w:color="auto" w:fill="FFFFFF"/>
          <w:lang w:val="zh-CN" w:eastAsia="zh-CN"/>
        </w:rPr>
        <w:t>（三）上年结转支出情况。</w:t>
      </w:r>
      <w:r>
        <w:rPr>
          <w:rFonts w:hint="eastAsia" w:ascii="仿宋_GB2312" w:hAnsi="仿宋_GB2312" w:eastAsia="仿宋_GB2312" w:cs="仿宋_GB2312"/>
          <w:color w:val="auto"/>
          <w:sz w:val="32"/>
          <w:szCs w:val="32"/>
          <w:lang w:val="en-US" w:eastAsia="zh-CN"/>
        </w:rPr>
        <w:t>2022年</w:t>
      </w:r>
      <w:r>
        <w:rPr>
          <w:rFonts w:hint="eastAsia" w:ascii="仿宋_GB2312" w:hAnsi="仿宋_GB2312" w:eastAsia="仿宋_GB2312" w:cs="仿宋_GB2312"/>
          <w:color w:val="auto"/>
          <w:sz w:val="32"/>
          <w:szCs w:val="32"/>
          <w:lang w:eastAsia="zh-CN"/>
        </w:rPr>
        <w:t>上年结转</w:t>
      </w:r>
      <w:r>
        <w:rPr>
          <w:rFonts w:hint="eastAsia" w:ascii="仿宋_GB2312" w:hAnsi="仿宋_GB2312" w:eastAsia="仿宋_GB2312" w:cs="仿宋_GB2312"/>
          <w:color w:val="auto"/>
          <w:sz w:val="32"/>
          <w:szCs w:val="32"/>
          <w:lang w:val="en-US" w:eastAsia="zh-CN"/>
        </w:rPr>
        <w:t>274258.55</w:t>
      </w:r>
      <w:r>
        <w:rPr>
          <w:rFonts w:hint="eastAsia" w:ascii="仿宋_GB2312" w:hAnsi="仿宋_GB2312" w:eastAsia="仿宋_GB2312" w:cs="仿宋_GB2312"/>
          <w:color w:val="auto"/>
          <w:sz w:val="32"/>
          <w:szCs w:val="32"/>
        </w:rPr>
        <w:t>元</w:t>
      </w:r>
      <w:r>
        <w:rPr>
          <w:rFonts w:hint="eastAsia" w:ascii="仿宋_GB2312" w:hAnsi="仿宋_GB2312" w:eastAsia="仿宋_GB2312" w:cs="仿宋_GB2312"/>
          <w:color w:val="auto"/>
          <w:sz w:val="32"/>
          <w:szCs w:val="32"/>
          <w:lang w:eastAsia="zh-CN"/>
        </w:rPr>
        <w:t>，包括（</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）政法三级网络费</w:t>
      </w:r>
      <w:r>
        <w:rPr>
          <w:rFonts w:hint="eastAsia" w:ascii="仿宋_GB2312" w:hAnsi="仿宋_GB2312" w:eastAsia="仿宋_GB2312" w:cs="仿宋_GB2312"/>
          <w:color w:val="auto"/>
          <w:sz w:val="32"/>
          <w:szCs w:val="32"/>
          <w:lang w:val="en-US" w:eastAsia="zh-CN"/>
        </w:rPr>
        <w:t>167708元件；（2）涉案财物管理中心租赁费56728元；（3）办公费49822.55元。</w:t>
      </w:r>
    </w:p>
    <w:p>
      <w:pPr>
        <w:adjustRightInd w:val="0"/>
        <w:snapToGrid w:val="0"/>
        <w:spacing w:line="576" w:lineRule="exact"/>
        <w:ind w:firstLine="640" w:firstLineChars="200"/>
        <w:rPr>
          <w:rFonts w:ascii="黑体" w:hAnsi="黑体" w:eastAsia="黑体"/>
          <w:color w:val="auto"/>
          <w:kern w:val="0"/>
          <w:sz w:val="32"/>
          <w:szCs w:val="32"/>
          <w:shd w:val="clear" w:color="auto" w:fill="FFFFFF"/>
        </w:rPr>
      </w:pPr>
      <w:r>
        <w:rPr>
          <w:rFonts w:hint="eastAsia" w:ascii="黑体" w:hAnsi="黑体" w:eastAsia="黑体" w:cs="黑体"/>
          <w:bCs/>
          <w:color w:val="auto"/>
          <w:kern w:val="0"/>
          <w:sz w:val="32"/>
          <w:szCs w:val="32"/>
          <w:shd w:val="clear" w:color="auto" w:fill="FFFFFF"/>
        </w:rPr>
        <w:t>三、部门整体预算绩效管理情况</w:t>
      </w:r>
    </w:p>
    <w:p>
      <w:pPr>
        <w:spacing w:line="576" w:lineRule="exact"/>
        <w:ind w:firstLine="640" w:firstLineChars="200"/>
        <w:rPr>
          <w:rFonts w:ascii="楷体" w:hAnsi="楷体" w:eastAsia="楷体" w:cs="楷体_GB2312"/>
          <w:bCs/>
          <w:color w:val="auto"/>
          <w:kern w:val="0"/>
          <w:sz w:val="32"/>
          <w:szCs w:val="32"/>
          <w:shd w:val="clear" w:color="auto" w:fill="FFFFFF"/>
          <w:lang w:val="zh-CN"/>
        </w:rPr>
      </w:pPr>
      <w:r>
        <w:rPr>
          <w:rFonts w:hint="eastAsia" w:ascii="楷体" w:hAnsi="楷体" w:eastAsia="楷体" w:cs="楷体_GB2312"/>
          <w:bCs/>
          <w:color w:val="auto"/>
          <w:kern w:val="0"/>
          <w:sz w:val="32"/>
          <w:szCs w:val="32"/>
          <w:shd w:val="clear" w:color="auto" w:fill="FFFFFF"/>
          <w:lang w:val="zh-CN"/>
        </w:rPr>
        <w:t>（一）部门预算项目绩效管理。</w:t>
      </w:r>
    </w:p>
    <w:p>
      <w:pPr>
        <w:adjustRightInd w:val="0"/>
        <w:snapToGrid w:val="0"/>
        <w:spacing w:line="576"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1、任务目标制定情况。20</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rPr>
        <w:t>年，坚持以习近平新时代中国特色社会主义思想为指导，深入学习贯彻党的</w:t>
      </w:r>
      <w:r>
        <w:rPr>
          <w:rFonts w:hint="eastAsia" w:ascii="仿宋_GB2312" w:hAnsi="仿宋_GB2312" w:eastAsia="仿宋_GB2312" w:cs="仿宋_GB2312"/>
          <w:color w:val="auto"/>
          <w:sz w:val="32"/>
          <w:szCs w:val="32"/>
          <w:lang w:eastAsia="zh-CN"/>
        </w:rPr>
        <w:t>二十大</w:t>
      </w:r>
      <w:r>
        <w:rPr>
          <w:rFonts w:hint="eastAsia" w:ascii="仿宋_GB2312" w:hAnsi="仿宋_GB2312" w:eastAsia="仿宋_GB2312" w:cs="仿宋_GB2312"/>
          <w:color w:val="auto"/>
          <w:sz w:val="32"/>
          <w:szCs w:val="32"/>
        </w:rPr>
        <w:t>精神和中央、省委、市委、县委政法工作会议精神，坚持党对政法工作的绝对领导，紧扣以人民为中心的发展思想，深化教育整顿，聚力聚焦“四项任务”、抓紧抓实“三个环节”和“回头看”，着力维护社会稳定、加强社会治理、践行司法为民、打造过硬队伍，大力推进平安剑阁、法治剑阁建设，为保障全县经济社会发展提供了安全的政治环境、稳定的社会环境、公正的法治环境、优质的服务环境。</w:t>
      </w:r>
    </w:p>
    <w:p>
      <w:pPr>
        <w:adjustRightInd w:val="0"/>
        <w:snapToGrid w:val="0"/>
        <w:spacing w:line="576"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（1）维护国家政治安全。深入防范抵御“颜色革命”，深入推进严打暴恐专项行动，加强网络意识形态新情况新动向跟踪监测，牢牢掌握维护意识形态领域政治安全的主动权。</w:t>
      </w:r>
    </w:p>
    <w:p>
      <w:pPr>
        <w:adjustRightInd w:val="0"/>
        <w:snapToGrid w:val="0"/>
        <w:spacing w:line="576"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维护社会和谐稳定。加强常态化预测预警预防工作，重要时段及时启动维稳应急机制，全力筑牢安全防线。深入开展信访矛盾化解攻坚专项行动，指导化解处置特殊利益诉求群体信访问题。抓好社会治安整体防控，优化防控力量布局，提升社会面动态防控能力。健全矛盾纠纷预防化解机制，传承“枫桥经验”，深化矛盾纠纷多元化解，完善“诉非衔接”“检调对接”“公调对接”“访调对接”机制建设。</w:t>
      </w:r>
    </w:p>
    <w:p>
      <w:pPr>
        <w:adjustRightInd w:val="0"/>
        <w:snapToGrid w:val="0"/>
        <w:spacing w:line="576"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纵深推进扫黑除恶斗争。以“黑恶积案清零、问题线索清零”为要求，加大侦破重要案件力度，摧毁黑恶势力经济基础，依法快侦快诉快判黑恶案件。严格落实“两个一律”，对涉黑涉恶犯罪案件，一律深挖其背后腐败问题，对黑恶势力“关系网”“保护伞”一律一查到底、绝不姑息。继续开展社会治安乱点整治，加大社会治安乱点乱象整治力度，推动专项斗争向社会管理相对薄弱的重点场所延伸。</w:t>
      </w:r>
    </w:p>
    <w:p>
      <w:pPr>
        <w:adjustRightInd w:val="0"/>
        <w:snapToGrid w:val="0"/>
        <w:spacing w:line="576"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推进社会治理现代化。深化“法律七进”，强化群众“自治”的基础性作用，充分发挥和调动村社区委员会的自治职能和作用。强化对公民个人基本道德规范和品行素质的教育，压实村(社区)对村(居)民教育引导责任，引导群众积极向上、遵纪守法、健康生活，自觉抵制一切违法犯罪和封建迷信活动。狠抓网格化服务管理，推进网格化服务管理标准化建设，提高规范化精细化水平。积极推进“雪亮工程”平台与综治中心深度融合，实现县、乡镇、村(社)三级平台互联互通。扎实推进“六无”平安村(社区)创建，命名表扬一批“六无”平安村(社区)。加强和改进见义勇为评选表彰工作，让全社会充满正能量。</w:t>
      </w:r>
    </w:p>
    <w:p>
      <w:pPr>
        <w:adjustRightInd w:val="0"/>
        <w:snapToGrid w:val="0"/>
        <w:spacing w:line="576"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坚决打赢新时代禁毒人民战争。开展堵源截流攻坚战，严守毒品北上西进出川通道，组织开展堵截毒品流入城区和切断内流环节的常态化缉毒检查，构建智能防控体系，强化网络制贩毒打击力度，彻底斩断网络贩卖渠道，不断建立健全禁毒委成员单位快速反应联动立体查缉毒品体系，织密“水陆空邮”堵毒的天罗地网。</w:t>
      </w:r>
    </w:p>
    <w:p>
      <w:pPr>
        <w:adjustRightInd w:val="0"/>
        <w:snapToGrid w:val="0"/>
        <w:spacing w:line="576"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6）深入推进政法领域改革。深化法律政策研究，积极组织参加各类法治论坛，加强本地法律法学人才培养。继续开展好法学会理论调研文章的撰写、评选和汇编工作。妥善防范化解重大风险。深化县委政法委机构改革,对标对表、有序推进各项改革任务。深化法院、检察院机构改革，按照以审判为中心、捕诉一体的模式。深化公安机关机构改革，构建现代警务管理体制。深化司法行政部门改革，优化机构设置、职能配置，统筹做好法律服务等各项工作。</w:t>
      </w:r>
    </w:p>
    <w:p>
      <w:pPr>
        <w:adjustRightInd w:val="0"/>
        <w:snapToGrid w:val="0"/>
        <w:spacing w:line="576"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（7）加强政法干部队伍建设。扎实开展</w:t>
      </w:r>
      <w:r>
        <w:rPr>
          <w:rFonts w:hint="eastAsia" w:ascii="仿宋_GB2312" w:hAnsi="仿宋_GB2312" w:eastAsia="仿宋_GB2312" w:cs="仿宋_GB2312"/>
          <w:color w:val="auto"/>
          <w:sz w:val="32"/>
          <w:szCs w:val="32"/>
          <w:lang w:eastAsia="zh-CN"/>
        </w:rPr>
        <w:t>政法队伍教育整顿</w:t>
      </w:r>
      <w:r>
        <w:rPr>
          <w:rFonts w:hint="eastAsia" w:ascii="仿宋_GB2312" w:hAnsi="仿宋_GB2312" w:eastAsia="仿宋_GB2312" w:cs="仿宋_GB2312"/>
          <w:color w:val="auto"/>
          <w:sz w:val="32"/>
          <w:szCs w:val="32"/>
        </w:rPr>
        <w:t>，从严管理政法队伍，确保对党绝对忠诚。持续开展“作风纪律深化年”活动，防止“前腐后继”。分层分类建立干警岗位素质能力基本标准，开展轮值轮训、实战练兵、技能比武，在执法司法第一线、维稳安保最前沿和服务群众最前列锤炼干警本领。</w:t>
      </w:r>
    </w:p>
    <w:p>
      <w:pPr>
        <w:pStyle w:val="12"/>
        <w:spacing w:after="0" w:line="576" w:lineRule="exact"/>
        <w:ind w:left="0" w:leftChars="0" w:firstLine="627" w:firstLineChars="196"/>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Cs/>
          <w:color w:val="auto"/>
          <w:sz w:val="32"/>
          <w:szCs w:val="32"/>
        </w:rPr>
        <w:t>2、目标实现情况。</w:t>
      </w:r>
      <w:r>
        <w:rPr>
          <w:rFonts w:hint="eastAsia" w:ascii="仿宋_GB2312" w:hAnsi="仿宋_GB2312" w:eastAsia="仿宋_GB2312" w:cs="仿宋_GB2312"/>
          <w:color w:val="auto"/>
          <w:kern w:val="2"/>
          <w:sz w:val="32"/>
          <w:szCs w:val="32"/>
          <w:lang w:val="en-US" w:eastAsia="zh-CN" w:bidi="ar-SA"/>
        </w:rPr>
        <w:t>2022年，县委政法委坚持以习近平新时代中国特色社会主义思想为指导，深入学习党的二十大和省委十二届二次全会精神，按照中央、省委、市委政法工作会议要求，科学谋划、锐意进取，扎实推进市域社会治理现代化试点，深化平安法治建设，切实履行好维护国家政治安全、确保社会大局稳定、促进社会公平正义、保障人民安居乐业的重要职责，各项工作成效明显。</w:t>
      </w:r>
    </w:p>
    <w:p>
      <w:pPr>
        <w:keepNext w:val="0"/>
        <w:keepLines w:val="0"/>
        <w:pageBreakBefore w:val="0"/>
        <w:widowControl w:val="0"/>
        <w:kinsoku/>
        <w:wordWrap/>
        <w:topLinePunct w:val="0"/>
        <w:bidi w:val="0"/>
        <w:spacing w:line="576"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bCs/>
          <w:sz w:val="32"/>
          <w:szCs w:val="32"/>
        </w:rPr>
        <w:t>）加强队伍建设，持续筑牢政治忠诚。一是坚持党对政法工作的绝对领导</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认真学习贯彻习近平法治思想和习近平总书记来川视察重要讲话精神，深入开展《中国共产党政法工作条例》及四川省《实施细则》贯彻落实情况专项督查，不断提高党领导政法工作的制度化规范化科学化水平。二是巩固政法干警的思想政治根基</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把持续开展党史学习教育、纪律作风整顿、巩固政法队伍教育整顿成果与学习贯彻条例、细则深度融合，积极开展集中学习并撰写心得体会，加强政法干警思想动态分析，及时解决倾向性、苗头性问题，夯实政法队伍思想基础。三是大力开展“忠诚铸魂、铁纪担当”专项活动</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全县政法各单位通过党组专题会、工作推进会等安排部署专项活动16次。全县政法系统开展理论学习52次、撰写心得体会180余份、学习笔记520余份，分层级全覆盖谈心谈话500余次，完善规章制度42项。四</w:t>
      </w:r>
      <w:r>
        <w:rPr>
          <w:rFonts w:hint="eastAsia" w:ascii="仿宋_GB2312" w:hAnsi="仿宋_GB2312" w:eastAsia="仿宋_GB2312" w:cs="仿宋_GB2312"/>
          <w:bCs/>
          <w:sz w:val="32"/>
          <w:szCs w:val="32"/>
          <w:lang w:eastAsia="zh-CN"/>
        </w:rPr>
        <w:t>是</w:t>
      </w:r>
      <w:r>
        <w:rPr>
          <w:rFonts w:hint="eastAsia" w:ascii="仿宋_GB2312" w:hAnsi="仿宋_GB2312" w:eastAsia="仿宋_GB2312" w:cs="仿宋_GB2312"/>
          <w:bCs/>
          <w:sz w:val="32"/>
          <w:szCs w:val="32"/>
        </w:rPr>
        <w:t>压紧压实从严管党治警主体责任</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严格落实领导干部个人有关事项报告、强化干警八小时内外监督，严格执行干警家属“禁业清单”，抓好家庭家教家风建设。全面推进“四查协同”，完善与纪检监察机关双向移送、核查反馈协作机制。</w:t>
      </w:r>
      <w:r>
        <w:rPr>
          <w:rFonts w:hint="eastAsia" w:ascii="仿宋_GB2312" w:hAnsi="仿宋_GB2312" w:eastAsia="仿宋_GB2312" w:cs="仿宋_GB2312"/>
          <w:bCs/>
          <w:sz w:val="32"/>
          <w:szCs w:val="32"/>
          <w:lang w:eastAsia="zh-CN"/>
        </w:rPr>
        <w:t>五</w:t>
      </w:r>
      <w:r>
        <w:rPr>
          <w:rFonts w:hint="eastAsia" w:ascii="仿宋_GB2312" w:hAnsi="仿宋_GB2312" w:eastAsia="仿宋_GB2312" w:cs="仿宋_GB2312"/>
          <w:bCs/>
          <w:sz w:val="32"/>
          <w:szCs w:val="32"/>
        </w:rPr>
        <w:t>是全面落实意识形态责任制</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强化政治安全和反邪教工作，严格落实涉政敏感人员管控责任，2022年，我县教育转化邪教人员13人，身份脱离24人。</w:t>
      </w:r>
    </w:p>
    <w:p>
      <w:pPr>
        <w:keepNext w:val="0"/>
        <w:keepLines w:val="0"/>
        <w:pageBreakBefore w:val="0"/>
        <w:widowControl w:val="0"/>
        <w:kinsoku/>
        <w:wordWrap/>
        <w:topLinePunct w:val="0"/>
        <w:bidi w:val="0"/>
        <w:spacing w:line="576"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rPr>
        <w:t>）坚持服务大局，维护社会和谐稳定。一是常态开展排查化解</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共排查梳理突出涉稳问题9件，人员65人，对27个重大事项开展了风险评估。二是精准搜集情报信息</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核查涉稳人员57人次</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成功劝返处置欲进京到省关注对象28人。三是成功化解了魏某某、王某某等突出信访积案，稳妥处置了汉阳镇犬只捕杀网络舆情、涉疫等突发涉稳事件</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圆满实现“五不”和“六个不发生”目标。</w:t>
      </w:r>
    </w:p>
    <w:p>
      <w:pPr>
        <w:keepNext w:val="0"/>
        <w:keepLines w:val="0"/>
        <w:pageBreakBefore w:val="0"/>
        <w:widowControl w:val="0"/>
        <w:kinsoku/>
        <w:wordWrap/>
        <w:topLinePunct w:val="0"/>
        <w:bidi w:val="0"/>
        <w:spacing w:line="576"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3</w:t>
      </w:r>
      <w:r>
        <w:rPr>
          <w:rFonts w:hint="eastAsia" w:ascii="仿宋_GB2312" w:hAnsi="仿宋_GB2312" w:eastAsia="仿宋_GB2312" w:cs="仿宋_GB2312"/>
          <w:bCs/>
          <w:sz w:val="32"/>
          <w:szCs w:val="32"/>
        </w:rPr>
        <w:t>）聚焦平安建设，全力保障人民安宁。一是持续推进综治中心提档升级，大力推进县、乡镇、村（社区）综治中心建设，2022年创建任务已全面完成。二是深入开展平安创建活动</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2022年，我县命名表扬“六无”平安村（社区）84个，拟推荐争取省级命名表扬4个、市级9个。累计创建省级12个、市级48个、县级111个六无平安村（社区）。三是特殊人群管理持续加强</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加大风险隐患和重点人员排查，落实领导包案责任，开展2轮次专项工作督导，特殊人群源头管控得到进一步加强。四是养老诈骗专项行动全面开展</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共召开全县专项行动会议5次、开展现场活动54场次、发放纸质宣传册6520份，发布微信公众号36条，累计覆盖人群51万人次。五是常态化推进扫黑除恶。对6条涉黑涉恶线索进行全面核查并查否</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认真宣传贯彻落实《反有组织犯罪法》，开展系列学习宣传活动30余场次。持续深化信息网络、自然资源、交通运输、工程建设四大行业领域专项整治，完善常态化监管机制。六是加强见义勇为评选工作。县政府授予王敏同志“见义勇为公民”荣誉称号，并奖励现金5000元，同时市政府授予王敏全市“见义勇为勇士”称号。省政府授予李勇明同志省级见义勇为先进个人。全年开展见义勇为人员慰问活动2次，看望慰问4人。</w:t>
      </w:r>
    </w:p>
    <w:p>
      <w:pPr>
        <w:keepNext w:val="0"/>
        <w:keepLines w:val="0"/>
        <w:pageBreakBefore w:val="0"/>
        <w:widowControl w:val="0"/>
        <w:kinsoku/>
        <w:wordWrap/>
        <w:topLinePunct w:val="0"/>
        <w:bidi w:val="0"/>
        <w:spacing w:line="576"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4</w:t>
      </w:r>
      <w:r>
        <w:rPr>
          <w:rFonts w:hint="eastAsia" w:ascii="仿宋_GB2312" w:hAnsi="仿宋_GB2312" w:eastAsia="仿宋_GB2312" w:cs="仿宋_GB2312"/>
          <w:bCs/>
          <w:sz w:val="32"/>
          <w:szCs w:val="32"/>
        </w:rPr>
        <w:t>）深化社会治理，着力提升治理水平。印发工作指引、特色工作指引、工作指导清单和《关于做好市域社会治理现代化试点市级县级重点创新项目建设的通知》等系列文件，对推进该项工作在全县层面上提供文件指导和政策依据。审定印发《建立推行“雄关护学”护校安园模式实施方案》《建立健全建筑行业调解组织预防和化解纠纷机制实施方案》《设点建站聘员联户”网格化民生检察实施方案》创新项目实施方案，“雄关护学”护校安园模式、“设点建站聘员联户”网格化民生检察模式、建筑行业调解组织预防和化解纠纷机制3个创新项目获得市级审定，取得初步成效。“雄关义警”志愿服务队工作机制进一步完善，目前全县29个乡镇均已建立“雄关义警”队伍，30个社区建立义警分队，常态化开展治安巡逻工作，在疫情防控、秩序维护、纠纷化解等方面取得了显著成效，得到群众普遍认可。</w:t>
      </w:r>
    </w:p>
    <w:p>
      <w:pPr>
        <w:pStyle w:val="12"/>
        <w:spacing w:after="0" w:line="576" w:lineRule="exact"/>
        <w:ind w:left="0" w:leftChars="0" w:firstLine="640"/>
        <w:rPr>
          <w:rFonts w:ascii="仿宋" w:hAnsi="仿宋" w:eastAsia="仿宋"/>
          <w:color w:val="auto"/>
          <w:sz w:val="32"/>
          <w:szCs w:val="32"/>
        </w:rPr>
      </w:pP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5</w:t>
      </w:r>
      <w:r>
        <w:rPr>
          <w:rFonts w:hint="eastAsia" w:ascii="仿宋_GB2312" w:hAnsi="仿宋_GB2312" w:eastAsia="仿宋_GB2312" w:cs="仿宋_GB2312"/>
          <w:bCs/>
          <w:sz w:val="32"/>
          <w:szCs w:val="32"/>
        </w:rPr>
        <w:t>）着眼办案平台，推进执法监督工作。一是推进全省政法系统跨部门办案平台建设应用</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自2022年3月平台上线运行以来，全县政法单位非涉密案件流转率达90%以上，确保了非涉密案件“应转尽转”。二是加强执法监督力量建设</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在全县行政执法部门的业务骨干、律师以及法学专家中推荐评选了15名优秀政法干警，组建了剑阁县执法监督专家库。三是扎实开展“万案大评查”回头看</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对2021年“万案大评查”评查出的9件问题案件整改情况进行逐案审核验收，确保了问责、整改到位。四是常态化开展执法司法顽瘴痼疾整治，组建专项督导工作组，于4月25日至5月8日，对全县政法单位的案件评查、涉法涉诉信访化解等重点工作进行了督导检查。五是深入开展全省“百案督办”专项活动</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对政法单位办理过程中具有典型性、代表性、社会关切度高的6件案件进行了督办</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截止2022年12月31日，所有督办案件均已办结。六是组织开展“百佳案件”评选。组织县级政法单位积极参加全省“百佳案件”评选，由县人民检察院选送的“公益诉讼检察守护剑门蜀道千年古柏”案进入四川政法“五年百佳”案件（2018-2022）</w:t>
      </w:r>
      <w:r>
        <w:rPr>
          <w:rFonts w:hint="eastAsia" w:ascii="仿宋_GB2312" w:hAnsi="仿宋_GB2312" w:eastAsia="仿宋_GB2312" w:cs="仿宋_GB2312"/>
          <w:bCs/>
          <w:sz w:val="32"/>
          <w:szCs w:val="32"/>
          <w:lang w:eastAsia="zh-CN"/>
        </w:rPr>
        <w:t>候选</w:t>
      </w:r>
      <w:bookmarkStart w:id="68" w:name="_GoBack"/>
      <w:bookmarkEnd w:id="68"/>
      <w:r>
        <w:rPr>
          <w:rFonts w:hint="eastAsia" w:ascii="仿宋_GB2312" w:hAnsi="仿宋_GB2312" w:eastAsia="仿宋_GB2312" w:cs="仿宋_GB2312"/>
          <w:bCs/>
          <w:sz w:val="32"/>
          <w:szCs w:val="32"/>
        </w:rPr>
        <w:t>案例网评环节。</w:t>
      </w:r>
    </w:p>
    <w:p>
      <w:pPr>
        <w:pStyle w:val="12"/>
        <w:spacing w:after="0" w:line="576" w:lineRule="exact"/>
        <w:ind w:left="0" w:leftChars="0" w:firstLine="627" w:firstLineChars="196"/>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3、预算编制和执行</w:t>
      </w:r>
    </w:p>
    <w:p>
      <w:pPr>
        <w:pStyle w:val="12"/>
        <w:spacing w:after="0" w:line="576" w:lineRule="exact"/>
        <w:ind w:left="0" w:leftChars="0" w:firstLine="627" w:firstLineChars="196"/>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1）预算编制情况。严格预算编制要求，按时完成了基础信息、项目库的报送工作，完成基础信息的更新，按时完成预算编制并提交部门预算草案。预算编制中，特别注意对预算编制准确性的把握，确保预算编制完整无漏项，并严格按照要求进行预算执行调整,按时完成待批复提前细化。</w:t>
      </w:r>
    </w:p>
    <w:p>
      <w:pPr>
        <w:pStyle w:val="12"/>
        <w:spacing w:after="0" w:line="576" w:lineRule="exact"/>
        <w:ind w:left="0" w:leftChars="0" w:firstLine="627" w:firstLineChars="196"/>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预算执行情况。严格执行预算，执行中不调整预算项目，年度预算执行收支平衡，完成单位经济社会事业发展和政法工作职能职责，按时报送决算，单位决算编制人员与供养人员数据相符，决算数据真实准确。无违规记录。</w:t>
      </w:r>
    </w:p>
    <w:p>
      <w:pPr>
        <w:pStyle w:val="12"/>
        <w:spacing w:after="0" w:line="576" w:lineRule="exact"/>
        <w:ind w:left="0" w:leftChars="0" w:firstLine="627" w:firstLineChars="196"/>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（3）预算管理方面。我委制定了切实有效的内部管理制度和经费支出控制方案，有较强的内控风险管理意识、各项经费支出得到了有效控制。</w:t>
      </w:r>
    </w:p>
    <w:p>
      <w:pPr>
        <w:pStyle w:val="12"/>
        <w:spacing w:after="0" w:line="576" w:lineRule="exact"/>
        <w:ind w:left="0" w:leftChars="0" w:firstLine="640"/>
        <w:rPr>
          <w:rFonts w:hint="eastAsia" w:ascii="仿宋_GB2312" w:hAnsi="仿宋_GB2312" w:eastAsia="仿宋_GB2312" w:cs="仿宋_GB2312"/>
          <w:color w:val="auto"/>
          <w:kern w:val="2"/>
          <w:sz w:val="32"/>
          <w:szCs w:val="32"/>
          <w:lang w:val="en-US" w:eastAsia="zh-CN" w:bidi="ar-SA"/>
        </w:rPr>
      </w:pPr>
      <w:r>
        <w:rPr>
          <w:rFonts w:hint="eastAsia" w:ascii="楷体" w:hAnsi="楷体" w:eastAsia="楷体"/>
          <w:color w:val="auto"/>
          <w:sz w:val="32"/>
          <w:szCs w:val="32"/>
        </w:rPr>
        <w:t>（二）结果应用情况。</w:t>
      </w:r>
      <w:r>
        <w:rPr>
          <w:rFonts w:hint="eastAsia" w:ascii="仿宋_GB2312" w:hAnsi="仿宋_GB2312" w:eastAsia="仿宋_GB2312" w:cs="仿宋_GB2312"/>
          <w:color w:val="auto"/>
          <w:kern w:val="2"/>
          <w:sz w:val="32"/>
          <w:szCs w:val="32"/>
          <w:lang w:val="en-US" w:eastAsia="zh-CN" w:bidi="ar-SA"/>
        </w:rPr>
        <w:t>通过绩效自评，公开了2022年部门整体支出绩效，评价结果的影响因素主要是由于项目经费中上年结转数据较大及当年用存量资金安排雪亮工程经费未纳入年初预算导致预决算差异率。</w:t>
      </w:r>
    </w:p>
    <w:p>
      <w:pPr>
        <w:pStyle w:val="12"/>
        <w:spacing w:after="0" w:line="576" w:lineRule="exact"/>
        <w:ind w:left="0" w:leftChars="0" w:firstLine="640"/>
        <w:rPr>
          <w:rFonts w:ascii="黑体" w:hAnsi="黑体" w:eastAsia="黑体"/>
          <w:color w:val="auto"/>
          <w:sz w:val="32"/>
          <w:szCs w:val="32"/>
        </w:rPr>
      </w:pPr>
      <w:r>
        <w:rPr>
          <w:rFonts w:hint="eastAsia" w:ascii="黑体" w:hAnsi="黑体" w:eastAsia="黑体"/>
          <w:color w:val="auto"/>
          <w:sz w:val="32"/>
          <w:szCs w:val="32"/>
        </w:rPr>
        <w:t>四、评价结论及建议</w:t>
      </w:r>
    </w:p>
    <w:p>
      <w:pPr>
        <w:pStyle w:val="16"/>
        <w:shd w:val="clear" w:color="auto" w:fill="FFFFFF"/>
        <w:spacing w:before="0" w:beforeAutospacing="0" w:after="0" w:afterAutospacing="0" w:line="576" w:lineRule="exact"/>
        <w:ind w:firstLine="480"/>
        <w:jc w:val="both"/>
        <w:rPr>
          <w:rFonts w:hint="eastAsia" w:ascii="仿宋_GB2312" w:hAnsi="仿宋_GB2312" w:eastAsia="仿宋_GB2312" w:cs="仿宋_GB2312"/>
          <w:color w:val="auto"/>
          <w:kern w:val="2"/>
          <w:sz w:val="32"/>
          <w:szCs w:val="32"/>
          <w:lang w:val="en-US" w:eastAsia="zh-CN" w:bidi="ar-SA"/>
        </w:rPr>
      </w:pPr>
      <w:r>
        <w:rPr>
          <w:rFonts w:hint="eastAsia" w:ascii="楷体" w:hAnsi="楷体" w:eastAsia="楷体" w:cs="Times New Roman"/>
          <w:color w:val="auto"/>
          <w:kern w:val="2"/>
          <w:sz w:val="32"/>
          <w:szCs w:val="32"/>
        </w:rPr>
        <w:t>（一）评价结论</w:t>
      </w:r>
      <w:r>
        <w:rPr>
          <w:rFonts w:hint="eastAsia" w:ascii="楷体" w:hAnsi="楷体" w:eastAsia="楷体"/>
          <w:color w:val="auto"/>
          <w:sz w:val="32"/>
          <w:szCs w:val="32"/>
        </w:rPr>
        <w:t>。</w:t>
      </w:r>
      <w:r>
        <w:rPr>
          <w:rFonts w:hint="eastAsia" w:ascii="仿宋_GB2312" w:hAnsi="仿宋_GB2312" w:eastAsia="仿宋_GB2312" w:cs="仿宋_GB2312"/>
          <w:color w:val="auto"/>
          <w:kern w:val="2"/>
          <w:sz w:val="32"/>
          <w:szCs w:val="32"/>
          <w:lang w:val="en-US" w:eastAsia="zh-CN" w:bidi="ar-SA"/>
        </w:rPr>
        <w:t>综上所述，通过绩效自评，2022年县委政法委目标制定明确，完成数量和质量均得到有效控制，认真贯彻落实中央、省市县委全面推进高质量发展的决定，着力抓好维护稳定、社会治理、扫黑除恶斗争、司法改革创新等重点工作，扫黑除恶斗争常态开展，维护政治安全和社会稳定坚定有力，平安剑阁建设根基不断夯实，服务大局精准有效，执法司法公信力持续有进，法治剑阁建设务实有为，过硬队伍建设持续加强。认真抓好基层组织建设、党风廉政建设、作风纪律建设、意识形态及宣传思想文化、统一战线等党的建设工作。部门整体支出绩效达到了预期目的，确保了目标任务完成。</w:t>
      </w:r>
    </w:p>
    <w:p>
      <w:pPr>
        <w:pStyle w:val="12"/>
        <w:spacing w:after="0" w:line="576" w:lineRule="exact"/>
        <w:ind w:left="0" w:leftChars="0" w:firstLine="640"/>
        <w:rPr>
          <w:rFonts w:hint="eastAsia" w:ascii="仿宋_GB2312" w:hAnsi="仿宋_GB2312" w:eastAsia="仿宋_GB2312" w:cs="仿宋_GB2312"/>
          <w:color w:val="auto"/>
          <w:kern w:val="2"/>
          <w:sz w:val="32"/>
          <w:szCs w:val="32"/>
          <w:lang w:val="en-US" w:eastAsia="zh-CN" w:bidi="ar-SA"/>
        </w:rPr>
      </w:pPr>
      <w:r>
        <w:rPr>
          <w:rFonts w:hint="eastAsia" w:ascii="楷体" w:hAnsi="楷体" w:eastAsia="楷体"/>
          <w:color w:val="auto"/>
          <w:sz w:val="32"/>
          <w:szCs w:val="32"/>
        </w:rPr>
        <w:t>（二）存在问题。</w:t>
      </w:r>
      <w:r>
        <w:rPr>
          <w:rFonts w:hint="eastAsia" w:ascii="仿宋_GB2312" w:hAnsi="仿宋_GB2312" w:eastAsia="仿宋_GB2312" w:cs="仿宋_GB2312"/>
          <w:color w:val="auto"/>
          <w:kern w:val="2"/>
          <w:sz w:val="32"/>
          <w:szCs w:val="32"/>
          <w:lang w:val="en-US" w:eastAsia="zh-CN" w:bidi="ar-SA"/>
        </w:rPr>
        <w:t>一是项目经费差口较大，我委是全县政法系统、政法机关党的领导机构，负责了全县的维护社会稳定、维护国家政治安全、扫黑除恶斗争、政法队伍建设、社会治理、矛盾纠纷多元化解以及平安剑阁建设、司法体制改革等各项政法重点工作，上级专项检查督导频率高，特别是维稳、综治和扫黑除恶斗争、政法队伍建设工作量大面宽、任务繁重，项目工作经费不足，差口较大。如国家安全人民防线工作经费、综治维稳工作经费未纳入财政预算等。二是预算执行存在偏差。因部分工作如雪亮工程、慧眼工程未纳入年初预算，另外还有部分经费，比如绩效考核奖励资金等不可预见经费的追加，无法纳入预算，预决算差异率直接影响了部门整体支出绩效评价指标。三是公用经费不足，导致挤占项目经费。年初预算公用经费不足，加上人员变动，年初预算公用经费无法保证机关正常行政运行，导致挤占项目经费。</w:t>
      </w:r>
    </w:p>
    <w:p>
      <w:pPr>
        <w:pStyle w:val="12"/>
        <w:spacing w:after="0" w:line="576" w:lineRule="exact"/>
        <w:ind w:left="0" w:leftChars="0" w:firstLine="627" w:firstLineChars="196"/>
        <w:rPr>
          <w:rFonts w:hint="eastAsia" w:ascii="仿宋_GB2312" w:hAnsi="仿宋_GB2312" w:eastAsia="仿宋_GB2312" w:cs="仿宋_GB2312"/>
          <w:color w:val="auto"/>
          <w:kern w:val="2"/>
          <w:sz w:val="32"/>
          <w:szCs w:val="32"/>
          <w:lang w:val="en-US" w:eastAsia="zh-CN" w:bidi="ar-SA"/>
        </w:rPr>
      </w:pPr>
      <w:r>
        <w:rPr>
          <w:rFonts w:hint="eastAsia" w:ascii="楷体" w:hAnsi="楷体" w:eastAsia="楷体"/>
          <w:color w:val="auto"/>
          <w:sz w:val="32"/>
          <w:szCs w:val="32"/>
        </w:rPr>
        <w:t>（三）改进建议。</w:t>
      </w:r>
      <w:r>
        <w:rPr>
          <w:rFonts w:hint="eastAsia" w:ascii="仿宋" w:hAnsi="仿宋" w:eastAsia="仿宋"/>
          <w:color w:val="auto"/>
          <w:sz w:val="32"/>
          <w:szCs w:val="32"/>
        </w:rPr>
        <w:t>一</w:t>
      </w:r>
      <w:r>
        <w:rPr>
          <w:rFonts w:hint="eastAsia" w:ascii="仿宋_GB2312" w:hAnsi="仿宋_GB2312" w:eastAsia="仿宋_GB2312" w:cs="仿宋_GB2312"/>
          <w:color w:val="auto"/>
          <w:kern w:val="2"/>
          <w:sz w:val="32"/>
          <w:szCs w:val="32"/>
          <w:lang w:val="en-US" w:eastAsia="zh-CN" w:bidi="ar-SA"/>
        </w:rPr>
        <w:t>是建议合理增加项目经费。历年来，我委在维护社会稳定、维护国家安全、扫黑除恶斗争、社会治理、矛盾纠纷多元化解以及平安剑阁建设、司法体制改革等工作中持续发力，为保障全县经济社会发展提供了安全的政治环境、稳定的社会环境、公正的法治环境、优质的服务环境。但维稳、综治工作经费和国安人民防线工作经费未安排预算，但实际支出数较大，建议在年初下达部门预算时充分给予考虑，以充分实现项目支出绩效和部门整体支出绩效的优越性。二是建议把人员工资正常晋升和人员调动确定在预算申报之内。在年度部门预算下达后，人员工资正常晋升和人员调动形成的人员经费预决算差异率和公用经费预决算差异率直接影响了预算编制的科学准确性，也会直接影响预算执行的动态调整和执行进度。三是加强单位内控制度建设，通过查找内部管理中的薄弱环节，建立健全各项内部控制制度，更好地发挥内部控制在提升单位内部治理水平、规范内部权力运行、促进依法行政、推进廉政建设中的重要作用。</w:t>
      </w:r>
    </w:p>
    <w:p>
      <w:pPr>
        <w:pageBreakBefore w:val="0"/>
        <w:kinsoku/>
        <w:wordWrap/>
        <w:overflowPunct/>
        <w:topLinePunct w:val="0"/>
        <w:bidi w:val="0"/>
        <w:spacing w:line="556" w:lineRule="exact"/>
        <w:ind w:left="0"/>
        <w:textAlignment w:val="auto"/>
        <w:rPr>
          <w:rFonts w:hint="eastAsia" w:ascii="黑体" w:hAnsi="黑体" w:eastAsia="黑体" w:cs="黑体"/>
          <w:sz w:val="32"/>
          <w:szCs w:val="32"/>
        </w:rPr>
      </w:pPr>
    </w:p>
    <w:p>
      <w:pPr>
        <w:pageBreakBefore w:val="0"/>
        <w:kinsoku/>
        <w:wordWrap/>
        <w:overflowPunct/>
        <w:topLinePunct w:val="0"/>
        <w:bidi w:val="0"/>
        <w:spacing w:line="556" w:lineRule="exact"/>
        <w:ind w:left="0"/>
        <w:textAlignment w:val="auto"/>
        <w:rPr>
          <w:rFonts w:hint="eastAsia" w:ascii="黑体" w:hAnsi="黑体" w:eastAsia="黑体" w:cs="黑体"/>
          <w:sz w:val="32"/>
          <w:szCs w:val="32"/>
        </w:rPr>
      </w:pPr>
    </w:p>
    <w:p>
      <w:pPr>
        <w:pageBreakBefore w:val="0"/>
        <w:kinsoku/>
        <w:wordWrap/>
        <w:overflowPunct/>
        <w:topLinePunct w:val="0"/>
        <w:bidi w:val="0"/>
        <w:spacing w:line="556" w:lineRule="exact"/>
        <w:ind w:left="0"/>
        <w:textAlignment w:val="auto"/>
        <w:rPr>
          <w:rFonts w:ascii="仿宋_GB2312" w:hAnsi="仿宋_GB2312" w:eastAsia="仿宋_GB2312"/>
          <w:sz w:val="32"/>
          <w:szCs w:val="32"/>
        </w:rPr>
      </w:pPr>
      <w:r>
        <w:rPr>
          <w:rFonts w:hint="eastAsia" w:ascii="黑体" w:hAnsi="黑体" w:eastAsia="黑体" w:cs="黑体"/>
          <w:sz w:val="32"/>
          <w:szCs w:val="32"/>
        </w:rPr>
        <w:t>附件</w:t>
      </w:r>
      <w:r>
        <w:rPr>
          <w:rFonts w:ascii="黑体" w:hAnsi="黑体" w:eastAsia="黑体" w:cs="黑体"/>
          <w:sz w:val="32"/>
          <w:szCs w:val="32"/>
        </w:rPr>
        <w:t>2</w:t>
      </w:r>
    </w:p>
    <w:p>
      <w:pPr>
        <w:adjustRightInd w:val="0"/>
        <w:snapToGrid w:val="0"/>
        <w:spacing w:line="580" w:lineRule="exact"/>
        <w:jc w:val="center"/>
        <w:rPr>
          <w:rFonts w:hint="eastAsia" w:ascii="方正小标宋简体" w:hAnsi="黑体" w:eastAsia="方正小标宋简体" w:cs="华文中宋"/>
          <w:bCs/>
          <w:sz w:val="44"/>
          <w:szCs w:val="44"/>
          <w:lang w:val="zh-CN"/>
        </w:rPr>
      </w:pPr>
      <w:r>
        <w:rPr>
          <w:rFonts w:hint="eastAsia" w:ascii="方正小标宋简体" w:hAnsi="黑体" w:eastAsia="方正小标宋简体" w:cs="华文中宋"/>
          <w:bCs/>
          <w:sz w:val="44"/>
          <w:szCs w:val="44"/>
          <w:lang w:val="zh-CN"/>
        </w:rPr>
        <w:t>中共剑阁县委政法委员会</w:t>
      </w:r>
    </w:p>
    <w:p>
      <w:pPr>
        <w:adjustRightInd w:val="0"/>
        <w:snapToGrid w:val="0"/>
        <w:spacing w:line="580" w:lineRule="exact"/>
        <w:jc w:val="center"/>
        <w:rPr>
          <w:rFonts w:hint="eastAsia" w:ascii="方正小标宋简体" w:hAnsi="黑体" w:eastAsia="方正小标宋简体" w:cs="华文中宋"/>
          <w:bCs/>
          <w:sz w:val="44"/>
          <w:szCs w:val="44"/>
          <w:lang w:val="zh-CN"/>
        </w:rPr>
      </w:pPr>
      <w:r>
        <w:rPr>
          <w:rFonts w:hint="eastAsia" w:ascii="方正小标宋简体" w:hAnsi="黑体" w:eastAsia="方正小标宋简体" w:cs="华文中宋"/>
          <w:bCs/>
          <w:sz w:val="44"/>
          <w:szCs w:val="44"/>
          <w:lang w:val="zh-CN"/>
        </w:rPr>
        <w:t>20</w:t>
      </w:r>
      <w:r>
        <w:rPr>
          <w:rFonts w:hint="eastAsia" w:ascii="方正小标宋简体" w:hAnsi="黑体" w:eastAsia="方正小标宋简体" w:cs="华文中宋"/>
          <w:bCs/>
          <w:sz w:val="44"/>
          <w:szCs w:val="44"/>
          <w:lang w:val="en-US" w:eastAsia="zh-CN"/>
        </w:rPr>
        <w:t>22</w:t>
      </w:r>
      <w:r>
        <w:rPr>
          <w:rFonts w:hint="eastAsia" w:ascii="方正小标宋简体" w:hAnsi="黑体" w:eastAsia="方正小标宋简体" w:cs="华文中宋"/>
          <w:bCs/>
          <w:sz w:val="44"/>
          <w:szCs w:val="44"/>
          <w:lang w:val="zh-CN"/>
        </w:rPr>
        <w:t>年项目支出绩效自评报告</w:t>
      </w:r>
    </w:p>
    <w:p>
      <w:pPr>
        <w:adjustRightInd w:val="0"/>
        <w:snapToGrid w:val="0"/>
        <w:spacing w:line="580" w:lineRule="exact"/>
        <w:jc w:val="center"/>
        <w:rPr>
          <w:rFonts w:hint="eastAsia" w:ascii="楷体_GB2312" w:hAnsi="黑体" w:eastAsia="楷体_GB2312" w:cs="华文楷体"/>
          <w:bCs/>
          <w:sz w:val="32"/>
          <w:szCs w:val="32"/>
          <w:lang w:val="zh-CN"/>
        </w:rPr>
      </w:pPr>
      <w:r>
        <w:rPr>
          <w:rFonts w:hint="eastAsia" w:ascii="楷体_GB2312" w:hAnsi="黑体" w:eastAsia="楷体_GB2312" w:cs="华文楷体"/>
          <w:bCs/>
          <w:sz w:val="32"/>
          <w:szCs w:val="32"/>
          <w:lang w:val="zh-CN"/>
        </w:rPr>
        <w:t>（雪亮工程项目）</w:t>
      </w:r>
    </w:p>
    <w:p>
      <w:pPr>
        <w:adjustRightInd w:val="0"/>
        <w:snapToGrid w:val="0"/>
        <w:spacing w:line="580" w:lineRule="exact"/>
        <w:ind w:firstLine="720"/>
        <w:rPr>
          <w:rFonts w:hint="eastAsia" w:ascii="仿宋_GB2312" w:hAnsi="宋体"/>
          <w:lang w:val="zh-CN"/>
        </w:rPr>
      </w:pPr>
    </w:p>
    <w:p>
      <w:pPr>
        <w:adjustRightInd w:val="0"/>
        <w:snapToGrid w:val="0"/>
        <w:spacing w:line="576" w:lineRule="exact"/>
        <w:ind w:firstLine="640" w:firstLineChars="200"/>
        <w:rPr>
          <w:rFonts w:hint="eastAsia" w:ascii="黑体" w:hAnsi="黑体" w:eastAsia="黑体" w:cs="黑体"/>
          <w:bCs/>
          <w:sz w:val="32"/>
          <w:szCs w:val="32"/>
          <w:lang w:val="zh-CN"/>
        </w:rPr>
      </w:pPr>
      <w:r>
        <w:rPr>
          <w:rFonts w:hint="eastAsia" w:ascii="黑体" w:hAnsi="黑体" w:eastAsia="黑体" w:cs="黑体"/>
          <w:bCs/>
          <w:sz w:val="32"/>
          <w:szCs w:val="32"/>
          <w:lang w:val="zh-CN"/>
        </w:rPr>
        <w:t>一、项目概况</w:t>
      </w:r>
    </w:p>
    <w:p>
      <w:pPr>
        <w:adjustRightInd w:val="0"/>
        <w:snapToGrid w:val="0"/>
        <w:spacing w:line="576" w:lineRule="exact"/>
        <w:ind w:firstLine="640" w:firstLineChars="200"/>
        <w:rPr>
          <w:rFonts w:hint="eastAsia" w:ascii="仿宋_GB2312" w:hAnsi="仿宋" w:eastAsia="仿宋_GB2312" w:cs="仿宋"/>
          <w:sz w:val="32"/>
          <w:szCs w:val="32"/>
          <w:lang w:val="zh-CN"/>
        </w:rPr>
      </w:pPr>
      <w:r>
        <w:rPr>
          <w:rFonts w:hint="eastAsia" w:ascii="楷体_GB2312" w:hAnsi="黑体" w:eastAsia="楷体_GB2312" w:cs="仿宋"/>
          <w:sz w:val="32"/>
          <w:szCs w:val="32"/>
          <w:lang w:val="zh-CN"/>
        </w:rPr>
        <w:t>（一）项目规划背景</w:t>
      </w:r>
      <w:r>
        <w:rPr>
          <w:rFonts w:hint="eastAsia" w:ascii="仿宋_GB2312" w:hAnsi="仿宋" w:eastAsia="仿宋_GB2312" w:cs="仿宋"/>
          <w:sz w:val="32"/>
          <w:szCs w:val="32"/>
          <w:lang w:val="zh-CN"/>
        </w:rPr>
        <w:t>。“雪亮工程”是按照中办国办《“十三五”国家信息化规划》（国发〔2016〕73号）和中央九部委《关于加强公共安全视频监控建设联网应用工作的若干意见》（发改高技〔2015〕996号）等系列文件的安排,在农村重点公共区域开展的视频监控建设联网应用工程,是提高国家安全保障的战略工程，是建设更高水平平安中国的基础工程，是满足人民美好生活需要的民生工程。</w:t>
      </w:r>
      <w:r>
        <w:rPr>
          <w:rFonts w:hint="eastAsia" w:ascii="仿宋_GB2312" w:hAnsi="仿宋" w:eastAsia="仿宋_GB2312" w:cs="仿宋"/>
          <w:sz w:val="32"/>
          <w:szCs w:val="32"/>
          <w:lang w:val="en-US" w:eastAsia="zh-CN"/>
        </w:rPr>
        <w:t>2016年，</w:t>
      </w:r>
      <w:r>
        <w:rPr>
          <w:rFonts w:hint="eastAsia" w:ascii="仿宋_GB2312" w:hAnsi="方正小标宋简体" w:eastAsia="仿宋_GB2312" w:cs="方正小标宋简体"/>
          <w:spacing w:val="4"/>
          <w:sz w:val="32"/>
          <w:szCs w:val="32"/>
          <w:lang w:eastAsia="zh-CN"/>
        </w:rPr>
        <w:t>县十八届人民政府第</w:t>
      </w:r>
      <w:r>
        <w:rPr>
          <w:rFonts w:hint="eastAsia" w:ascii="仿宋_GB2312" w:hAnsi="方正小标宋简体" w:eastAsia="仿宋_GB2312" w:cs="方正小标宋简体"/>
          <w:spacing w:val="4"/>
          <w:sz w:val="32"/>
          <w:szCs w:val="32"/>
          <w:lang w:val="en-US" w:eastAsia="zh-CN"/>
        </w:rPr>
        <w:t>18次常务会议审议通过我县《雪亮工程建设企业投资建设，政府租赁应用，每年推进实施》的方案。</w:t>
      </w:r>
    </w:p>
    <w:p>
      <w:pPr>
        <w:adjustRightInd w:val="0"/>
        <w:snapToGrid w:val="0"/>
        <w:spacing w:line="576" w:lineRule="exact"/>
        <w:ind w:firstLine="640" w:firstLineChars="200"/>
        <w:rPr>
          <w:rFonts w:hint="eastAsia" w:ascii="仿宋_GB2312" w:hAnsi="仿宋" w:eastAsia="仿宋_GB2312" w:cs="仿宋"/>
          <w:sz w:val="32"/>
          <w:szCs w:val="32"/>
          <w:lang w:val="zh-CN"/>
        </w:rPr>
      </w:pPr>
      <w:r>
        <w:rPr>
          <w:rFonts w:hint="eastAsia" w:ascii="楷体_GB2312" w:hAnsi="黑体" w:eastAsia="楷体_GB2312" w:cs="仿宋"/>
          <w:sz w:val="32"/>
          <w:szCs w:val="32"/>
          <w:lang w:val="zh-CN"/>
        </w:rPr>
        <w:t>（二）项目资金申报及批复情况。</w:t>
      </w:r>
      <w:r>
        <w:rPr>
          <w:rFonts w:hint="eastAsia" w:ascii="仿宋_GB2312" w:hAnsi="仿宋" w:eastAsia="仿宋_GB2312" w:cs="仿宋"/>
          <w:sz w:val="32"/>
          <w:szCs w:val="32"/>
          <w:lang w:val="en-US" w:eastAsia="zh-CN"/>
        </w:rPr>
        <w:t>截止2022年底县本级承担的应支付雪亮工程运行维护费共计1261.2万元。</w:t>
      </w:r>
      <w:r>
        <w:rPr>
          <w:rFonts w:hint="eastAsia" w:ascii="仿宋_GB2312" w:hAnsi="仿宋" w:eastAsia="仿宋_GB2312" w:cs="仿宋"/>
          <w:sz w:val="32"/>
          <w:szCs w:val="32"/>
          <w:lang w:val="zh-CN"/>
        </w:rPr>
        <w:t>其中：</w:t>
      </w:r>
      <w:r>
        <w:rPr>
          <w:rFonts w:hint="eastAsia" w:ascii="仿宋_GB2312" w:hAnsi="仿宋" w:eastAsia="仿宋_GB2312" w:cs="仿宋"/>
          <w:sz w:val="32"/>
          <w:szCs w:val="32"/>
          <w:lang w:val="en-US" w:eastAsia="zh-CN"/>
        </w:rPr>
        <w:t>2017年雪亮工程应支付运行维护费42万元，2018年100.4万元，2019年179.4万元，2020年223.2万元，2021年223.2万元，2022年223.2万元，网闸及指挥中心平台建设费45.9万元。已支付823.69万元，下欠437.41万元。</w:t>
      </w:r>
      <w:r>
        <w:rPr>
          <w:rFonts w:hint="eastAsia" w:ascii="仿宋_GB2312" w:hAnsi="仿宋" w:eastAsia="仿宋_GB2312" w:cs="仿宋"/>
          <w:sz w:val="32"/>
          <w:szCs w:val="32"/>
          <w:lang w:val="zh-CN"/>
        </w:rPr>
        <w:t>20</w:t>
      </w:r>
      <w:r>
        <w:rPr>
          <w:rFonts w:hint="eastAsia" w:ascii="仿宋_GB2312" w:hAnsi="仿宋" w:eastAsia="仿宋_GB2312" w:cs="仿宋"/>
          <w:sz w:val="32"/>
          <w:szCs w:val="32"/>
          <w:lang w:val="en-US" w:eastAsia="zh-CN"/>
        </w:rPr>
        <w:t>22</w:t>
      </w:r>
      <w:r>
        <w:rPr>
          <w:rFonts w:hint="eastAsia" w:ascii="仿宋_GB2312" w:hAnsi="仿宋" w:eastAsia="仿宋_GB2312" w:cs="仿宋"/>
          <w:sz w:val="32"/>
          <w:szCs w:val="32"/>
          <w:lang w:val="zh-CN"/>
        </w:rPr>
        <w:t>年，县委政法委申报雪亮工程项目资金预算</w:t>
      </w:r>
      <w:r>
        <w:rPr>
          <w:rFonts w:hint="eastAsia" w:ascii="仿宋_GB2312" w:hAnsi="仿宋" w:eastAsia="仿宋_GB2312" w:cs="仿宋"/>
          <w:sz w:val="32"/>
          <w:szCs w:val="32"/>
          <w:lang w:val="en-US" w:eastAsia="zh-CN"/>
        </w:rPr>
        <w:t>346</w:t>
      </w:r>
      <w:r>
        <w:rPr>
          <w:rFonts w:hint="eastAsia" w:ascii="仿宋_GB2312" w:hAnsi="仿宋" w:eastAsia="仿宋_GB2312" w:cs="仿宋"/>
          <w:sz w:val="32"/>
          <w:szCs w:val="32"/>
          <w:lang w:val="zh-CN"/>
        </w:rPr>
        <w:t>万元，财政用存量资金安排雪亮工程项目预算</w:t>
      </w:r>
      <w:r>
        <w:rPr>
          <w:rFonts w:hint="eastAsia" w:ascii="仿宋_GB2312" w:hAnsi="仿宋" w:eastAsia="仿宋_GB2312" w:cs="仿宋"/>
          <w:sz w:val="32"/>
          <w:szCs w:val="32"/>
          <w:lang w:val="en-US" w:eastAsia="zh-CN"/>
        </w:rPr>
        <w:t>100万元</w:t>
      </w:r>
      <w:r>
        <w:rPr>
          <w:rFonts w:hint="eastAsia" w:ascii="仿宋_GB2312" w:hAnsi="仿宋" w:eastAsia="仿宋_GB2312" w:cs="仿宋"/>
          <w:sz w:val="32"/>
          <w:szCs w:val="32"/>
          <w:lang w:val="zh-CN"/>
        </w:rPr>
        <w:t>。</w:t>
      </w:r>
    </w:p>
    <w:p>
      <w:pPr>
        <w:adjustRightInd w:val="0"/>
        <w:snapToGrid w:val="0"/>
        <w:spacing w:line="576" w:lineRule="exact"/>
        <w:ind w:firstLine="640" w:firstLineChars="200"/>
        <w:rPr>
          <w:rFonts w:hint="eastAsia" w:ascii="仿宋_GB2312" w:hAnsi="仿宋" w:eastAsia="仿宋_GB2312" w:cs="仿宋"/>
          <w:sz w:val="32"/>
          <w:szCs w:val="32"/>
          <w:lang w:val="zh-CN"/>
        </w:rPr>
      </w:pPr>
      <w:r>
        <w:rPr>
          <w:rFonts w:hint="eastAsia" w:ascii="楷体_GB2312" w:hAnsi="黑体" w:eastAsia="楷体_GB2312" w:cs="仿宋"/>
          <w:sz w:val="32"/>
          <w:szCs w:val="32"/>
          <w:lang w:val="zh-CN"/>
        </w:rPr>
        <w:t>（三）项目绩效目标</w:t>
      </w:r>
      <w:r>
        <w:rPr>
          <w:rFonts w:hint="eastAsia" w:ascii="仿宋_GB2312" w:hAnsi="仿宋" w:eastAsia="仿宋_GB2312" w:cs="仿宋"/>
          <w:sz w:val="32"/>
          <w:szCs w:val="32"/>
          <w:lang w:val="zh-CN"/>
        </w:rPr>
        <w:t>。2018年，我县将“雪亮工程”建设应用纳入社会治理扶贫项目，统筹整合县农委幸福美丽新村建设经费300万元，用于当年59个脱贫村“雪亮工程”建设租赁应用费用，按质按量完成了年度社会治理扶贫和市上下达的年度目标任务，2019年完成贫困村“雪亮工程”建设全覆盖任务。</w:t>
      </w:r>
      <w:r>
        <w:rPr>
          <w:rFonts w:hint="eastAsia" w:ascii="仿宋_GB2312" w:eastAsia="仿宋_GB2312"/>
          <w:spacing w:val="4"/>
          <w:sz w:val="32"/>
          <w:szCs w:val="32"/>
        </w:rPr>
        <w:t>截止20</w:t>
      </w:r>
      <w:r>
        <w:rPr>
          <w:rFonts w:hint="eastAsia" w:ascii="仿宋_GB2312" w:eastAsia="仿宋_GB2312"/>
          <w:spacing w:val="4"/>
          <w:sz w:val="32"/>
          <w:szCs w:val="32"/>
          <w:lang w:val="en-US" w:eastAsia="zh-CN"/>
        </w:rPr>
        <w:t>21</w:t>
      </w:r>
      <w:r>
        <w:rPr>
          <w:rFonts w:hint="eastAsia" w:ascii="仿宋_GB2312" w:eastAsia="仿宋_GB2312"/>
          <w:spacing w:val="4"/>
          <w:sz w:val="32"/>
          <w:szCs w:val="32"/>
        </w:rPr>
        <w:t>年底，全县</w:t>
      </w:r>
      <w:r>
        <w:rPr>
          <w:rFonts w:hint="eastAsia" w:ascii="仿宋_GB2312" w:hAnsi="方正小标宋简体" w:eastAsia="仿宋_GB2312" w:cs="方正小标宋简体"/>
          <w:spacing w:val="4"/>
          <w:sz w:val="32"/>
          <w:szCs w:val="32"/>
        </w:rPr>
        <w:t>已累计完成219个村（社区）（村建制调整前为258个），安装监控探头111</w:t>
      </w:r>
      <w:r>
        <w:rPr>
          <w:rFonts w:hint="eastAsia" w:ascii="仿宋_GB2312" w:hAnsi="方正小标宋简体" w:eastAsia="仿宋_GB2312" w:cs="方正小标宋简体"/>
          <w:spacing w:val="4"/>
          <w:sz w:val="32"/>
          <w:szCs w:val="32"/>
          <w:lang w:val="en-US" w:eastAsia="zh-CN"/>
        </w:rPr>
        <w:t>9</w:t>
      </w:r>
      <w:r>
        <w:rPr>
          <w:rFonts w:hint="eastAsia" w:ascii="仿宋_GB2312" w:hAnsi="方正小标宋简体" w:eastAsia="仿宋_GB2312" w:cs="方正小标宋简体"/>
          <w:spacing w:val="4"/>
          <w:sz w:val="32"/>
          <w:szCs w:val="32"/>
        </w:rPr>
        <w:t>个（广电105</w:t>
      </w:r>
      <w:r>
        <w:rPr>
          <w:rFonts w:hint="eastAsia" w:ascii="仿宋_GB2312" w:hAnsi="方正小标宋简体" w:eastAsia="仿宋_GB2312" w:cs="方正小标宋简体"/>
          <w:spacing w:val="4"/>
          <w:sz w:val="32"/>
          <w:szCs w:val="32"/>
          <w:lang w:val="en-US" w:eastAsia="zh-CN"/>
        </w:rPr>
        <w:t>4</w:t>
      </w:r>
      <w:r>
        <w:rPr>
          <w:rFonts w:hint="eastAsia" w:ascii="仿宋_GB2312" w:hAnsi="方正小标宋简体" w:eastAsia="仿宋_GB2312" w:cs="方正小标宋简体"/>
          <w:spacing w:val="4"/>
          <w:sz w:val="32"/>
          <w:szCs w:val="32"/>
        </w:rPr>
        <w:t>个、电信65个）、建设三级监控平台267个、接入农户电视6400户</w:t>
      </w:r>
      <w:r>
        <w:rPr>
          <w:rFonts w:hint="eastAsia" w:ascii="仿宋_GB2312" w:hAnsi="方正小标宋简体" w:eastAsia="仿宋_GB2312" w:cs="方正小标宋简体"/>
          <w:spacing w:val="4"/>
          <w:sz w:val="32"/>
          <w:szCs w:val="32"/>
          <w:lang w:eastAsia="zh-CN"/>
        </w:rPr>
        <w:t>，</w:t>
      </w:r>
      <w:r>
        <w:rPr>
          <w:rFonts w:hint="eastAsia" w:ascii="仿宋_GB2312" w:hAnsi="方正小标宋简体" w:eastAsia="仿宋_GB2312" w:cs="方正小标宋简体"/>
          <w:spacing w:val="4"/>
          <w:sz w:val="32"/>
          <w:szCs w:val="32"/>
        </w:rPr>
        <w:t>工作总体推进有序、联网应用效果明显、社会评价较好。</w:t>
      </w:r>
      <w:r>
        <w:rPr>
          <w:rFonts w:hint="eastAsia" w:ascii="仿宋_GB2312" w:hAnsi="仿宋" w:eastAsia="仿宋_GB2312" w:cs="仿宋"/>
          <w:sz w:val="32"/>
          <w:szCs w:val="32"/>
          <w:lang w:val="zh-CN"/>
        </w:rPr>
        <w:t>2018年，县级视频研判指挥中心建成，实现了“雪亮工程”与“天网”工程的互联互通，资源共享。</w:t>
      </w:r>
    </w:p>
    <w:p>
      <w:pPr>
        <w:adjustRightInd w:val="0"/>
        <w:snapToGrid w:val="0"/>
        <w:spacing w:line="576" w:lineRule="exact"/>
        <w:ind w:firstLine="640" w:firstLineChars="200"/>
        <w:rPr>
          <w:rFonts w:hint="eastAsia" w:ascii="仿宋_GB2312" w:hAnsi="仿宋" w:eastAsia="仿宋_GB2312" w:cs="仿宋"/>
          <w:sz w:val="32"/>
          <w:szCs w:val="32"/>
          <w:lang w:val="zh-CN"/>
        </w:rPr>
      </w:pPr>
      <w:r>
        <w:rPr>
          <w:rFonts w:hint="eastAsia" w:ascii="楷体_GB2312" w:hAnsi="黑体" w:eastAsia="楷体_GB2312" w:cs="仿宋"/>
          <w:sz w:val="32"/>
          <w:szCs w:val="32"/>
          <w:lang w:val="zh-CN"/>
        </w:rPr>
        <w:t>（四）项目资金申报相符性。</w:t>
      </w:r>
      <w:r>
        <w:rPr>
          <w:rFonts w:hint="eastAsia" w:ascii="仿宋_GB2312" w:hAnsi="仿宋" w:eastAsia="仿宋_GB2312" w:cs="仿宋"/>
          <w:sz w:val="32"/>
          <w:szCs w:val="32"/>
          <w:lang w:val="zh-CN"/>
        </w:rPr>
        <w:t>雪亮工程项目申报内容与20</w:t>
      </w:r>
      <w:r>
        <w:rPr>
          <w:rFonts w:hint="eastAsia" w:ascii="仿宋_GB2312" w:hAnsi="仿宋" w:eastAsia="仿宋_GB2312" w:cs="仿宋"/>
          <w:sz w:val="32"/>
          <w:szCs w:val="32"/>
          <w:lang w:val="en-US" w:eastAsia="zh-CN"/>
        </w:rPr>
        <w:t>22</w:t>
      </w:r>
      <w:r>
        <w:rPr>
          <w:rFonts w:hint="eastAsia" w:ascii="仿宋_GB2312" w:hAnsi="仿宋" w:eastAsia="仿宋_GB2312" w:cs="仿宋"/>
          <w:sz w:val="32"/>
          <w:szCs w:val="32"/>
          <w:lang w:val="zh-CN"/>
        </w:rPr>
        <w:t>年度内实施的具体实施内容相符，申报目标合理可行。</w:t>
      </w:r>
    </w:p>
    <w:p>
      <w:pPr>
        <w:adjustRightInd w:val="0"/>
        <w:snapToGrid w:val="0"/>
        <w:spacing w:line="576" w:lineRule="exact"/>
        <w:ind w:firstLine="640" w:firstLineChars="200"/>
        <w:rPr>
          <w:rFonts w:hint="eastAsia" w:ascii="黑体" w:hAnsi="黑体" w:eastAsia="黑体" w:cs="黑体"/>
          <w:bCs/>
          <w:sz w:val="32"/>
          <w:szCs w:val="32"/>
          <w:lang w:val="zh-CN"/>
        </w:rPr>
      </w:pPr>
      <w:r>
        <w:rPr>
          <w:rFonts w:hint="eastAsia" w:ascii="黑体" w:hAnsi="黑体" w:eastAsia="黑体" w:cs="黑体"/>
          <w:bCs/>
          <w:sz w:val="32"/>
          <w:szCs w:val="32"/>
          <w:lang w:val="zh-CN"/>
        </w:rPr>
        <w:t>二、项目实施及管理情况</w:t>
      </w:r>
    </w:p>
    <w:p>
      <w:pPr>
        <w:adjustRightInd w:val="0"/>
        <w:snapToGrid w:val="0"/>
        <w:spacing w:line="576" w:lineRule="exact"/>
        <w:ind w:firstLine="640" w:firstLineChars="200"/>
        <w:rPr>
          <w:rFonts w:hint="eastAsia" w:ascii="楷体_GB2312" w:hAnsi="黑体" w:eastAsia="楷体_GB2312" w:cs="仿宋"/>
          <w:sz w:val="32"/>
          <w:szCs w:val="32"/>
          <w:lang w:val="zh-CN"/>
        </w:rPr>
      </w:pPr>
      <w:r>
        <w:rPr>
          <w:rFonts w:hint="eastAsia" w:ascii="楷体_GB2312" w:hAnsi="黑体" w:eastAsia="楷体_GB2312" w:cs="仿宋"/>
          <w:sz w:val="32"/>
          <w:szCs w:val="32"/>
          <w:lang w:val="zh-CN"/>
        </w:rPr>
        <w:t>（一）资金计划、到位及使用情况</w:t>
      </w:r>
    </w:p>
    <w:p>
      <w:pPr>
        <w:adjustRightInd w:val="0"/>
        <w:snapToGrid w:val="0"/>
        <w:spacing w:line="576" w:lineRule="exact"/>
        <w:ind w:firstLine="640" w:firstLineChars="200"/>
        <w:rPr>
          <w:rFonts w:hint="eastAsia" w:ascii="仿宋_GB2312" w:hAnsi="仿宋" w:eastAsia="仿宋_GB2312" w:cs="仿宋"/>
          <w:sz w:val="32"/>
          <w:szCs w:val="32"/>
          <w:lang w:val="zh-CN"/>
        </w:rPr>
      </w:pPr>
      <w:r>
        <w:rPr>
          <w:rFonts w:hint="eastAsia" w:ascii="仿宋_GB2312" w:hAnsi="仿宋" w:eastAsia="仿宋_GB2312" w:cs="仿宋"/>
          <w:sz w:val="32"/>
          <w:szCs w:val="32"/>
          <w:lang w:val="zh-CN"/>
        </w:rPr>
        <w:t>1．资金计划及到位。</w:t>
      </w:r>
      <w:r>
        <w:rPr>
          <w:rFonts w:hint="eastAsia" w:ascii="仿宋_GB2312" w:hAnsi="仿宋" w:eastAsia="仿宋_GB2312" w:cs="仿宋"/>
          <w:sz w:val="32"/>
          <w:szCs w:val="32"/>
          <w:lang w:val="en-US" w:eastAsia="zh-CN"/>
        </w:rPr>
        <w:t>2022</w:t>
      </w:r>
      <w:r>
        <w:rPr>
          <w:rFonts w:hint="eastAsia" w:ascii="仿宋_GB2312" w:hAnsi="仿宋" w:eastAsia="仿宋_GB2312" w:cs="仿宋"/>
          <w:sz w:val="32"/>
          <w:szCs w:val="32"/>
          <w:lang w:val="zh-CN"/>
        </w:rPr>
        <w:t>年，县财政用存量资金安排雪亮工程项目预算</w:t>
      </w:r>
      <w:r>
        <w:rPr>
          <w:rFonts w:hint="eastAsia" w:ascii="仿宋_GB2312" w:hAnsi="仿宋" w:eastAsia="仿宋_GB2312" w:cs="仿宋"/>
          <w:sz w:val="32"/>
          <w:szCs w:val="32"/>
          <w:lang w:val="en-US" w:eastAsia="zh-CN"/>
        </w:rPr>
        <w:t>10</w:t>
      </w:r>
      <w:r>
        <w:rPr>
          <w:rFonts w:hint="eastAsia" w:ascii="仿宋_GB2312" w:hAnsi="仿宋" w:eastAsia="仿宋_GB2312" w:cs="仿宋"/>
          <w:sz w:val="32"/>
          <w:szCs w:val="32"/>
          <w:lang w:val="zh-CN"/>
        </w:rPr>
        <w:t>0万元，并及时给予了拨付。县委政法委按照与电信公司、广电公司签订的合同，以</w:t>
      </w:r>
      <w:r>
        <w:rPr>
          <w:rFonts w:hint="eastAsia" w:ascii="仿宋_GB2312" w:hAnsi="仿宋" w:eastAsia="仿宋_GB2312" w:cs="仿宋"/>
          <w:sz w:val="32"/>
          <w:szCs w:val="32"/>
          <w:lang w:val="en-US" w:eastAsia="zh-CN"/>
        </w:rPr>
        <w:t>10</w:t>
      </w:r>
      <w:r>
        <w:rPr>
          <w:rFonts w:hint="eastAsia" w:ascii="仿宋_GB2312" w:hAnsi="仿宋" w:eastAsia="仿宋_GB2312" w:cs="仿宋"/>
          <w:sz w:val="32"/>
          <w:szCs w:val="32"/>
          <w:lang w:val="zh-CN"/>
        </w:rPr>
        <w:t>0万元为基数按比例全额支付到相应公司，不存在资金不到位和支付不及时等问题。</w:t>
      </w:r>
    </w:p>
    <w:p>
      <w:pPr>
        <w:adjustRightInd w:val="0"/>
        <w:snapToGrid w:val="0"/>
        <w:spacing w:line="576" w:lineRule="exact"/>
        <w:ind w:firstLine="640" w:firstLineChars="200"/>
        <w:rPr>
          <w:rFonts w:hint="eastAsia" w:ascii="仿宋_GB2312" w:hAnsi="仿宋" w:eastAsia="仿宋_GB2312" w:cs="仿宋"/>
          <w:sz w:val="32"/>
          <w:szCs w:val="32"/>
          <w:lang w:val="zh-CN"/>
        </w:rPr>
      </w:pPr>
      <w:r>
        <w:rPr>
          <w:rFonts w:hint="eastAsia" w:ascii="仿宋_GB2312" w:hAnsi="仿宋" w:eastAsia="仿宋_GB2312" w:cs="仿宋"/>
          <w:sz w:val="32"/>
          <w:szCs w:val="32"/>
          <w:lang w:val="zh-CN"/>
        </w:rPr>
        <w:t>2．资金使用。</w:t>
      </w:r>
      <w:r>
        <w:rPr>
          <w:rFonts w:hint="eastAsia" w:ascii="仿宋_GB2312" w:hAnsi="仿宋" w:eastAsia="仿宋_GB2312" w:cs="仿宋"/>
          <w:sz w:val="32"/>
          <w:szCs w:val="32"/>
          <w:lang w:val="en-US" w:eastAsia="zh-CN"/>
        </w:rPr>
        <w:t>2022</w:t>
      </w:r>
      <w:r>
        <w:rPr>
          <w:rFonts w:hint="eastAsia" w:ascii="仿宋_GB2312" w:hAnsi="仿宋" w:eastAsia="仿宋_GB2312" w:cs="仿宋"/>
          <w:sz w:val="32"/>
          <w:szCs w:val="32"/>
          <w:lang w:val="zh-CN"/>
        </w:rPr>
        <w:t>年，县委政法委按照与电信公司、广电公司签订的合同，以</w:t>
      </w:r>
      <w:r>
        <w:rPr>
          <w:rFonts w:hint="eastAsia" w:ascii="仿宋_GB2312" w:hAnsi="仿宋" w:eastAsia="仿宋_GB2312" w:cs="仿宋"/>
          <w:sz w:val="32"/>
          <w:szCs w:val="32"/>
          <w:lang w:val="en-US" w:eastAsia="zh-CN"/>
        </w:rPr>
        <w:t>10</w:t>
      </w:r>
      <w:r>
        <w:rPr>
          <w:rFonts w:hint="eastAsia" w:ascii="仿宋_GB2312" w:hAnsi="仿宋" w:eastAsia="仿宋_GB2312" w:cs="仿宋"/>
          <w:sz w:val="32"/>
          <w:szCs w:val="32"/>
          <w:lang w:val="zh-CN"/>
        </w:rPr>
        <w:t>0万元为基数按比例全额支付到相应公司，支付金额与预算相符。</w:t>
      </w:r>
    </w:p>
    <w:p>
      <w:pPr>
        <w:adjustRightInd w:val="0"/>
        <w:snapToGrid w:val="0"/>
        <w:spacing w:line="576" w:lineRule="exact"/>
        <w:ind w:firstLine="640" w:firstLineChars="200"/>
        <w:rPr>
          <w:rFonts w:hint="eastAsia" w:ascii="仿宋_GB2312" w:hAnsi="仿宋" w:eastAsia="仿宋_GB2312" w:cs="仿宋"/>
          <w:sz w:val="32"/>
          <w:szCs w:val="32"/>
          <w:lang w:val="zh-CN"/>
        </w:rPr>
      </w:pPr>
      <w:r>
        <w:rPr>
          <w:rFonts w:hint="eastAsia" w:ascii="楷体_GB2312" w:hAnsi="黑体" w:eastAsia="楷体_GB2312" w:cs="仿宋"/>
          <w:sz w:val="32"/>
          <w:szCs w:val="32"/>
          <w:lang w:val="zh-CN"/>
        </w:rPr>
        <w:t>（二）项目财务管理情况。</w:t>
      </w:r>
      <w:r>
        <w:rPr>
          <w:rFonts w:hint="eastAsia" w:ascii="仿宋_GB2312" w:hAnsi="仿宋" w:eastAsia="仿宋_GB2312" w:cs="仿宋"/>
          <w:sz w:val="32"/>
          <w:szCs w:val="32"/>
          <w:lang w:val="zh-CN"/>
        </w:rPr>
        <w:t>我委严格按照有关财政资金管理要求，严格执行会计制度和财务制度，依法管理项目资金，结合我委的工作实际，对项目开支进行规范化、工作制度化，对经费使用范围的各类支出，按照项目经费使用审批的程序办理，财务人员做到依法理财，保障账目真实、完整、规范，项目总体执行情况较好，预期的绩效目标基本实现。</w:t>
      </w:r>
    </w:p>
    <w:p>
      <w:pPr>
        <w:spacing w:line="576" w:lineRule="exact"/>
        <w:ind w:firstLine="640" w:firstLineChars="200"/>
        <w:rPr>
          <w:rFonts w:hint="eastAsia" w:ascii="仿宋_GB2312" w:hAnsi="仿宋" w:eastAsia="仿宋_GB2312" w:cs="仿宋"/>
          <w:sz w:val="32"/>
          <w:szCs w:val="32"/>
          <w:lang w:val="zh-CN"/>
        </w:rPr>
      </w:pPr>
      <w:r>
        <w:rPr>
          <w:rFonts w:hint="eastAsia" w:ascii="楷体_GB2312" w:hAnsi="黑体" w:eastAsia="楷体_GB2312" w:cs="仿宋"/>
          <w:sz w:val="32"/>
          <w:szCs w:val="32"/>
          <w:lang w:val="zh-CN"/>
        </w:rPr>
        <w:t>（三）项目组织实施情况。</w:t>
      </w:r>
      <w:r>
        <w:rPr>
          <w:rFonts w:hint="eastAsia" w:ascii="仿宋_GB2312" w:hAnsi="仿宋" w:eastAsia="仿宋_GB2312" w:cs="仿宋"/>
          <w:sz w:val="32"/>
          <w:szCs w:val="32"/>
          <w:lang w:val="zh-CN"/>
        </w:rPr>
        <w:t>2016年我县开始“雪亮工程”试点建设。2017年，县十八届人民政府第18次常务会议审议原则通过了《剑阁县十三五时期“雪亮工程”建设方案》，明确我县雪亮工程建设采取企业投资建设维护、政府购买服务、分年度建设的模式进行，具体是：由中标企业负责当年建设村（社区）各3-5个公共点位视频监控建设，并将视频联通到市、县、乡镇、村（社区）四级综治中心监控平台、干部手机和农户电视，当年完成建设验收合格，次年元月一日开始租赁应用，租赁期限为6年，租金按每个监控点位每年4000元支付，租金由县财政和村（社区）各承担一半（县财政承担每个点每年2000元由县委政法委负责申报，村承担每个点每年2000元由乡镇在村公共服务运行经费中支付）。期间所有设备的维护、更换、产生的电费等一概由营运企业负责。期满后，按照只收取运营维护成本费原则，双方另行协商租赁应用费用。</w:t>
      </w:r>
    </w:p>
    <w:p>
      <w:pPr>
        <w:adjustRightInd w:val="0"/>
        <w:snapToGrid w:val="0"/>
        <w:spacing w:line="576" w:lineRule="exact"/>
        <w:ind w:firstLine="640" w:firstLineChars="200"/>
        <w:rPr>
          <w:rFonts w:hint="eastAsia" w:ascii="黑体" w:hAnsi="黑体" w:eastAsia="黑体" w:cs="黑体"/>
          <w:bCs/>
          <w:sz w:val="32"/>
          <w:szCs w:val="32"/>
          <w:lang w:val="zh-CN"/>
        </w:rPr>
      </w:pPr>
      <w:r>
        <w:rPr>
          <w:rFonts w:hint="eastAsia" w:ascii="黑体" w:hAnsi="黑体" w:eastAsia="黑体" w:cs="黑体"/>
          <w:bCs/>
          <w:sz w:val="32"/>
          <w:szCs w:val="32"/>
          <w:lang w:val="zh-CN"/>
        </w:rPr>
        <w:t>三、项目绩效情况</w:t>
      </w:r>
      <w:r>
        <w:rPr>
          <w:rFonts w:hint="eastAsia" w:ascii="黑体" w:hAnsi="黑体" w:eastAsia="黑体" w:cs="黑体"/>
          <w:bCs/>
          <w:sz w:val="32"/>
          <w:szCs w:val="32"/>
          <w:lang w:val="zh-CN"/>
        </w:rPr>
        <w:tab/>
      </w:r>
    </w:p>
    <w:p>
      <w:pPr>
        <w:adjustRightInd w:val="0"/>
        <w:snapToGrid w:val="0"/>
        <w:spacing w:line="576" w:lineRule="exact"/>
        <w:ind w:firstLine="640" w:firstLineChars="200"/>
        <w:rPr>
          <w:rFonts w:hint="eastAsia" w:ascii="仿宋_GB2312" w:hAnsi="仿宋" w:eastAsia="仿宋_GB2312" w:cs="仿宋"/>
          <w:sz w:val="32"/>
          <w:szCs w:val="32"/>
          <w:lang w:val="zh-CN"/>
        </w:rPr>
      </w:pPr>
      <w:r>
        <w:rPr>
          <w:rFonts w:hint="eastAsia" w:ascii="楷体_GB2312" w:hAnsi="黑体" w:eastAsia="楷体_GB2312" w:cs="仿宋"/>
          <w:sz w:val="32"/>
          <w:szCs w:val="32"/>
          <w:lang w:val="zh-CN"/>
        </w:rPr>
        <w:t>（一）项目完成情况</w:t>
      </w:r>
      <w:r>
        <w:rPr>
          <w:rFonts w:hint="eastAsia" w:ascii="仿宋_GB2312" w:hAnsi="仿宋" w:eastAsia="仿宋_GB2312" w:cs="仿宋"/>
          <w:sz w:val="32"/>
          <w:szCs w:val="32"/>
          <w:lang w:val="zh-CN"/>
        </w:rPr>
        <w:t>。</w:t>
      </w:r>
      <w:r>
        <w:rPr>
          <w:rFonts w:hint="eastAsia" w:ascii="仿宋_GB2312" w:eastAsia="仿宋_GB2312"/>
          <w:spacing w:val="4"/>
          <w:sz w:val="32"/>
          <w:szCs w:val="32"/>
        </w:rPr>
        <w:t>截止20</w:t>
      </w:r>
      <w:r>
        <w:rPr>
          <w:rFonts w:hint="eastAsia" w:ascii="仿宋_GB2312" w:eastAsia="仿宋_GB2312"/>
          <w:spacing w:val="4"/>
          <w:sz w:val="32"/>
          <w:szCs w:val="32"/>
          <w:lang w:val="en-US" w:eastAsia="zh-CN"/>
        </w:rPr>
        <w:t>22</w:t>
      </w:r>
      <w:r>
        <w:rPr>
          <w:rFonts w:hint="eastAsia" w:ascii="仿宋_GB2312" w:eastAsia="仿宋_GB2312"/>
          <w:spacing w:val="4"/>
          <w:sz w:val="32"/>
          <w:szCs w:val="32"/>
        </w:rPr>
        <w:t>年底，全县</w:t>
      </w:r>
      <w:r>
        <w:rPr>
          <w:rFonts w:hint="eastAsia" w:ascii="仿宋_GB2312" w:hAnsi="方正小标宋简体" w:eastAsia="仿宋_GB2312" w:cs="方正小标宋简体"/>
          <w:spacing w:val="4"/>
          <w:sz w:val="32"/>
          <w:szCs w:val="32"/>
        </w:rPr>
        <w:t>已累计完成219个村（社区）（村建制调整前为258个），安装监控探头111</w:t>
      </w:r>
      <w:r>
        <w:rPr>
          <w:rFonts w:hint="eastAsia" w:ascii="仿宋_GB2312" w:hAnsi="方正小标宋简体" w:eastAsia="仿宋_GB2312" w:cs="方正小标宋简体"/>
          <w:spacing w:val="4"/>
          <w:sz w:val="32"/>
          <w:szCs w:val="32"/>
          <w:lang w:val="en-US" w:eastAsia="zh-CN"/>
        </w:rPr>
        <w:t>9</w:t>
      </w:r>
      <w:r>
        <w:rPr>
          <w:rFonts w:hint="eastAsia" w:ascii="仿宋_GB2312" w:hAnsi="方正小标宋简体" w:eastAsia="仿宋_GB2312" w:cs="方正小标宋简体"/>
          <w:spacing w:val="4"/>
          <w:sz w:val="32"/>
          <w:szCs w:val="32"/>
        </w:rPr>
        <w:t>个（广电105</w:t>
      </w:r>
      <w:r>
        <w:rPr>
          <w:rFonts w:hint="eastAsia" w:ascii="仿宋_GB2312" w:hAnsi="方正小标宋简体" w:eastAsia="仿宋_GB2312" w:cs="方正小标宋简体"/>
          <w:spacing w:val="4"/>
          <w:sz w:val="32"/>
          <w:szCs w:val="32"/>
          <w:lang w:val="en-US" w:eastAsia="zh-CN"/>
        </w:rPr>
        <w:t>4</w:t>
      </w:r>
      <w:r>
        <w:rPr>
          <w:rFonts w:hint="eastAsia" w:ascii="仿宋_GB2312" w:hAnsi="方正小标宋简体" w:eastAsia="仿宋_GB2312" w:cs="方正小标宋简体"/>
          <w:spacing w:val="4"/>
          <w:sz w:val="32"/>
          <w:szCs w:val="32"/>
        </w:rPr>
        <w:t>个、电信65个）、建设三级监控平台267个、接入农户电视6400户</w:t>
      </w:r>
      <w:r>
        <w:rPr>
          <w:rFonts w:hint="eastAsia" w:ascii="仿宋_GB2312" w:hAnsi="方正小标宋简体" w:eastAsia="仿宋_GB2312" w:cs="方正小标宋简体"/>
          <w:spacing w:val="4"/>
          <w:sz w:val="32"/>
          <w:szCs w:val="32"/>
          <w:lang w:eastAsia="zh-CN"/>
        </w:rPr>
        <w:t>，</w:t>
      </w:r>
      <w:r>
        <w:rPr>
          <w:rFonts w:hint="eastAsia" w:ascii="仿宋_GB2312" w:hAnsi="方正小标宋简体" w:eastAsia="仿宋_GB2312" w:cs="方正小标宋简体"/>
          <w:spacing w:val="4"/>
          <w:sz w:val="32"/>
          <w:szCs w:val="32"/>
        </w:rPr>
        <w:t>工作总体推进有序、联网应用效果明显、社会评价较好。</w:t>
      </w:r>
      <w:r>
        <w:rPr>
          <w:rFonts w:hint="eastAsia" w:ascii="仿宋_GB2312" w:hAnsi="仿宋" w:eastAsia="仿宋_GB2312" w:cs="仿宋"/>
          <w:sz w:val="32"/>
          <w:szCs w:val="32"/>
          <w:lang w:val="zh-CN"/>
        </w:rPr>
        <w:t>2018年，县级视频研判指挥中心建成，实现了“雪亮工程”与“天网”工程的互联互通，资源共享。</w:t>
      </w:r>
    </w:p>
    <w:p>
      <w:pPr>
        <w:adjustRightInd w:val="0"/>
        <w:snapToGrid w:val="0"/>
        <w:spacing w:line="576" w:lineRule="exact"/>
        <w:ind w:firstLine="640" w:firstLineChars="200"/>
        <w:rPr>
          <w:rFonts w:hint="eastAsia" w:ascii="仿宋_GB2312" w:hAnsi="仿宋" w:eastAsia="仿宋_GB2312" w:cs="仿宋"/>
          <w:sz w:val="32"/>
          <w:szCs w:val="32"/>
          <w:lang w:val="zh-CN"/>
        </w:rPr>
      </w:pPr>
      <w:r>
        <w:rPr>
          <w:rFonts w:hint="eastAsia" w:ascii="楷体_GB2312" w:hAnsi="黑体" w:eastAsia="楷体_GB2312" w:cs="仿宋"/>
          <w:sz w:val="32"/>
          <w:szCs w:val="32"/>
          <w:lang w:val="zh-CN"/>
        </w:rPr>
        <w:t>（二）项目效益情况</w:t>
      </w:r>
      <w:r>
        <w:rPr>
          <w:rFonts w:hint="eastAsia" w:ascii="仿宋_GB2312" w:hAnsi="仿宋" w:eastAsia="仿宋_GB2312" w:cs="仿宋"/>
          <w:sz w:val="32"/>
          <w:szCs w:val="32"/>
          <w:lang w:val="zh-CN"/>
        </w:rPr>
        <w:t>。按照“统一规划、点位互补、高清流畅、互联互通”建设要求和建设质量标准，全面完成了市上下达的</w:t>
      </w:r>
      <w:r>
        <w:rPr>
          <w:rFonts w:hint="eastAsia" w:ascii="仿宋_GB2312" w:hAnsi="仿宋" w:eastAsia="仿宋_GB2312" w:cs="仿宋"/>
          <w:sz w:val="32"/>
          <w:szCs w:val="32"/>
          <w:lang w:val="en-US" w:eastAsia="zh-CN"/>
        </w:rPr>
        <w:t>258</w:t>
      </w:r>
      <w:r>
        <w:rPr>
          <w:rFonts w:hint="eastAsia" w:ascii="仿宋_GB2312" w:hAnsi="仿宋" w:eastAsia="仿宋_GB2312" w:cs="仿宋"/>
          <w:sz w:val="32"/>
          <w:szCs w:val="32"/>
          <w:lang w:val="zh-CN"/>
        </w:rPr>
        <w:t>个村年度建设任务，完成了</w:t>
      </w:r>
      <w:r>
        <w:rPr>
          <w:rFonts w:hint="eastAsia" w:ascii="仿宋_GB2312" w:hAnsi="仿宋" w:eastAsia="仿宋_GB2312" w:cs="仿宋"/>
          <w:sz w:val="32"/>
          <w:szCs w:val="32"/>
          <w:lang w:val="en-US" w:eastAsia="zh-CN"/>
        </w:rPr>
        <w:t>258</w:t>
      </w:r>
      <w:r>
        <w:rPr>
          <w:rFonts w:hint="eastAsia" w:ascii="仿宋_GB2312" w:hAnsi="仿宋" w:eastAsia="仿宋_GB2312" w:cs="仿宋"/>
          <w:sz w:val="32"/>
          <w:szCs w:val="32"/>
          <w:lang w:val="zh-CN"/>
        </w:rPr>
        <w:t>个村平台、680名村乡镇主要干部手机app、</w:t>
      </w:r>
      <w:r>
        <w:rPr>
          <w:rFonts w:hint="eastAsia" w:ascii="仿宋_GB2312" w:hAnsi="仿宋" w:eastAsia="仿宋_GB2312" w:cs="仿宋"/>
          <w:sz w:val="32"/>
          <w:szCs w:val="32"/>
          <w:lang w:val="en-US" w:eastAsia="zh-CN"/>
        </w:rPr>
        <w:t>6400</w:t>
      </w:r>
      <w:r>
        <w:rPr>
          <w:rFonts w:hint="eastAsia" w:ascii="仿宋_GB2312" w:hAnsi="仿宋" w:eastAsia="仿宋_GB2312" w:cs="仿宋"/>
          <w:sz w:val="32"/>
          <w:szCs w:val="32"/>
          <w:lang w:val="zh-CN"/>
        </w:rPr>
        <w:t>户农户电视联通，实现了“雪亮工程”与“公安天网”、交通、城管等社会视频互联互通。健全机制，加强应用管理，实行按月排查、维护故障探头。20</w:t>
      </w:r>
      <w:r>
        <w:rPr>
          <w:rFonts w:hint="eastAsia" w:ascii="仿宋_GB2312" w:hAnsi="仿宋" w:eastAsia="仿宋_GB2312" w:cs="仿宋"/>
          <w:sz w:val="32"/>
          <w:szCs w:val="32"/>
          <w:lang w:val="en-US" w:eastAsia="zh-CN"/>
        </w:rPr>
        <w:t>17</w:t>
      </w:r>
      <w:r>
        <w:rPr>
          <w:rFonts w:hint="eastAsia" w:ascii="仿宋_GB2312" w:hAnsi="仿宋" w:eastAsia="仿宋_GB2312" w:cs="仿宋"/>
          <w:sz w:val="32"/>
          <w:szCs w:val="32"/>
          <w:lang w:val="zh-CN"/>
        </w:rPr>
        <w:t>年以来，我县“雪亮工程”在打击犯罪、服务民生、震慑违法方面作用发挥明显，共协助破获各类刑事案件</w:t>
      </w:r>
      <w:r>
        <w:rPr>
          <w:rFonts w:hint="eastAsia" w:ascii="仿宋_GB2312" w:hAnsi="仿宋" w:eastAsia="仿宋_GB2312" w:cs="仿宋"/>
          <w:sz w:val="32"/>
          <w:szCs w:val="32"/>
          <w:lang w:val="en-US" w:eastAsia="zh-CN"/>
        </w:rPr>
        <w:t>51</w:t>
      </w:r>
      <w:r>
        <w:rPr>
          <w:rFonts w:hint="eastAsia" w:ascii="仿宋_GB2312" w:hAnsi="仿宋" w:eastAsia="仿宋_GB2312" w:cs="仿宋"/>
          <w:sz w:val="32"/>
          <w:szCs w:val="32"/>
          <w:lang w:val="zh-CN"/>
        </w:rPr>
        <w:t>起、查办治安案件</w:t>
      </w:r>
      <w:r>
        <w:rPr>
          <w:rFonts w:hint="eastAsia" w:ascii="仿宋_GB2312" w:hAnsi="仿宋" w:eastAsia="仿宋_GB2312" w:cs="仿宋"/>
          <w:sz w:val="32"/>
          <w:szCs w:val="32"/>
          <w:lang w:val="en-US" w:eastAsia="zh-CN"/>
        </w:rPr>
        <w:t>46</w:t>
      </w:r>
      <w:r>
        <w:rPr>
          <w:rFonts w:hint="eastAsia" w:ascii="仿宋_GB2312" w:hAnsi="仿宋" w:eastAsia="仿宋_GB2312" w:cs="仿宋"/>
          <w:sz w:val="32"/>
          <w:szCs w:val="32"/>
          <w:lang w:val="zh-CN"/>
        </w:rPr>
        <w:t>件、查找走失人员</w:t>
      </w:r>
      <w:r>
        <w:rPr>
          <w:rFonts w:hint="eastAsia" w:ascii="仿宋_GB2312" w:hAnsi="仿宋" w:eastAsia="仿宋_GB2312" w:cs="仿宋"/>
          <w:sz w:val="32"/>
          <w:szCs w:val="32"/>
          <w:lang w:val="en-US" w:eastAsia="zh-CN"/>
        </w:rPr>
        <w:t>21</w:t>
      </w:r>
      <w:r>
        <w:rPr>
          <w:rFonts w:hint="eastAsia" w:ascii="仿宋_GB2312" w:hAnsi="仿宋" w:eastAsia="仿宋_GB2312" w:cs="仿宋"/>
          <w:sz w:val="32"/>
          <w:szCs w:val="32"/>
          <w:lang w:val="zh-CN"/>
        </w:rPr>
        <w:t>人。</w:t>
      </w:r>
    </w:p>
    <w:p>
      <w:pPr>
        <w:adjustRightInd w:val="0"/>
        <w:snapToGrid w:val="0"/>
        <w:spacing w:line="576" w:lineRule="exact"/>
        <w:ind w:firstLine="640" w:firstLineChars="200"/>
        <w:rPr>
          <w:rFonts w:hint="eastAsia" w:ascii="黑体" w:hAnsi="黑体" w:eastAsia="黑体" w:cs="黑体"/>
          <w:bCs/>
          <w:sz w:val="32"/>
          <w:szCs w:val="32"/>
          <w:lang w:val="zh-CN"/>
        </w:rPr>
      </w:pPr>
      <w:r>
        <w:rPr>
          <w:rFonts w:hint="eastAsia" w:ascii="黑体" w:hAnsi="黑体" w:eastAsia="黑体" w:cs="黑体"/>
          <w:bCs/>
          <w:sz w:val="32"/>
          <w:szCs w:val="32"/>
          <w:lang w:val="zh-CN"/>
        </w:rPr>
        <w:t>四、问题及建议</w:t>
      </w:r>
    </w:p>
    <w:p>
      <w:pPr>
        <w:spacing w:line="576" w:lineRule="exact"/>
        <w:ind w:firstLine="640" w:firstLineChars="200"/>
        <w:rPr>
          <w:rFonts w:hint="eastAsia" w:ascii="仿宋_GB2312" w:hAnsi="仿宋" w:eastAsia="仿宋_GB2312" w:cs="仿宋"/>
          <w:sz w:val="32"/>
          <w:szCs w:val="32"/>
          <w:lang w:val="zh-CN"/>
        </w:rPr>
      </w:pPr>
      <w:r>
        <w:rPr>
          <w:rFonts w:hint="eastAsia" w:ascii="楷体_GB2312" w:hAnsi="黑体" w:eastAsia="楷体_GB2312" w:cs="仿宋"/>
          <w:sz w:val="32"/>
          <w:szCs w:val="32"/>
          <w:lang w:val="zh-CN"/>
        </w:rPr>
        <w:t>（一）存在的问题。</w:t>
      </w:r>
      <w:r>
        <w:rPr>
          <w:rFonts w:hint="eastAsia" w:ascii="仿宋_GB2312" w:hAnsi="仿宋" w:eastAsia="仿宋_GB2312" w:cs="仿宋"/>
          <w:sz w:val="32"/>
          <w:szCs w:val="32"/>
          <w:lang w:val="zh-CN"/>
        </w:rPr>
        <w:t>“雪亮工程”应用租赁欠费严重。在县委县政府有关领导关心支持下，2018年、2019年统筹整合了新农村建设、农村广电网络建设有关经费开展建设，有效缓解了前三年时间的应用租赁费问题，但因历年来雪亮工程预算经费不足，导致从</w:t>
      </w:r>
      <w:r>
        <w:rPr>
          <w:rFonts w:hint="eastAsia" w:ascii="仿宋_GB2312" w:hAnsi="仿宋" w:eastAsia="仿宋_GB2312" w:cs="仿宋"/>
          <w:sz w:val="32"/>
          <w:szCs w:val="32"/>
          <w:lang w:val="en-US" w:eastAsia="zh-CN"/>
        </w:rPr>
        <w:t>2017年以来每年均有欠费形成，截止2022年底县本级雪亮工程欠费437.41万元</w:t>
      </w:r>
      <w:r>
        <w:rPr>
          <w:rFonts w:hint="eastAsia" w:ascii="仿宋_GB2312" w:hAnsi="仿宋" w:eastAsia="仿宋_GB2312" w:cs="仿宋"/>
          <w:sz w:val="32"/>
          <w:szCs w:val="32"/>
          <w:lang w:val="zh-CN"/>
        </w:rPr>
        <w:t>。另外，绝大多数乡镇以村级公共服务运行经费没有明确有“雪亮工程”经费支出项目、经费紧张等为由，也拖欠村级年度租赁费</w:t>
      </w:r>
      <w:r>
        <w:rPr>
          <w:rFonts w:hint="eastAsia" w:ascii="仿宋_GB2312" w:hAnsi="仿宋" w:eastAsia="仿宋_GB2312" w:cs="仿宋"/>
          <w:sz w:val="32"/>
          <w:szCs w:val="32"/>
          <w:lang w:val="en-US" w:eastAsia="zh-CN"/>
        </w:rPr>
        <w:t>400余</w:t>
      </w:r>
      <w:r>
        <w:rPr>
          <w:rFonts w:hint="eastAsia" w:ascii="仿宋_GB2312" w:hAnsi="仿宋" w:eastAsia="仿宋_GB2312" w:cs="仿宋"/>
          <w:sz w:val="32"/>
          <w:szCs w:val="32"/>
          <w:lang w:val="zh-CN"/>
        </w:rPr>
        <w:t>万元，两项合计共欠营运企业</w:t>
      </w:r>
      <w:r>
        <w:rPr>
          <w:rFonts w:hint="eastAsia" w:ascii="仿宋_GB2312" w:hAnsi="仿宋" w:eastAsia="仿宋_GB2312" w:cs="仿宋"/>
          <w:sz w:val="32"/>
          <w:szCs w:val="32"/>
          <w:lang w:val="en-US" w:eastAsia="zh-CN"/>
        </w:rPr>
        <w:t>近850</w:t>
      </w:r>
      <w:r>
        <w:rPr>
          <w:rFonts w:hint="eastAsia" w:ascii="仿宋_GB2312" w:hAnsi="仿宋" w:eastAsia="仿宋_GB2312" w:cs="仿宋"/>
          <w:sz w:val="32"/>
          <w:szCs w:val="32"/>
          <w:lang w:val="zh-CN"/>
        </w:rPr>
        <w:t>万元，严重影响了全县雪亮工程建设联网应用效果。建设企业已多次来人、来函催讨欠费。</w:t>
      </w:r>
    </w:p>
    <w:p>
      <w:pPr>
        <w:spacing w:line="576" w:lineRule="exact"/>
        <w:ind w:firstLine="640" w:firstLineChars="200"/>
        <w:rPr>
          <w:rFonts w:hint="eastAsia" w:ascii="仿宋_GB2312" w:hAnsi="仿宋" w:eastAsia="仿宋_GB2312" w:cs="仿宋"/>
          <w:sz w:val="32"/>
          <w:szCs w:val="32"/>
          <w:lang w:val="zh-CN"/>
        </w:rPr>
      </w:pPr>
      <w:r>
        <w:rPr>
          <w:rFonts w:hint="eastAsia" w:ascii="楷体_GB2312" w:hAnsi="黑体" w:eastAsia="楷体_GB2312" w:cs="仿宋"/>
          <w:sz w:val="32"/>
          <w:szCs w:val="32"/>
          <w:lang w:val="zh-CN"/>
        </w:rPr>
        <w:t>（二）相关建议。</w:t>
      </w:r>
      <w:r>
        <w:rPr>
          <w:rFonts w:hint="eastAsia" w:ascii="仿宋_GB2312" w:hAnsi="仿宋" w:eastAsia="仿宋_GB2312" w:cs="仿宋"/>
          <w:sz w:val="32"/>
          <w:szCs w:val="32"/>
          <w:lang w:val="zh-CN"/>
        </w:rPr>
        <w:t>建议县财政分期分批安排2017年—20</w:t>
      </w:r>
      <w:r>
        <w:rPr>
          <w:rFonts w:hint="eastAsia" w:ascii="仿宋_GB2312" w:hAnsi="仿宋" w:eastAsia="仿宋_GB2312" w:cs="仿宋"/>
          <w:sz w:val="32"/>
          <w:szCs w:val="32"/>
          <w:lang w:val="en-US" w:eastAsia="zh-CN"/>
        </w:rPr>
        <w:t>22</w:t>
      </w:r>
      <w:r>
        <w:rPr>
          <w:rFonts w:hint="eastAsia" w:ascii="仿宋_GB2312" w:hAnsi="仿宋" w:eastAsia="仿宋_GB2312" w:cs="仿宋"/>
          <w:sz w:val="32"/>
          <w:szCs w:val="32"/>
          <w:lang w:val="zh-CN"/>
        </w:rPr>
        <w:t>年“雪亮工程”应用租赁费用及县级监控平台建设费用。</w:t>
      </w:r>
    </w:p>
    <w:p>
      <w:pPr>
        <w:pageBreakBefore w:val="0"/>
        <w:kinsoku/>
        <w:wordWrap/>
        <w:overflowPunct/>
        <w:topLinePunct w:val="0"/>
        <w:bidi w:val="0"/>
        <w:adjustRightInd w:val="0"/>
        <w:snapToGrid w:val="0"/>
        <w:spacing w:line="556" w:lineRule="exact"/>
        <w:ind w:left="0"/>
        <w:jc w:val="center"/>
        <w:textAlignment w:val="auto"/>
        <w:rPr>
          <w:rFonts w:hint="eastAsia" w:ascii="仿宋_GB2312" w:hAnsi="仿宋" w:eastAsia="仿宋_GB2312" w:cs="仿宋"/>
          <w:sz w:val="32"/>
          <w:szCs w:val="32"/>
          <w:lang w:val="zh-CN"/>
        </w:rPr>
      </w:pPr>
    </w:p>
    <w:p>
      <w:pPr>
        <w:pageBreakBefore w:val="0"/>
        <w:kinsoku/>
        <w:wordWrap/>
        <w:overflowPunct/>
        <w:topLinePunct w:val="0"/>
        <w:bidi w:val="0"/>
        <w:adjustRightInd w:val="0"/>
        <w:snapToGrid w:val="0"/>
        <w:spacing w:line="556" w:lineRule="exact"/>
        <w:ind w:left="0"/>
        <w:jc w:val="center"/>
        <w:textAlignment w:val="auto"/>
        <w:rPr>
          <w:rFonts w:hint="eastAsia" w:ascii="黑体" w:hAnsi="黑体" w:eastAsia="黑体" w:cs="华文中宋"/>
          <w:b/>
          <w:bCs/>
          <w:sz w:val="40"/>
          <w:szCs w:val="40"/>
          <w:lang w:val="zh-CN"/>
        </w:rPr>
      </w:pPr>
    </w:p>
    <w:p>
      <w:pPr>
        <w:pageBreakBefore w:val="0"/>
        <w:kinsoku/>
        <w:wordWrap/>
        <w:overflowPunct/>
        <w:topLinePunct w:val="0"/>
        <w:bidi w:val="0"/>
        <w:adjustRightInd w:val="0"/>
        <w:snapToGrid w:val="0"/>
        <w:spacing w:line="556" w:lineRule="exact"/>
        <w:ind w:left="0"/>
        <w:jc w:val="center"/>
        <w:textAlignment w:val="auto"/>
        <w:rPr>
          <w:rFonts w:hint="eastAsia" w:ascii="黑体" w:hAnsi="黑体" w:eastAsia="黑体" w:cs="华文中宋"/>
          <w:b/>
          <w:bCs/>
          <w:sz w:val="40"/>
          <w:szCs w:val="40"/>
          <w:lang w:val="zh-CN"/>
        </w:rPr>
      </w:pPr>
    </w:p>
    <w:p>
      <w:pPr>
        <w:pageBreakBefore w:val="0"/>
        <w:kinsoku/>
        <w:wordWrap/>
        <w:overflowPunct/>
        <w:topLinePunct w:val="0"/>
        <w:bidi w:val="0"/>
        <w:adjustRightInd w:val="0"/>
        <w:snapToGrid w:val="0"/>
        <w:spacing w:line="556" w:lineRule="exact"/>
        <w:ind w:left="0"/>
        <w:jc w:val="center"/>
        <w:textAlignment w:val="auto"/>
        <w:rPr>
          <w:rFonts w:hint="eastAsia" w:ascii="黑体" w:hAnsi="黑体" w:eastAsia="黑体" w:cs="华文中宋"/>
          <w:b/>
          <w:bCs/>
          <w:sz w:val="40"/>
          <w:szCs w:val="40"/>
          <w:lang w:val="zh-CN"/>
        </w:rPr>
      </w:pPr>
    </w:p>
    <w:p>
      <w:pPr>
        <w:pageBreakBefore w:val="0"/>
        <w:kinsoku/>
        <w:wordWrap/>
        <w:overflowPunct/>
        <w:topLinePunct w:val="0"/>
        <w:bidi w:val="0"/>
        <w:adjustRightInd w:val="0"/>
        <w:snapToGrid w:val="0"/>
        <w:spacing w:line="556" w:lineRule="exact"/>
        <w:ind w:left="0"/>
        <w:jc w:val="center"/>
        <w:textAlignment w:val="auto"/>
        <w:rPr>
          <w:rFonts w:hint="eastAsia" w:ascii="黑体" w:hAnsi="黑体" w:eastAsia="黑体" w:cs="华文中宋"/>
          <w:b/>
          <w:bCs/>
          <w:sz w:val="40"/>
          <w:szCs w:val="40"/>
          <w:lang w:val="zh-CN"/>
        </w:rPr>
      </w:pPr>
    </w:p>
    <w:p>
      <w:pPr>
        <w:pageBreakBefore w:val="0"/>
        <w:kinsoku/>
        <w:wordWrap/>
        <w:overflowPunct/>
        <w:topLinePunct w:val="0"/>
        <w:bidi w:val="0"/>
        <w:adjustRightInd w:val="0"/>
        <w:snapToGrid w:val="0"/>
        <w:spacing w:line="556" w:lineRule="exact"/>
        <w:ind w:left="0"/>
        <w:jc w:val="center"/>
        <w:textAlignment w:val="auto"/>
        <w:rPr>
          <w:rFonts w:hint="eastAsia" w:ascii="黑体" w:hAnsi="黑体" w:eastAsia="黑体" w:cs="华文中宋"/>
          <w:b/>
          <w:bCs/>
          <w:sz w:val="40"/>
          <w:szCs w:val="40"/>
          <w:lang w:val="zh-CN"/>
        </w:rPr>
      </w:pPr>
    </w:p>
    <w:p>
      <w:pPr>
        <w:pageBreakBefore w:val="0"/>
        <w:kinsoku/>
        <w:wordWrap/>
        <w:overflowPunct/>
        <w:topLinePunct w:val="0"/>
        <w:bidi w:val="0"/>
        <w:adjustRightInd w:val="0"/>
        <w:snapToGrid w:val="0"/>
        <w:spacing w:line="556" w:lineRule="exact"/>
        <w:ind w:left="0"/>
        <w:jc w:val="center"/>
        <w:textAlignment w:val="auto"/>
        <w:rPr>
          <w:rFonts w:hint="eastAsia" w:ascii="黑体" w:hAnsi="黑体" w:eastAsia="黑体" w:cs="华文中宋"/>
          <w:b/>
          <w:bCs/>
          <w:sz w:val="40"/>
          <w:szCs w:val="40"/>
          <w:lang w:val="zh-CN"/>
        </w:rPr>
      </w:pPr>
    </w:p>
    <w:p>
      <w:pPr>
        <w:pageBreakBefore w:val="0"/>
        <w:kinsoku/>
        <w:wordWrap/>
        <w:overflowPunct/>
        <w:topLinePunct w:val="0"/>
        <w:bidi w:val="0"/>
        <w:adjustRightInd w:val="0"/>
        <w:snapToGrid w:val="0"/>
        <w:spacing w:line="556" w:lineRule="exact"/>
        <w:ind w:left="0"/>
        <w:jc w:val="center"/>
        <w:textAlignment w:val="auto"/>
        <w:rPr>
          <w:rFonts w:hint="eastAsia" w:ascii="黑体" w:hAnsi="黑体" w:eastAsia="黑体" w:cs="华文中宋"/>
          <w:b/>
          <w:bCs/>
          <w:sz w:val="40"/>
          <w:szCs w:val="40"/>
          <w:lang w:val="zh-CN"/>
        </w:rPr>
      </w:pPr>
    </w:p>
    <w:p>
      <w:pPr>
        <w:pageBreakBefore w:val="0"/>
        <w:kinsoku/>
        <w:wordWrap/>
        <w:overflowPunct/>
        <w:topLinePunct w:val="0"/>
        <w:bidi w:val="0"/>
        <w:adjustRightInd w:val="0"/>
        <w:snapToGrid w:val="0"/>
        <w:spacing w:line="556" w:lineRule="exact"/>
        <w:ind w:left="0"/>
        <w:jc w:val="center"/>
        <w:textAlignment w:val="auto"/>
        <w:rPr>
          <w:rFonts w:hint="eastAsia" w:ascii="黑体" w:hAnsi="黑体" w:eastAsia="黑体" w:cs="华文中宋"/>
          <w:b/>
          <w:bCs/>
          <w:sz w:val="40"/>
          <w:szCs w:val="40"/>
          <w:lang w:val="zh-CN"/>
        </w:rPr>
      </w:pPr>
    </w:p>
    <w:p>
      <w:pPr>
        <w:pageBreakBefore w:val="0"/>
        <w:kinsoku/>
        <w:wordWrap/>
        <w:overflowPunct/>
        <w:topLinePunct w:val="0"/>
        <w:bidi w:val="0"/>
        <w:adjustRightInd w:val="0"/>
        <w:snapToGrid w:val="0"/>
        <w:spacing w:line="556" w:lineRule="exact"/>
        <w:ind w:left="0"/>
        <w:jc w:val="center"/>
        <w:textAlignment w:val="auto"/>
        <w:rPr>
          <w:rFonts w:hint="eastAsia" w:ascii="黑体" w:hAnsi="黑体" w:eastAsia="黑体" w:cs="华文中宋"/>
          <w:b/>
          <w:bCs/>
          <w:sz w:val="40"/>
          <w:szCs w:val="40"/>
          <w:lang w:val="zh-CN"/>
        </w:rPr>
      </w:pPr>
    </w:p>
    <w:p>
      <w:pPr>
        <w:pageBreakBefore w:val="0"/>
        <w:kinsoku/>
        <w:wordWrap/>
        <w:overflowPunct/>
        <w:topLinePunct w:val="0"/>
        <w:bidi w:val="0"/>
        <w:adjustRightInd w:val="0"/>
        <w:snapToGrid w:val="0"/>
        <w:spacing w:line="556" w:lineRule="exact"/>
        <w:ind w:left="0"/>
        <w:jc w:val="center"/>
        <w:textAlignment w:val="auto"/>
        <w:rPr>
          <w:rFonts w:hint="eastAsia" w:ascii="黑体" w:hAnsi="黑体" w:eastAsia="黑体" w:cs="华文中宋"/>
          <w:b/>
          <w:bCs/>
          <w:sz w:val="40"/>
          <w:szCs w:val="40"/>
          <w:lang w:val="zh-CN"/>
        </w:rPr>
      </w:pPr>
    </w:p>
    <w:p>
      <w:pPr>
        <w:pageBreakBefore w:val="0"/>
        <w:kinsoku/>
        <w:wordWrap/>
        <w:overflowPunct/>
        <w:topLinePunct w:val="0"/>
        <w:bidi w:val="0"/>
        <w:adjustRightInd w:val="0"/>
        <w:snapToGrid w:val="0"/>
        <w:spacing w:line="556" w:lineRule="exact"/>
        <w:ind w:left="0"/>
        <w:jc w:val="center"/>
        <w:textAlignment w:val="auto"/>
        <w:rPr>
          <w:rFonts w:hint="eastAsia" w:ascii="黑体" w:hAnsi="黑体" w:eastAsia="黑体" w:cs="华文中宋"/>
          <w:b/>
          <w:bCs/>
          <w:sz w:val="40"/>
          <w:szCs w:val="40"/>
          <w:lang w:val="zh-CN"/>
        </w:rPr>
      </w:pPr>
    </w:p>
    <w:p>
      <w:pPr>
        <w:pageBreakBefore w:val="0"/>
        <w:kinsoku/>
        <w:wordWrap/>
        <w:overflowPunct/>
        <w:topLinePunct w:val="0"/>
        <w:bidi w:val="0"/>
        <w:adjustRightInd w:val="0"/>
        <w:snapToGrid w:val="0"/>
        <w:spacing w:line="556" w:lineRule="exact"/>
        <w:ind w:left="0"/>
        <w:jc w:val="center"/>
        <w:textAlignment w:val="auto"/>
        <w:rPr>
          <w:rFonts w:hint="eastAsia" w:ascii="黑体" w:hAnsi="黑体" w:eastAsia="黑体" w:cs="华文中宋"/>
          <w:b/>
          <w:bCs/>
          <w:sz w:val="40"/>
          <w:szCs w:val="40"/>
          <w:lang w:val="zh-CN"/>
        </w:rPr>
      </w:pPr>
      <w:r>
        <w:rPr>
          <w:rFonts w:hint="eastAsia" w:ascii="黑体" w:hAnsi="黑体" w:eastAsia="黑体" w:cs="华文中宋"/>
          <w:b/>
          <w:bCs/>
          <w:sz w:val="40"/>
          <w:szCs w:val="40"/>
          <w:lang w:val="zh-CN"/>
        </w:rPr>
        <w:t>中共剑阁县委政法委员会</w:t>
      </w:r>
    </w:p>
    <w:p>
      <w:pPr>
        <w:pageBreakBefore w:val="0"/>
        <w:kinsoku/>
        <w:wordWrap/>
        <w:overflowPunct/>
        <w:topLinePunct w:val="0"/>
        <w:bidi w:val="0"/>
        <w:adjustRightInd w:val="0"/>
        <w:snapToGrid w:val="0"/>
        <w:spacing w:line="556" w:lineRule="exact"/>
        <w:ind w:left="0"/>
        <w:jc w:val="center"/>
        <w:textAlignment w:val="auto"/>
        <w:rPr>
          <w:rFonts w:hint="eastAsia" w:ascii="黑体" w:hAnsi="黑体" w:eastAsia="黑体" w:cs="华文中宋"/>
          <w:b/>
          <w:bCs/>
          <w:sz w:val="40"/>
          <w:szCs w:val="40"/>
          <w:lang w:val="zh-CN"/>
        </w:rPr>
      </w:pPr>
      <w:r>
        <w:rPr>
          <w:rFonts w:hint="eastAsia" w:ascii="黑体" w:hAnsi="黑体" w:eastAsia="黑体" w:cs="华文中宋"/>
          <w:b/>
          <w:bCs/>
          <w:sz w:val="40"/>
          <w:szCs w:val="40"/>
          <w:lang w:val="zh-CN"/>
        </w:rPr>
        <w:t>20</w:t>
      </w:r>
      <w:r>
        <w:rPr>
          <w:rFonts w:hint="eastAsia" w:ascii="黑体" w:hAnsi="黑体" w:eastAsia="黑体" w:cs="华文中宋"/>
          <w:b/>
          <w:bCs/>
          <w:sz w:val="40"/>
          <w:szCs w:val="40"/>
          <w:lang w:val="en-US" w:eastAsia="zh-CN"/>
        </w:rPr>
        <w:t>22</w:t>
      </w:r>
      <w:r>
        <w:rPr>
          <w:rFonts w:hint="eastAsia" w:ascii="黑体" w:hAnsi="黑体" w:eastAsia="黑体" w:cs="华文中宋"/>
          <w:b/>
          <w:bCs/>
          <w:sz w:val="40"/>
          <w:szCs w:val="40"/>
          <w:lang w:val="zh-CN"/>
        </w:rPr>
        <w:t>年项目支出绩效自评报告</w:t>
      </w:r>
    </w:p>
    <w:p>
      <w:pPr>
        <w:adjustRightInd w:val="0"/>
        <w:snapToGrid w:val="0"/>
        <w:spacing w:line="580" w:lineRule="exact"/>
        <w:jc w:val="center"/>
        <w:rPr>
          <w:rFonts w:hint="eastAsia" w:ascii="楷体_GB2312" w:hAnsi="黑体" w:eastAsia="楷体_GB2312" w:cs="华文楷体"/>
          <w:bCs/>
          <w:sz w:val="32"/>
          <w:szCs w:val="32"/>
          <w:lang w:val="zh-CN"/>
        </w:rPr>
      </w:pPr>
      <w:r>
        <w:rPr>
          <w:rFonts w:hint="eastAsia" w:ascii="楷体_GB2312" w:hAnsi="黑体" w:eastAsia="楷体_GB2312" w:cs="华文楷体"/>
          <w:bCs/>
          <w:sz w:val="32"/>
          <w:szCs w:val="32"/>
          <w:lang w:val="zh-CN"/>
        </w:rPr>
        <w:t>（网格化工作项目）</w:t>
      </w:r>
    </w:p>
    <w:p>
      <w:pPr>
        <w:pageBreakBefore w:val="0"/>
        <w:kinsoku/>
        <w:wordWrap/>
        <w:overflowPunct/>
        <w:topLinePunct w:val="0"/>
        <w:bidi w:val="0"/>
        <w:adjustRightInd w:val="0"/>
        <w:snapToGrid w:val="0"/>
        <w:spacing w:line="556" w:lineRule="exact"/>
        <w:ind w:left="0" w:firstLine="720"/>
        <w:textAlignment w:val="auto"/>
        <w:rPr>
          <w:rFonts w:hint="eastAsia" w:ascii="仿宋_GB2312" w:hAnsi="宋体"/>
          <w:lang w:val="zh-CN"/>
        </w:rPr>
      </w:pPr>
    </w:p>
    <w:p>
      <w:pPr>
        <w:pageBreakBefore w:val="0"/>
        <w:kinsoku/>
        <w:wordWrap/>
        <w:overflowPunct/>
        <w:topLinePunct w:val="0"/>
        <w:bidi w:val="0"/>
        <w:adjustRightInd w:val="0"/>
        <w:snapToGrid w:val="0"/>
        <w:spacing w:line="556" w:lineRule="exact"/>
        <w:ind w:left="0" w:firstLine="720"/>
        <w:textAlignment w:val="auto"/>
        <w:rPr>
          <w:rFonts w:hint="eastAsia" w:ascii="黑体" w:hAnsi="黑体" w:eastAsia="黑体" w:cs="黑体"/>
          <w:b w:val="0"/>
          <w:bCs w:val="0"/>
          <w:sz w:val="32"/>
          <w:szCs w:val="32"/>
          <w:lang w:val="zh-CN"/>
        </w:rPr>
      </w:pPr>
      <w:r>
        <w:rPr>
          <w:rFonts w:hint="eastAsia" w:ascii="黑体" w:hAnsi="黑体" w:eastAsia="黑体" w:cs="黑体"/>
          <w:b w:val="0"/>
          <w:bCs w:val="0"/>
          <w:sz w:val="32"/>
          <w:szCs w:val="32"/>
          <w:lang w:val="zh-CN"/>
        </w:rPr>
        <w:t>一、项目概况</w:t>
      </w:r>
    </w:p>
    <w:p>
      <w:pPr>
        <w:pageBreakBefore w:val="0"/>
        <w:kinsoku/>
        <w:wordWrap/>
        <w:overflowPunct/>
        <w:topLinePunct w:val="0"/>
        <w:bidi w:val="0"/>
        <w:spacing w:line="556" w:lineRule="exact"/>
        <w:ind w:left="0" w:leftChars="0" w:right="0" w:firstLine="640" w:firstLineChars="200"/>
        <w:outlineLvl w:val="2"/>
        <w:rPr>
          <w:rFonts w:ascii="仿宋" w:hAnsi="仿宋" w:eastAsia="仿宋" w:cs="仿宋"/>
          <w:sz w:val="32"/>
          <w:szCs w:val="32"/>
          <w:lang w:val="zh-CN"/>
        </w:rPr>
      </w:pPr>
      <w:r>
        <w:rPr>
          <w:rFonts w:hint="eastAsia" w:ascii="楷体" w:hAnsi="楷体" w:eastAsia="楷体" w:cs="楷体"/>
          <w:b w:val="0"/>
          <w:bCs/>
          <w:color w:val="000000"/>
          <w:sz w:val="32"/>
          <w:szCs w:val="32"/>
          <w:lang w:val="zh-CN"/>
        </w:rPr>
        <w:t>（一）项目规划背景。</w:t>
      </w:r>
      <w:r>
        <w:rPr>
          <w:rFonts w:hint="eastAsia" w:ascii="仿宋" w:hAnsi="仿宋" w:eastAsia="仿宋" w:cs="仿宋"/>
          <w:sz w:val="32"/>
          <w:szCs w:val="32"/>
          <w:lang w:val="zh-CN"/>
        </w:rPr>
        <w:t>实施网格化项目的背景。网格化服务管理工作是按照2014年省委办公厅、省政府办公厅《关于创新社会治理方式推进网格化服务管理工作的意见》（川委办〔2014〕43号）、2014年县委办室、县政府办公室《关于全面推行村社区网格化服务管理的实施意见》（剑委办〔2014〕37号）等文件精神，坚持源头治理，以网格化管理、社会化服务为方向，建立健全党政主导的县、乡镇、村社区、网格四级服务管理体系，及时反映和协调人民群众各方面各层次利益诉求，解决服务群众“最后一公里”问题，实现基层社会治理效能不断提高，基层基础进一步夯实，群众安全感和满意度切实增强。</w:t>
      </w:r>
    </w:p>
    <w:p>
      <w:pPr>
        <w:pageBreakBefore w:val="0"/>
        <w:kinsoku/>
        <w:wordWrap/>
        <w:overflowPunct/>
        <w:topLinePunct w:val="0"/>
        <w:bidi w:val="0"/>
        <w:spacing w:line="556" w:lineRule="exact"/>
        <w:ind w:left="0" w:firstLine="640" w:firstLineChars="200"/>
        <w:textAlignment w:val="auto"/>
        <w:rPr>
          <w:rFonts w:hint="eastAsia" w:ascii="仿宋" w:hAnsi="仿宋" w:eastAsia="仿宋" w:cs="仿宋"/>
          <w:sz w:val="32"/>
          <w:szCs w:val="32"/>
          <w:lang w:val="zh-CN"/>
        </w:rPr>
      </w:pPr>
      <w:r>
        <w:rPr>
          <w:rFonts w:hint="eastAsia" w:ascii="楷体" w:hAnsi="楷体" w:eastAsia="楷体" w:cs="楷体"/>
          <w:b w:val="0"/>
          <w:bCs/>
          <w:color w:val="000000"/>
          <w:sz w:val="32"/>
          <w:szCs w:val="32"/>
          <w:lang w:val="zh-CN"/>
        </w:rPr>
        <w:t>（二）项目资金申报及批复情况。</w:t>
      </w:r>
      <w:r>
        <w:rPr>
          <w:rFonts w:hint="eastAsia" w:ascii="仿宋" w:hAnsi="仿宋" w:eastAsia="仿宋" w:cs="仿宋"/>
          <w:sz w:val="32"/>
          <w:szCs w:val="32"/>
          <w:lang w:val="zh-CN"/>
        </w:rPr>
        <w:t>网格化项目资金申报及批复情况。申报网格化项目经费</w:t>
      </w:r>
      <w:r>
        <w:rPr>
          <w:rFonts w:hint="eastAsia" w:ascii="仿宋" w:hAnsi="仿宋" w:eastAsia="仿宋" w:cs="仿宋"/>
          <w:sz w:val="32"/>
          <w:szCs w:val="32"/>
          <w:lang w:val="en-US" w:eastAsia="zh-CN"/>
        </w:rPr>
        <w:t>100</w:t>
      </w:r>
      <w:r>
        <w:rPr>
          <w:rFonts w:hint="eastAsia" w:ascii="仿宋" w:hAnsi="仿宋" w:eastAsia="仿宋" w:cs="仿宋"/>
          <w:sz w:val="32"/>
          <w:szCs w:val="32"/>
          <w:lang w:val="zh-CN"/>
        </w:rPr>
        <w:t>万元，县财政实际批复当年网格化项目经费</w:t>
      </w:r>
      <w:r>
        <w:rPr>
          <w:rFonts w:hint="eastAsia" w:ascii="仿宋" w:hAnsi="仿宋" w:eastAsia="仿宋" w:cs="仿宋"/>
          <w:sz w:val="32"/>
          <w:szCs w:val="32"/>
          <w:lang w:val="en-US" w:eastAsia="zh-CN"/>
        </w:rPr>
        <w:t>70</w:t>
      </w:r>
      <w:r>
        <w:rPr>
          <w:rFonts w:hint="eastAsia" w:ascii="仿宋" w:hAnsi="仿宋" w:eastAsia="仿宋" w:cs="仿宋"/>
          <w:sz w:val="32"/>
          <w:szCs w:val="32"/>
          <w:lang w:val="zh-CN"/>
        </w:rPr>
        <w:t>万元。</w:t>
      </w:r>
    </w:p>
    <w:p>
      <w:pPr>
        <w:pageBreakBefore w:val="0"/>
        <w:kinsoku/>
        <w:wordWrap/>
        <w:overflowPunct/>
        <w:topLinePunct w:val="0"/>
        <w:bidi w:val="0"/>
        <w:adjustRightInd w:val="0"/>
        <w:snapToGrid w:val="0"/>
        <w:spacing w:line="556" w:lineRule="exact"/>
        <w:ind w:left="0" w:firstLine="720"/>
        <w:textAlignment w:val="auto"/>
        <w:rPr>
          <w:rFonts w:hint="eastAsia" w:ascii="仿宋" w:hAnsi="仿宋" w:eastAsia="仿宋" w:cs="仿宋"/>
          <w:sz w:val="32"/>
          <w:szCs w:val="32"/>
          <w:lang w:val="zh-CN"/>
        </w:rPr>
      </w:pPr>
      <w:r>
        <w:rPr>
          <w:rFonts w:hint="eastAsia" w:ascii="楷体" w:hAnsi="楷体" w:eastAsia="楷体" w:cs="楷体"/>
          <w:b w:val="0"/>
          <w:bCs/>
          <w:color w:val="000000"/>
          <w:sz w:val="32"/>
          <w:szCs w:val="32"/>
          <w:lang w:val="zh-CN"/>
        </w:rPr>
        <w:t>（三）项目绩效目标。</w:t>
      </w:r>
      <w:r>
        <w:rPr>
          <w:rFonts w:hint="eastAsia" w:ascii="仿宋_GB2312" w:hAnsi="仿宋_GB2312" w:eastAsia="仿宋_GB2312" w:cs="仿宋_GB2312"/>
          <w:sz w:val="32"/>
          <w:szCs w:val="32"/>
          <w:lang w:eastAsia="zh-CN"/>
        </w:rPr>
        <w:t>网格化服务管理</w:t>
      </w:r>
      <w:r>
        <w:rPr>
          <w:rFonts w:hint="eastAsia" w:ascii="仿宋_GB2312" w:hAnsi="仿宋_GB2312" w:eastAsia="仿宋_GB2312" w:cs="仿宋_GB2312"/>
          <w:sz w:val="32"/>
          <w:szCs w:val="32"/>
        </w:rPr>
        <w:t>是创新社会治理</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的重要举措，</w:t>
      </w:r>
      <w:r>
        <w:rPr>
          <w:rFonts w:hint="eastAsia" w:ascii="仿宋_GB2312" w:hAnsi="仿宋_GB2312" w:eastAsia="仿宋_GB2312" w:cs="仿宋_GB2312"/>
          <w:sz w:val="32"/>
          <w:szCs w:val="32"/>
          <w:lang w:val="en-US" w:eastAsia="zh-CN"/>
        </w:rPr>
        <w:t>2014年以来，根据</w:t>
      </w:r>
      <w:r>
        <w:rPr>
          <w:rFonts w:hint="eastAsia" w:ascii="仿宋_GB2312" w:hAnsi="仿宋_GB2312" w:eastAsia="仿宋_GB2312" w:cs="仿宋_GB2312"/>
          <w:sz w:val="32"/>
          <w:szCs w:val="32"/>
          <w:lang w:eastAsia="zh-CN"/>
        </w:rPr>
        <w:t>中央和省、市的统一安排部署，我县</w:t>
      </w:r>
      <w:r>
        <w:rPr>
          <w:rFonts w:hint="eastAsia" w:ascii="仿宋_GB2312" w:hAnsi="仿宋_GB2312" w:eastAsia="仿宋_GB2312" w:cs="仿宋_GB2312"/>
          <w:sz w:val="32"/>
          <w:szCs w:val="32"/>
        </w:rPr>
        <w:t>按照“重点实施、梯次推进、注重实效”的工作思路</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一村一格</w:t>
      </w:r>
      <w:r>
        <w:rPr>
          <w:rFonts w:hint="eastAsia" w:ascii="仿宋_GB2312" w:hAnsi="仿宋_GB2312" w:eastAsia="仿宋_GB2312" w:cs="仿宋_GB2312"/>
          <w:sz w:val="32"/>
          <w:szCs w:val="32"/>
          <w:lang w:eastAsia="zh-CN"/>
        </w:rPr>
        <w:t>”的划分模式，稳步</w:t>
      </w:r>
      <w:r>
        <w:rPr>
          <w:rFonts w:hint="eastAsia" w:ascii="仿宋_GB2312" w:hAnsi="仿宋_GB2312" w:eastAsia="仿宋_GB2312" w:cs="仿宋_GB2312"/>
          <w:sz w:val="32"/>
          <w:szCs w:val="32"/>
        </w:rPr>
        <w:t>推进网格化服务管理工作</w:t>
      </w:r>
      <w:r>
        <w:rPr>
          <w:rFonts w:hint="eastAsia" w:ascii="仿宋_GB2312" w:hAnsi="仿宋_GB2312" w:eastAsia="仿宋_GB2312" w:cs="仿宋_GB2312"/>
          <w:sz w:val="32"/>
          <w:szCs w:val="32"/>
          <w:lang w:eastAsia="zh-CN"/>
        </w:rPr>
        <w:t>。截止</w:t>
      </w:r>
      <w:r>
        <w:rPr>
          <w:rFonts w:hint="eastAsia" w:ascii="仿宋_GB2312" w:hAnsi="仿宋_GB2312" w:eastAsia="仿宋_GB2312" w:cs="仿宋_GB2312"/>
          <w:sz w:val="32"/>
          <w:szCs w:val="32"/>
          <w:lang w:val="en-US" w:eastAsia="zh-CN"/>
        </w:rPr>
        <w:t>2022年12月31日，全县共划分并开通441个网格（撤乡并镇前</w:t>
      </w:r>
      <w:r>
        <w:rPr>
          <w:rFonts w:hint="eastAsia" w:ascii="仿宋_GB2312" w:hAnsi="仿宋_GB2312" w:eastAsia="仿宋_GB2312" w:cs="仿宋_GB2312"/>
          <w:sz w:val="32"/>
          <w:szCs w:val="32"/>
        </w:rPr>
        <w:t>60</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聘请</w:t>
      </w:r>
      <w:r>
        <w:rPr>
          <w:rFonts w:hint="eastAsia" w:ascii="仿宋_GB2312" w:hAnsi="仿宋_GB2312" w:eastAsia="仿宋_GB2312" w:cs="仿宋_GB2312"/>
          <w:sz w:val="32"/>
          <w:szCs w:val="32"/>
          <w:lang w:val="en-US" w:eastAsia="zh-CN"/>
        </w:rPr>
        <w:t>441</w:t>
      </w:r>
      <w:r>
        <w:rPr>
          <w:rFonts w:hint="eastAsia" w:ascii="仿宋_GB2312" w:hAnsi="仿宋_GB2312" w:eastAsia="仿宋_GB2312" w:cs="仿宋_GB2312"/>
          <w:sz w:val="32"/>
          <w:szCs w:val="32"/>
        </w:rPr>
        <w:t>名兼职网格员</w:t>
      </w:r>
      <w:r>
        <w:rPr>
          <w:rFonts w:hint="eastAsia" w:ascii="仿宋_GB2312" w:hAnsi="仿宋_GB2312" w:eastAsia="仿宋_GB2312" w:cs="仿宋_GB2312"/>
          <w:sz w:val="32"/>
          <w:szCs w:val="32"/>
          <w:lang w:val="en-US" w:eastAsia="zh-CN"/>
        </w:rPr>
        <w:t>（撤乡并镇前</w:t>
      </w:r>
      <w:r>
        <w:rPr>
          <w:rFonts w:hint="eastAsia" w:ascii="仿宋_GB2312" w:hAnsi="仿宋_GB2312" w:eastAsia="仿宋_GB2312" w:cs="仿宋_GB2312"/>
          <w:sz w:val="32"/>
          <w:szCs w:val="32"/>
        </w:rPr>
        <w:t>60</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名</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配置手持终端机</w:t>
      </w:r>
      <w:r>
        <w:rPr>
          <w:rFonts w:hint="eastAsia" w:ascii="仿宋_GB2312" w:hAnsi="仿宋_GB2312" w:eastAsia="仿宋_GB2312" w:cs="仿宋_GB2312"/>
          <w:sz w:val="32"/>
          <w:szCs w:val="32"/>
          <w:lang w:val="en-US" w:eastAsia="zh-CN"/>
        </w:rPr>
        <w:t>441部</w:t>
      </w:r>
      <w:r>
        <w:rPr>
          <w:rFonts w:hint="eastAsia" w:ascii="仿宋_GB2312" w:hAnsi="仿宋_GB2312" w:eastAsia="仿宋_GB2312" w:cs="仿宋_GB2312"/>
          <w:sz w:val="32"/>
          <w:szCs w:val="32"/>
          <w:lang w:eastAsia="zh-CN"/>
        </w:rPr>
        <w:t>。同时，现有</w:t>
      </w:r>
      <w:r>
        <w:rPr>
          <w:rFonts w:hint="eastAsia" w:ascii="仿宋_GB2312" w:hAnsi="仿宋_GB2312" w:eastAsia="仿宋_GB2312" w:cs="仿宋_GB2312"/>
          <w:sz w:val="32"/>
          <w:szCs w:val="32"/>
          <w:lang w:val="en-US" w:eastAsia="zh-CN"/>
        </w:rPr>
        <w:t>29个</w:t>
      </w:r>
      <w:r>
        <w:rPr>
          <w:rFonts w:hint="eastAsia" w:ascii="仿宋_GB2312" w:hAnsi="仿宋_GB2312" w:eastAsia="仿宋_GB2312" w:cs="仿宋_GB2312"/>
          <w:sz w:val="32"/>
          <w:szCs w:val="32"/>
        </w:rPr>
        <w:t>乡镇、</w:t>
      </w:r>
      <w:r>
        <w:rPr>
          <w:rFonts w:hint="eastAsia" w:ascii="仿宋_GB2312" w:hAnsi="仿宋_GB2312" w:eastAsia="仿宋_GB2312" w:cs="仿宋_GB2312"/>
          <w:sz w:val="32"/>
          <w:szCs w:val="32"/>
          <w:lang w:val="en-US" w:eastAsia="zh-CN"/>
        </w:rPr>
        <w:t>26个</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62个</w:t>
      </w:r>
      <w:r>
        <w:rPr>
          <w:rFonts w:hint="eastAsia" w:ascii="仿宋_GB2312" w:hAnsi="仿宋_GB2312" w:eastAsia="仿宋_GB2312" w:cs="仿宋_GB2312"/>
          <w:sz w:val="32"/>
          <w:szCs w:val="32"/>
        </w:rPr>
        <w:t>“两所一院”</w:t>
      </w:r>
      <w:r>
        <w:rPr>
          <w:rFonts w:hint="eastAsia" w:ascii="仿宋_GB2312" w:hAnsi="仿宋_GB2312" w:eastAsia="仿宋_GB2312" w:cs="仿宋_GB2312"/>
          <w:sz w:val="32"/>
          <w:szCs w:val="32"/>
          <w:lang w:eastAsia="zh-CN"/>
        </w:rPr>
        <w:t>共</w:t>
      </w:r>
      <w:r>
        <w:rPr>
          <w:rFonts w:hint="eastAsia" w:ascii="仿宋_GB2312" w:hAnsi="仿宋_GB2312" w:eastAsia="仿宋_GB2312" w:cs="仿宋_GB2312"/>
          <w:sz w:val="32"/>
          <w:szCs w:val="32"/>
          <w:lang w:val="en-US" w:eastAsia="zh-CN"/>
        </w:rPr>
        <w:t>117个</w:t>
      </w:r>
      <w:r>
        <w:rPr>
          <w:rFonts w:hint="eastAsia" w:ascii="仿宋_GB2312" w:hAnsi="仿宋_GB2312" w:eastAsia="仿宋_GB2312" w:cs="仿宋_GB2312"/>
          <w:sz w:val="32"/>
          <w:szCs w:val="32"/>
          <w:lang w:eastAsia="zh-CN"/>
        </w:rPr>
        <w:t>电脑终端账</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（撤乡并镇前</w:t>
      </w:r>
      <w:r>
        <w:rPr>
          <w:rFonts w:hint="eastAsia" w:ascii="仿宋_GB2312" w:hAnsi="仿宋_GB2312" w:eastAsia="仿宋_GB2312" w:cs="仿宋_GB2312"/>
          <w:sz w:val="32"/>
          <w:szCs w:val="32"/>
        </w:rPr>
        <w:t>17</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eastAsia="zh-CN"/>
        </w:rPr>
        <w:t>账号），建设</w:t>
      </w:r>
      <w:r>
        <w:rPr>
          <w:rFonts w:hint="eastAsia" w:ascii="仿宋_GB2312" w:hAnsi="仿宋_GB2312" w:eastAsia="仿宋_GB2312" w:cs="仿宋_GB2312"/>
          <w:sz w:val="32"/>
          <w:szCs w:val="32"/>
        </w:rPr>
        <w:t>电子政务外网专线</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条</w:t>
      </w:r>
      <w:r>
        <w:rPr>
          <w:rFonts w:hint="eastAsia" w:ascii="仿宋_GB2312" w:hAnsi="仿宋_GB2312" w:eastAsia="仿宋_GB2312" w:cs="仿宋_GB2312"/>
          <w:sz w:val="32"/>
          <w:szCs w:val="32"/>
          <w:lang w:eastAsia="zh-CN"/>
        </w:rPr>
        <w:t>（撤乡并镇前</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lang w:eastAsia="zh-CN"/>
        </w:rPr>
        <w:t>条）</w:t>
      </w:r>
      <w:r>
        <w:rPr>
          <w:rFonts w:hint="eastAsia" w:ascii="仿宋_GB2312" w:hAnsi="仿宋_GB2312" w:eastAsia="仿宋_GB2312" w:cs="仿宋_GB2312"/>
          <w:sz w:val="32"/>
          <w:szCs w:val="32"/>
        </w:rPr>
        <w:t>，网格化服务管理工作四级体系运行</w:t>
      </w:r>
      <w:r>
        <w:rPr>
          <w:rFonts w:hint="eastAsia" w:ascii="仿宋_GB2312" w:hAnsi="仿宋_GB2312" w:eastAsia="仿宋_GB2312" w:cs="仿宋_GB2312"/>
          <w:sz w:val="32"/>
          <w:szCs w:val="32"/>
          <w:lang w:eastAsia="zh-CN"/>
        </w:rPr>
        <w:t>良好</w:t>
      </w:r>
      <w:r>
        <w:rPr>
          <w:rFonts w:hint="eastAsia" w:ascii="仿宋" w:hAnsi="仿宋" w:eastAsia="仿宋" w:cs="仿宋"/>
          <w:sz w:val="32"/>
          <w:szCs w:val="32"/>
          <w:lang w:val="zh-CN"/>
        </w:rPr>
        <w:t>。网格员经常开展安全、治安隐患排查，及时消除隐患，及时发现并消除社会治安和公共安全隐患，并通过手机终端报送社会治安突出问题，县综治中心及时推送相关部门，限期处置，提升人民群众安全感，2019年至</w:t>
      </w:r>
      <w:r>
        <w:rPr>
          <w:rFonts w:hint="eastAsia" w:ascii="仿宋" w:hAnsi="仿宋" w:eastAsia="仿宋" w:cs="仿宋"/>
          <w:sz w:val="32"/>
          <w:szCs w:val="32"/>
          <w:lang w:val="en-US" w:eastAsia="zh-CN"/>
        </w:rPr>
        <w:t>2022年</w:t>
      </w:r>
      <w:r>
        <w:rPr>
          <w:rFonts w:hint="eastAsia" w:ascii="仿宋" w:hAnsi="仿宋" w:eastAsia="仿宋" w:cs="仿宋"/>
          <w:sz w:val="32"/>
          <w:szCs w:val="32"/>
          <w:lang w:val="zh-CN"/>
        </w:rPr>
        <w:t>社会治安满意度排名均整体上升。</w:t>
      </w:r>
    </w:p>
    <w:p>
      <w:pPr>
        <w:pageBreakBefore w:val="0"/>
        <w:kinsoku/>
        <w:wordWrap/>
        <w:overflowPunct/>
        <w:topLinePunct w:val="0"/>
        <w:bidi w:val="0"/>
        <w:adjustRightInd w:val="0"/>
        <w:snapToGrid w:val="0"/>
        <w:spacing w:line="556" w:lineRule="exact"/>
        <w:ind w:left="0" w:firstLine="720"/>
        <w:textAlignment w:val="auto"/>
        <w:rPr>
          <w:rFonts w:hint="eastAsia" w:ascii="仿宋" w:hAnsi="仿宋" w:eastAsia="仿宋" w:cs="仿宋"/>
          <w:sz w:val="32"/>
          <w:szCs w:val="32"/>
          <w:lang w:val="zh-CN"/>
        </w:rPr>
      </w:pPr>
      <w:r>
        <w:rPr>
          <w:rFonts w:hint="eastAsia" w:ascii="楷体" w:hAnsi="楷体" w:eastAsia="楷体" w:cs="楷体"/>
          <w:b w:val="0"/>
          <w:bCs/>
          <w:color w:val="000000"/>
          <w:sz w:val="32"/>
          <w:szCs w:val="32"/>
          <w:lang w:val="zh-CN"/>
        </w:rPr>
        <w:t>（四）项目资金申报相符性。</w:t>
      </w:r>
      <w:r>
        <w:rPr>
          <w:rFonts w:hint="eastAsia" w:ascii="仿宋" w:hAnsi="仿宋" w:eastAsia="仿宋" w:cs="仿宋"/>
          <w:sz w:val="32"/>
          <w:szCs w:val="32"/>
          <w:lang w:val="zh-CN"/>
        </w:rPr>
        <w:t>网格化项目申报内容与20</w:t>
      </w:r>
      <w:r>
        <w:rPr>
          <w:rFonts w:hint="eastAsia" w:ascii="仿宋" w:hAnsi="仿宋" w:eastAsia="仿宋" w:cs="仿宋"/>
          <w:sz w:val="32"/>
          <w:szCs w:val="32"/>
          <w:lang w:val="en-US" w:eastAsia="zh-CN"/>
        </w:rPr>
        <w:t>22</w:t>
      </w:r>
      <w:r>
        <w:rPr>
          <w:rFonts w:hint="eastAsia" w:ascii="仿宋" w:hAnsi="仿宋" w:eastAsia="仿宋" w:cs="仿宋"/>
          <w:sz w:val="32"/>
          <w:szCs w:val="32"/>
          <w:lang w:val="zh-CN"/>
        </w:rPr>
        <w:t>年度内实施的具体实施内容相符，申报目标合理可行。</w:t>
      </w:r>
    </w:p>
    <w:p>
      <w:pPr>
        <w:pageBreakBefore w:val="0"/>
        <w:kinsoku/>
        <w:wordWrap/>
        <w:overflowPunct/>
        <w:topLinePunct w:val="0"/>
        <w:bidi w:val="0"/>
        <w:adjustRightInd w:val="0"/>
        <w:snapToGrid w:val="0"/>
        <w:spacing w:line="556" w:lineRule="exact"/>
        <w:ind w:left="0" w:firstLine="720"/>
        <w:textAlignment w:val="auto"/>
        <w:rPr>
          <w:rFonts w:hint="eastAsia" w:ascii="黑体" w:hAnsi="黑体" w:eastAsia="黑体" w:cs="黑体"/>
          <w:b w:val="0"/>
          <w:bCs w:val="0"/>
          <w:sz w:val="32"/>
          <w:szCs w:val="32"/>
          <w:lang w:val="zh-CN"/>
        </w:rPr>
      </w:pPr>
      <w:r>
        <w:rPr>
          <w:rFonts w:hint="eastAsia" w:ascii="黑体" w:hAnsi="黑体" w:eastAsia="黑体" w:cs="黑体"/>
          <w:b w:val="0"/>
          <w:bCs w:val="0"/>
          <w:sz w:val="32"/>
          <w:szCs w:val="32"/>
          <w:lang w:val="zh-CN"/>
        </w:rPr>
        <w:t>二、项目实施及管理情况</w:t>
      </w:r>
    </w:p>
    <w:p>
      <w:pPr>
        <w:pageBreakBefore w:val="0"/>
        <w:kinsoku/>
        <w:wordWrap/>
        <w:overflowPunct/>
        <w:topLinePunct w:val="0"/>
        <w:bidi w:val="0"/>
        <w:adjustRightInd w:val="0"/>
        <w:snapToGrid w:val="0"/>
        <w:spacing w:line="556" w:lineRule="exact"/>
        <w:ind w:left="0" w:firstLine="720"/>
        <w:textAlignment w:val="auto"/>
        <w:rPr>
          <w:rFonts w:hint="eastAsia" w:ascii="楷体" w:hAnsi="楷体" w:eastAsia="楷体" w:cs="楷体"/>
          <w:b w:val="0"/>
          <w:bCs/>
          <w:color w:val="000000"/>
          <w:sz w:val="32"/>
          <w:szCs w:val="32"/>
          <w:lang w:val="zh-CN"/>
        </w:rPr>
      </w:pPr>
      <w:r>
        <w:rPr>
          <w:rFonts w:hint="eastAsia" w:ascii="楷体" w:hAnsi="楷体" w:eastAsia="楷体" w:cs="楷体"/>
          <w:b w:val="0"/>
          <w:bCs/>
          <w:color w:val="000000"/>
          <w:sz w:val="32"/>
          <w:szCs w:val="32"/>
          <w:lang w:val="zh-CN"/>
        </w:rPr>
        <w:t>（一）资金计划、到位及使用情况。</w:t>
      </w:r>
    </w:p>
    <w:p>
      <w:pPr>
        <w:pageBreakBefore w:val="0"/>
        <w:kinsoku/>
        <w:wordWrap/>
        <w:overflowPunct/>
        <w:topLinePunct w:val="0"/>
        <w:bidi w:val="0"/>
        <w:adjustRightInd w:val="0"/>
        <w:snapToGrid w:val="0"/>
        <w:spacing w:line="556" w:lineRule="exact"/>
        <w:ind w:left="0"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1．资金计划及到位。20</w:t>
      </w:r>
      <w:r>
        <w:rPr>
          <w:rFonts w:hint="eastAsia" w:ascii="仿宋" w:hAnsi="仿宋" w:eastAsia="仿宋" w:cs="仿宋"/>
          <w:sz w:val="32"/>
          <w:szCs w:val="32"/>
          <w:lang w:val="en-US" w:eastAsia="zh-CN"/>
        </w:rPr>
        <w:t>22</w:t>
      </w:r>
      <w:r>
        <w:rPr>
          <w:rFonts w:hint="eastAsia" w:ascii="仿宋" w:hAnsi="仿宋" w:eastAsia="仿宋" w:cs="仿宋"/>
          <w:sz w:val="32"/>
          <w:szCs w:val="32"/>
          <w:lang w:val="zh-CN"/>
        </w:rPr>
        <w:t>年，县财政安排网格化项目当年预算</w:t>
      </w:r>
      <w:r>
        <w:rPr>
          <w:rFonts w:hint="eastAsia" w:ascii="仿宋" w:hAnsi="仿宋" w:eastAsia="仿宋" w:cs="仿宋"/>
          <w:sz w:val="32"/>
          <w:szCs w:val="32"/>
          <w:lang w:val="en-US" w:eastAsia="zh-CN"/>
        </w:rPr>
        <w:t>70</w:t>
      </w:r>
      <w:r>
        <w:rPr>
          <w:rFonts w:hint="eastAsia" w:ascii="仿宋" w:hAnsi="仿宋" w:eastAsia="仿宋" w:cs="仿宋"/>
          <w:sz w:val="32"/>
          <w:szCs w:val="32"/>
          <w:lang w:val="zh-CN"/>
        </w:rPr>
        <w:t>万元，拨付</w:t>
      </w:r>
      <w:r>
        <w:rPr>
          <w:rFonts w:hint="eastAsia" w:ascii="仿宋" w:hAnsi="仿宋" w:eastAsia="仿宋" w:cs="仿宋"/>
          <w:sz w:val="32"/>
          <w:szCs w:val="32"/>
          <w:lang w:val="en-US" w:eastAsia="zh-CN"/>
        </w:rPr>
        <w:t>70万元</w:t>
      </w:r>
      <w:r>
        <w:rPr>
          <w:rFonts w:hint="eastAsia" w:ascii="仿宋" w:hAnsi="仿宋" w:eastAsia="仿宋" w:cs="仿宋"/>
          <w:sz w:val="32"/>
          <w:szCs w:val="32"/>
          <w:lang w:val="zh-CN"/>
        </w:rPr>
        <w:t>。县委政法委按照与电信公司签订的合同，支付</w:t>
      </w:r>
      <w:r>
        <w:rPr>
          <w:rFonts w:hint="eastAsia" w:ascii="仿宋" w:hAnsi="仿宋" w:eastAsia="仿宋" w:cs="仿宋"/>
          <w:sz w:val="32"/>
          <w:szCs w:val="32"/>
          <w:lang w:val="en-US" w:eastAsia="zh-CN"/>
        </w:rPr>
        <w:t>70万元</w:t>
      </w:r>
      <w:r>
        <w:rPr>
          <w:rFonts w:hint="eastAsia" w:ascii="仿宋" w:hAnsi="仿宋" w:eastAsia="仿宋" w:cs="仿宋"/>
          <w:sz w:val="32"/>
          <w:szCs w:val="32"/>
          <w:lang w:val="zh-CN"/>
        </w:rPr>
        <w:t>。</w:t>
      </w:r>
    </w:p>
    <w:p>
      <w:pPr>
        <w:pageBreakBefore w:val="0"/>
        <w:kinsoku/>
        <w:wordWrap/>
        <w:overflowPunct/>
        <w:topLinePunct w:val="0"/>
        <w:bidi w:val="0"/>
        <w:adjustRightInd w:val="0"/>
        <w:snapToGrid w:val="0"/>
        <w:spacing w:line="556" w:lineRule="exact"/>
        <w:ind w:left="0" w:firstLine="72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2．资金使用。县委政法委按照与电信公司签订的合同，以及对全县</w:t>
      </w:r>
      <w:r>
        <w:rPr>
          <w:rFonts w:hint="eastAsia" w:ascii="仿宋" w:hAnsi="仿宋" w:eastAsia="仿宋" w:cs="仿宋"/>
          <w:sz w:val="32"/>
          <w:szCs w:val="32"/>
          <w:lang w:val="en-US" w:eastAsia="zh-CN"/>
        </w:rPr>
        <w:t>441</w:t>
      </w:r>
      <w:r>
        <w:rPr>
          <w:rFonts w:hint="eastAsia" w:ascii="仿宋" w:hAnsi="仿宋" w:eastAsia="仿宋" w:cs="仿宋"/>
          <w:sz w:val="32"/>
          <w:szCs w:val="32"/>
          <w:lang w:val="zh-CN"/>
        </w:rPr>
        <w:t>名网格员的考核，已支付</w:t>
      </w:r>
      <w:r>
        <w:rPr>
          <w:rFonts w:hint="eastAsia" w:ascii="仿宋" w:hAnsi="仿宋" w:eastAsia="仿宋" w:cs="仿宋"/>
          <w:sz w:val="32"/>
          <w:szCs w:val="32"/>
          <w:lang w:val="en-US" w:eastAsia="zh-CN"/>
        </w:rPr>
        <w:t>70万元</w:t>
      </w:r>
      <w:r>
        <w:rPr>
          <w:rFonts w:hint="eastAsia" w:ascii="仿宋" w:hAnsi="仿宋" w:eastAsia="仿宋" w:cs="仿宋"/>
          <w:sz w:val="32"/>
          <w:szCs w:val="32"/>
          <w:lang w:val="zh-CN"/>
        </w:rPr>
        <w:t>。</w:t>
      </w:r>
    </w:p>
    <w:p>
      <w:pPr>
        <w:pageBreakBefore w:val="0"/>
        <w:kinsoku/>
        <w:wordWrap/>
        <w:overflowPunct/>
        <w:topLinePunct w:val="0"/>
        <w:bidi w:val="0"/>
        <w:adjustRightInd w:val="0"/>
        <w:snapToGrid w:val="0"/>
        <w:spacing w:line="556" w:lineRule="exact"/>
        <w:ind w:left="0" w:firstLine="720"/>
        <w:textAlignment w:val="auto"/>
        <w:rPr>
          <w:rFonts w:hint="eastAsia" w:ascii="仿宋" w:hAnsi="仿宋" w:eastAsia="仿宋" w:cs="仿宋"/>
          <w:sz w:val="32"/>
          <w:szCs w:val="32"/>
          <w:lang w:val="zh-CN"/>
        </w:rPr>
      </w:pPr>
      <w:r>
        <w:rPr>
          <w:rFonts w:hint="eastAsia" w:ascii="楷体" w:hAnsi="楷体" w:eastAsia="楷体" w:cs="楷体"/>
          <w:b w:val="0"/>
          <w:bCs/>
          <w:color w:val="000000"/>
          <w:sz w:val="32"/>
          <w:szCs w:val="32"/>
          <w:lang w:val="zh-CN"/>
        </w:rPr>
        <w:t>（二）项目财务管理情况。</w:t>
      </w:r>
      <w:r>
        <w:rPr>
          <w:rFonts w:hint="eastAsia" w:ascii="仿宋" w:hAnsi="仿宋" w:eastAsia="仿宋" w:cs="仿宋"/>
          <w:sz w:val="32"/>
          <w:szCs w:val="32"/>
          <w:lang w:val="zh-CN"/>
        </w:rPr>
        <w:t>我委严格按照有关财政资金管理要求，严格执行会计制度和财务制度，依法管理项目资金，结合我委的工作实际，对项目开支进行规范化、工作制度化，对经费使用范围的各类支出，按照项目经费使用审批的程序办理，财务人员做到依法理财，保障账目真实、完整、规范，项目总体执行情况较好，预期的绩效目标基本实现。</w:t>
      </w:r>
    </w:p>
    <w:p>
      <w:pPr>
        <w:pageBreakBefore w:val="0"/>
        <w:kinsoku/>
        <w:wordWrap/>
        <w:overflowPunct/>
        <w:topLinePunct w:val="0"/>
        <w:bidi w:val="0"/>
        <w:spacing w:line="556" w:lineRule="exact"/>
        <w:ind w:left="0" w:leftChars="0" w:right="0" w:firstLine="640" w:firstLineChars="200"/>
        <w:outlineLvl w:val="2"/>
        <w:rPr>
          <w:rFonts w:ascii="仿宋" w:hAnsi="仿宋" w:eastAsia="仿宋" w:cs="仿宋"/>
          <w:sz w:val="32"/>
          <w:szCs w:val="32"/>
          <w:lang w:val="zh-CN"/>
        </w:rPr>
      </w:pPr>
      <w:r>
        <w:rPr>
          <w:rFonts w:hint="eastAsia" w:ascii="楷体" w:hAnsi="楷体" w:eastAsia="楷体" w:cs="楷体"/>
          <w:b w:val="0"/>
          <w:bCs/>
          <w:color w:val="000000"/>
          <w:sz w:val="32"/>
          <w:szCs w:val="32"/>
          <w:lang w:val="zh-CN"/>
        </w:rPr>
        <w:t>（三）项目组织实施情况。</w:t>
      </w:r>
      <w:r>
        <w:rPr>
          <w:rFonts w:hint="eastAsia" w:ascii="仿宋" w:hAnsi="仿宋" w:eastAsia="仿宋" w:cs="仿宋"/>
          <w:sz w:val="32"/>
          <w:szCs w:val="32"/>
          <w:lang w:val="zh-CN"/>
        </w:rPr>
        <w:t>网格化工作组织实施情况。我县按照“重点实施、梯次推进、注重实效”的工作思路，逐年稳步推进网格化服务管理工作。按一村一格，下寺、普安8个社区多格划分的模式，将全县共划分为</w:t>
      </w:r>
      <w:r>
        <w:rPr>
          <w:rFonts w:hint="eastAsia" w:ascii="仿宋" w:hAnsi="仿宋" w:eastAsia="仿宋" w:cs="仿宋"/>
          <w:sz w:val="32"/>
          <w:szCs w:val="32"/>
          <w:lang w:val="en-US" w:eastAsia="zh-CN"/>
        </w:rPr>
        <w:t>441</w:t>
      </w:r>
      <w:r>
        <w:rPr>
          <w:rFonts w:hint="eastAsia" w:ascii="仿宋" w:hAnsi="仿宋" w:eastAsia="仿宋" w:cs="仿宋"/>
          <w:sz w:val="32"/>
          <w:szCs w:val="32"/>
          <w:lang w:val="zh-CN"/>
        </w:rPr>
        <w:t>个网格，全县</w:t>
      </w:r>
      <w:r>
        <w:rPr>
          <w:rFonts w:hint="eastAsia" w:ascii="仿宋" w:hAnsi="仿宋" w:eastAsia="仿宋" w:cs="仿宋"/>
          <w:sz w:val="32"/>
          <w:szCs w:val="32"/>
          <w:lang w:val="en-US" w:eastAsia="zh-CN"/>
        </w:rPr>
        <w:t>441</w:t>
      </w:r>
      <w:r>
        <w:rPr>
          <w:rFonts w:hint="eastAsia" w:ascii="仿宋" w:hAnsi="仿宋" w:eastAsia="仿宋" w:cs="仿宋"/>
          <w:sz w:val="32"/>
          <w:szCs w:val="32"/>
          <w:lang w:val="zh-CN"/>
        </w:rPr>
        <w:t>个网格已全部开通，聘请了</w:t>
      </w:r>
      <w:r>
        <w:rPr>
          <w:rFonts w:hint="eastAsia" w:ascii="仿宋" w:hAnsi="仿宋" w:eastAsia="仿宋" w:cs="仿宋"/>
          <w:sz w:val="32"/>
          <w:szCs w:val="32"/>
          <w:lang w:val="en-US" w:eastAsia="zh-CN"/>
        </w:rPr>
        <w:t>441</w:t>
      </w:r>
      <w:r>
        <w:rPr>
          <w:rFonts w:hint="eastAsia" w:ascii="仿宋" w:hAnsi="仿宋" w:eastAsia="仿宋" w:cs="仿宋"/>
          <w:sz w:val="32"/>
          <w:szCs w:val="32"/>
          <w:lang w:val="zh-CN"/>
        </w:rPr>
        <w:t>名兼职网格员并全部配置了手持终端机。开通了乡镇、部门及“两所一院”工作平台帐号1</w:t>
      </w:r>
      <w:r>
        <w:rPr>
          <w:rFonts w:hint="eastAsia" w:ascii="仿宋" w:hAnsi="仿宋" w:eastAsia="仿宋" w:cs="仿宋"/>
          <w:sz w:val="32"/>
          <w:szCs w:val="32"/>
          <w:lang w:val="en-US" w:eastAsia="zh-CN"/>
        </w:rPr>
        <w:t>17</w:t>
      </w:r>
      <w:r>
        <w:rPr>
          <w:rFonts w:hint="eastAsia" w:ascii="仿宋" w:hAnsi="仿宋" w:eastAsia="仿宋" w:cs="仿宋"/>
          <w:sz w:val="32"/>
          <w:szCs w:val="32"/>
          <w:lang w:val="zh-CN"/>
        </w:rPr>
        <w:t>个、电子政务外网专线8条，网格化服务管理工作四级体系运行正常。</w:t>
      </w:r>
    </w:p>
    <w:p>
      <w:pPr>
        <w:pageBreakBefore w:val="0"/>
        <w:kinsoku/>
        <w:wordWrap/>
        <w:overflowPunct/>
        <w:topLinePunct w:val="0"/>
        <w:bidi w:val="0"/>
        <w:adjustRightInd w:val="0"/>
        <w:snapToGrid w:val="0"/>
        <w:spacing w:line="556" w:lineRule="exact"/>
        <w:ind w:left="0" w:firstLine="720"/>
        <w:textAlignment w:val="auto"/>
        <w:rPr>
          <w:rFonts w:hint="eastAsia" w:ascii="黑体" w:hAnsi="黑体" w:eastAsia="黑体" w:cs="黑体"/>
          <w:b w:val="0"/>
          <w:bCs w:val="0"/>
          <w:sz w:val="32"/>
          <w:szCs w:val="32"/>
          <w:lang w:val="zh-CN"/>
        </w:rPr>
      </w:pPr>
      <w:r>
        <w:rPr>
          <w:rFonts w:hint="eastAsia" w:ascii="黑体" w:hAnsi="黑体" w:eastAsia="黑体" w:cs="黑体"/>
          <w:b w:val="0"/>
          <w:bCs w:val="0"/>
          <w:sz w:val="32"/>
          <w:szCs w:val="32"/>
          <w:lang w:val="zh-CN"/>
        </w:rPr>
        <w:t>三、项目绩效情况</w:t>
      </w:r>
      <w:r>
        <w:rPr>
          <w:rFonts w:hint="eastAsia" w:ascii="黑体" w:hAnsi="黑体" w:eastAsia="黑体" w:cs="黑体"/>
          <w:b w:val="0"/>
          <w:bCs w:val="0"/>
          <w:sz w:val="32"/>
          <w:szCs w:val="32"/>
          <w:lang w:val="zh-CN"/>
        </w:rPr>
        <w:tab/>
      </w:r>
    </w:p>
    <w:p>
      <w:pPr>
        <w:pageBreakBefore w:val="0"/>
        <w:kinsoku/>
        <w:wordWrap/>
        <w:overflowPunct/>
        <w:topLinePunct w:val="0"/>
        <w:bidi w:val="0"/>
        <w:spacing w:line="556" w:lineRule="exact"/>
        <w:ind w:left="0" w:firstLine="640" w:firstLineChars="200"/>
        <w:jc w:val="left"/>
        <w:textAlignment w:val="auto"/>
        <w:rPr>
          <w:rFonts w:hint="eastAsia" w:ascii="仿宋" w:hAnsi="仿宋" w:eastAsia="仿宋" w:cs="仿宋"/>
          <w:sz w:val="32"/>
          <w:szCs w:val="32"/>
          <w:lang w:val="zh-CN"/>
        </w:rPr>
      </w:pPr>
      <w:r>
        <w:rPr>
          <w:rFonts w:hint="eastAsia" w:ascii="楷体" w:hAnsi="楷体" w:eastAsia="楷体" w:cs="楷体"/>
          <w:b w:val="0"/>
          <w:bCs/>
          <w:color w:val="000000"/>
          <w:sz w:val="32"/>
          <w:szCs w:val="32"/>
          <w:lang w:val="zh-CN"/>
        </w:rPr>
        <w:t>（一）项目完成情况。</w:t>
      </w:r>
      <w:r>
        <w:rPr>
          <w:rFonts w:hint="eastAsia" w:ascii="仿宋" w:hAnsi="仿宋" w:eastAsia="仿宋" w:cs="仿宋"/>
          <w:sz w:val="32"/>
          <w:szCs w:val="32"/>
          <w:lang w:val="zh-CN"/>
        </w:rPr>
        <w:t>加强对网格化工作的督导督查，通过召开现现场，坚持按季度进行工作通报，对工作滞后的乡镇部门分管领导进行约谈，下沉业务滞后乡镇督导培训，邀请部分乡镇到县综治中心观摩学习等措施，不断提升网格化工作质效。今年，全县网格员手机（平台）活跃度、事件报送数量、特殊人群走访等各项考核指标均有稳步提升，基本达到了90%以上，网格化服务工作的群众知晓率满意度持续提升。</w:t>
      </w:r>
    </w:p>
    <w:p>
      <w:pPr>
        <w:pageBreakBefore w:val="0"/>
        <w:kinsoku/>
        <w:wordWrap/>
        <w:overflowPunct/>
        <w:topLinePunct w:val="0"/>
        <w:bidi w:val="0"/>
        <w:spacing w:line="556" w:lineRule="exact"/>
        <w:ind w:left="0" w:firstLine="640" w:firstLineChars="200"/>
        <w:textAlignment w:val="auto"/>
        <w:rPr>
          <w:rFonts w:hint="eastAsia" w:ascii="仿宋" w:hAnsi="仿宋" w:eastAsia="仿宋" w:cs="仿宋"/>
          <w:sz w:val="32"/>
          <w:szCs w:val="32"/>
          <w:lang w:val="zh-CN"/>
        </w:rPr>
      </w:pPr>
      <w:r>
        <w:rPr>
          <w:rFonts w:hint="eastAsia" w:ascii="楷体" w:hAnsi="楷体" w:eastAsia="楷体" w:cs="楷体"/>
          <w:b w:val="0"/>
          <w:bCs/>
          <w:color w:val="000000"/>
          <w:sz w:val="32"/>
          <w:szCs w:val="32"/>
          <w:lang w:val="zh-CN"/>
        </w:rPr>
        <w:t>（二）项目效益情况。</w:t>
      </w:r>
      <w:r>
        <w:rPr>
          <w:rFonts w:hint="eastAsia" w:ascii="仿宋" w:hAnsi="仿宋" w:eastAsia="仿宋" w:cs="仿宋"/>
          <w:sz w:val="32"/>
          <w:szCs w:val="32"/>
          <w:lang w:val="zh-CN"/>
        </w:rPr>
        <w:t>加强对网格化工作的指导检查和培训，不断提升网格化工作质效，持续提升网格化服务工作的群众知晓率。全县网格员共推送各类事件20045条，走访服务特殊人群34803次，开展流动人口核查服务576次，发现报告各类治安消防隐患810件，报告乡镇、县级职能部门及时处置各类事件71件，有效预防和减少了大量不安全不稳定案(事)件发生，人民群众安全感、满意度持续提升。</w:t>
      </w:r>
    </w:p>
    <w:p>
      <w:pPr>
        <w:pageBreakBefore w:val="0"/>
        <w:kinsoku/>
        <w:wordWrap/>
        <w:overflowPunct/>
        <w:topLinePunct w:val="0"/>
        <w:bidi w:val="0"/>
        <w:adjustRightInd w:val="0"/>
        <w:snapToGrid w:val="0"/>
        <w:spacing w:line="556" w:lineRule="exact"/>
        <w:ind w:left="0" w:firstLine="720"/>
        <w:textAlignment w:val="auto"/>
        <w:rPr>
          <w:rFonts w:hint="eastAsia" w:ascii="黑体" w:hAnsi="黑体" w:eastAsia="黑体" w:cs="黑体"/>
          <w:b w:val="0"/>
          <w:bCs w:val="0"/>
          <w:sz w:val="32"/>
          <w:szCs w:val="32"/>
          <w:lang w:val="zh-CN"/>
        </w:rPr>
      </w:pPr>
      <w:r>
        <w:rPr>
          <w:rFonts w:hint="eastAsia" w:ascii="黑体" w:hAnsi="黑体" w:eastAsia="黑体" w:cs="黑体"/>
          <w:b w:val="0"/>
          <w:bCs w:val="0"/>
          <w:sz w:val="32"/>
          <w:szCs w:val="32"/>
          <w:lang w:val="zh-CN"/>
        </w:rPr>
        <w:t>四、问题及建议</w:t>
      </w:r>
    </w:p>
    <w:p>
      <w:pPr>
        <w:keepNext w:val="0"/>
        <w:keepLines w:val="0"/>
        <w:pageBreakBefore w:val="0"/>
        <w:kinsoku/>
        <w:wordWrap/>
        <w:overflowPunct/>
        <w:topLinePunct w:val="0"/>
        <w:autoSpaceDE/>
        <w:autoSpaceDN/>
        <w:bidi w:val="0"/>
        <w:adjustRightInd/>
        <w:snapToGrid/>
        <w:spacing w:line="576" w:lineRule="exact"/>
        <w:ind w:firstLine="640" w:firstLineChars="200"/>
        <w:jc w:val="left"/>
        <w:textAlignment w:val="auto"/>
        <w:rPr>
          <w:rFonts w:hint="eastAsia" w:ascii="仿宋" w:hAnsi="仿宋" w:eastAsia="仿宋" w:cs="仿宋"/>
          <w:sz w:val="32"/>
          <w:szCs w:val="32"/>
          <w:lang w:val="zh-CN"/>
        </w:rPr>
      </w:pPr>
      <w:r>
        <w:rPr>
          <w:rFonts w:hint="eastAsia" w:ascii="楷体" w:hAnsi="楷体" w:eastAsia="楷体" w:cs="楷体"/>
          <w:b w:val="0"/>
          <w:bCs/>
          <w:color w:val="000000"/>
          <w:sz w:val="32"/>
          <w:szCs w:val="32"/>
          <w:lang w:val="zh-CN"/>
        </w:rPr>
        <w:t>（一）存在的问题。</w:t>
      </w:r>
      <w:r>
        <w:rPr>
          <w:rFonts w:hint="eastAsia" w:ascii="仿宋_GB2312" w:hAnsi="仿宋_GB2312" w:eastAsia="仿宋_GB2312" w:cs="仿宋_GB2312"/>
          <w:sz w:val="32"/>
          <w:szCs w:val="32"/>
          <w:lang w:val="en-US" w:eastAsia="zh-CN"/>
        </w:rPr>
        <w:t>目前，全市七个县区仅我县网格员无工作补助，其他六个县区网格员也是村社区干部兼任，社区网格员工作补助标准最低400元/月，村网格员工作补助标准最低200元/月。2019年以前，我县网格员工作补助按照城市社区200元/月、村100元/月的标准纳入财政预算，每年给予保障并兑现到每名网格员。2019年，因本级财政困难，取消了网格员工作补助预算，全县网格员对此反映强烈，工作主动性和积极受到影响，工作质效明显降低</w:t>
      </w:r>
      <w:r>
        <w:rPr>
          <w:rFonts w:hint="eastAsia" w:ascii="仿宋_GB2312" w:eastAsia="仿宋_GB2312"/>
          <w:sz w:val="32"/>
          <w:szCs w:val="32"/>
          <w:lang w:val="en-US" w:eastAsia="zh-CN"/>
        </w:rPr>
        <w:t>。</w:t>
      </w:r>
    </w:p>
    <w:p>
      <w:pPr>
        <w:pageBreakBefore w:val="0"/>
        <w:kinsoku/>
        <w:wordWrap/>
        <w:overflowPunct/>
        <w:topLinePunct w:val="0"/>
        <w:bidi w:val="0"/>
        <w:spacing w:line="556" w:lineRule="exact"/>
        <w:ind w:left="0" w:firstLine="640" w:firstLineChars="200"/>
        <w:textAlignment w:val="auto"/>
        <w:rPr>
          <w:lang w:val="zh-CN"/>
        </w:rPr>
      </w:pPr>
      <w:r>
        <w:rPr>
          <w:rFonts w:hint="eastAsia" w:ascii="楷体" w:hAnsi="楷体" w:eastAsia="楷体" w:cs="楷体"/>
          <w:b w:val="0"/>
          <w:bCs/>
          <w:color w:val="000000"/>
          <w:sz w:val="32"/>
          <w:szCs w:val="32"/>
          <w:lang w:val="zh-CN"/>
        </w:rPr>
        <w:t>（二）相关建议。</w:t>
      </w:r>
      <w:r>
        <w:rPr>
          <w:rFonts w:hint="eastAsia" w:ascii="仿宋_GB2312" w:hAnsi="仿宋_GB2312" w:eastAsia="仿宋_GB2312" w:cs="仿宋_GB2312"/>
          <w:sz w:val="32"/>
          <w:szCs w:val="32"/>
          <w:lang w:val="en-US" w:eastAsia="zh-CN"/>
        </w:rPr>
        <w:t>恢复网格员工作补助并纳入财政预算</w:t>
      </w:r>
      <w:r>
        <w:rPr>
          <w:rFonts w:hint="eastAsia" w:ascii="仿宋" w:hAnsi="仿宋" w:eastAsia="仿宋" w:cs="仿宋"/>
          <w:sz w:val="32"/>
          <w:szCs w:val="32"/>
          <w:lang w:val="zh-CN"/>
        </w:rPr>
        <w:t>。</w:t>
      </w:r>
    </w:p>
    <w:p>
      <w:pPr>
        <w:pStyle w:val="7"/>
        <w:pageBreakBefore w:val="0"/>
        <w:wordWrap/>
        <w:overflowPunct/>
        <w:bidi w:val="0"/>
        <w:spacing w:beforeLines="0" w:line="560" w:lineRule="exact"/>
        <w:ind w:left="0" w:leftChars="0" w:right="0" w:firstLine="600" w:firstLineChars="200"/>
        <w:rPr>
          <w:lang w:val="zh-CN"/>
        </w:rPr>
      </w:pPr>
    </w:p>
    <w:p>
      <w:pPr>
        <w:pStyle w:val="7"/>
        <w:pageBreakBefore w:val="0"/>
        <w:wordWrap/>
        <w:overflowPunct/>
        <w:bidi w:val="0"/>
        <w:spacing w:beforeLines="0" w:line="560" w:lineRule="exact"/>
        <w:ind w:left="0" w:leftChars="0" w:right="0" w:firstLine="600" w:firstLineChars="200"/>
        <w:rPr>
          <w:lang w:val="zh-CN"/>
        </w:rPr>
      </w:pPr>
    </w:p>
    <w:p>
      <w:pPr>
        <w:pStyle w:val="7"/>
        <w:pageBreakBefore w:val="0"/>
        <w:wordWrap/>
        <w:overflowPunct/>
        <w:bidi w:val="0"/>
        <w:spacing w:beforeLines="0" w:line="560" w:lineRule="exact"/>
        <w:ind w:left="0" w:leftChars="0" w:right="0" w:firstLine="600" w:firstLineChars="200"/>
        <w:rPr>
          <w:lang w:val="zh-CN"/>
        </w:rPr>
      </w:pPr>
    </w:p>
    <w:p>
      <w:pPr>
        <w:pStyle w:val="7"/>
        <w:pageBreakBefore w:val="0"/>
        <w:wordWrap/>
        <w:overflowPunct/>
        <w:bidi w:val="0"/>
        <w:spacing w:beforeLines="0" w:line="560" w:lineRule="exact"/>
        <w:ind w:left="0" w:leftChars="0" w:right="0" w:firstLine="600" w:firstLineChars="200"/>
        <w:rPr>
          <w:lang w:val="zh-CN"/>
        </w:rPr>
      </w:pPr>
    </w:p>
    <w:p>
      <w:pPr>
        <w:pStyle w:val="7"/>
        <w:pageBreakBefore w:val="0"/>
        <w:wordWrap/>
        <w:overflowPunct/>
        <w:bidi w:val="0"/>
        <w:spacing w:beforeLines="0" w:line="560" w:lineRule="exact"/>
        <w:ind w:left="0" w:leftChars="0" w:right="0" w:firstLine="600" w:firstLineChars="200"/>
        <w:rPr>
          <w:lang w:val="zh-CN"/>
        </w:rPr>
      </w:pPr>
    </w:p>
    <w:p>
      <w:pPr>
        <w:pStyle w:val="7"/>
        <w:pageBreakBefore w:val="0"/>
        <w:wordWrap/>
        <w:overflowPunct/>
        <w:bidi w:val="0"/>
        <w:spacing w:beforeLines="0" w:line="560" w:lineRule="exact"/>
        <w:ind w:left="0" w:leftChars="0" w:right="0" w:firstLine="600" w:firstLineChars="200"/>
        <w:rPr>
          <w:lang w:val="zh-CN"/>
        </w:rPr>
      </w:pPr>
    </w:p>
    <w:p>
      <w:pPr>
        <w:pStyle w:val="7"/>
        <w:pageBreakBefore w:val="0"/>
        <w:wordWrap/>
        <w:overflowPunct/>
        <w:bidi w:val="0"/>
        <w:spacing w:beforeLines="0" w:line="560" w:lineRule="exact"/>
        <w:ind w:left="0" w:leftChars="0" w:right="0" w:firstLine="600" w:firstLineChars="200"/>
        <w:rPr>
          <w:lang w:val="zh-CN"/>
        </w:rPr>
      </w:pPr>
    </w:p>
    <w:p>
      <w:pPr>
        <w:pStyle w:val="7"/>
        <w:pageBreakBefore w:val="0"/>
        <w:wordWrap/>
        <w:overflowPunct/>
        <w:bidi w:val="0"/>
        <w:spacing w:beforeLines="0" w:line="560" w:lineRule="exact"/>
        <w:ind w:left="0" w:leftChars="0" w:right="0" w:firstLine="600" w:firstLineChars="200"/>
        <w:rPr>
          <w:lang w:val="zh-CN"/>
        </w:rPr>
      </w:pPr>
    </w:p>
    <w:p>
      <w:pPr>
        <w:pStyle w:val="7"/>
        <w:pageBreakBefore w:val="0"/>
        <w:wordWrap/>
        <w:overflowPunct/>
        <w:bidi w:val="0"/>
        <w:spacing w:beforeLines="0" w:line="560" w:lineRule="exact"/>
        <w:ind w:left="0" w:leftChars="0" w:right="0" w:firstLine="600" w:firstLineChars="200"/>
        <w:rPr>
          <w:lang w:val="zh-CN"/>
        </w:rPr>
      </w:pPr>
    </w:p>
    <w:tbl>
      <w:tblPr>
        <w:tblStyle w:val="20"/>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715"/>
        <w:gridCol w:w="1403"/>
        <w:gridCol w:w="1635"/>
        <w:gridCol w:w="1189"/>
        <w:gridCol w:w="1224"/>
        <w:gridCol w:w="2409"/>
        <w:gridCol w:w="236"/>
      </w:tblGrid>
      <w:tr>
        <w:tblPrEx>
          <w:tblLayout w:type="fixed"/>
          <w:tblCellMar>
            <w:top w:w="0" w:type="dxa"/>
            <w:left w:w="108" w:type="dxa"/>
            <w:bottom w:w="0" w:type="dxa"/>
            <w:right w:w="108" w:type="dxa"/>
          </w:tblCellMar>
        </w:tblPrEx>
        <w:trPr>
          <w:trHeight w:val="675" w:hRule="atLeast"/>
        </w:trPr>
        <w:tc>
          <w:tcPr>
            <w:tcW w:w="9575" w:type="dxa"/>
            <w:gridSpan w:val="6"/>
            <w:tcBorders>
              <w:top w:val="nil"/>
              <w:left w:val="nil"/>
              <w:bottom w:val="nil"/>
              <w:right w:val="nil"/>
            </w:tcBorders>
            <w:shd w:val="clear" w:color="auto" w:fill="auto"/>
            <w:vAlign w:val="center"/>
          </w:tcPr>
          <w:p>
            <w:pPr>
              <w:pageBreakBefore w:val="0"/>
              <w:widowControl/>
              <w:wordWrap/>
              <w:overflowPunct/>
              <w:bidi w:val="0"/>
              <w:spacing w:line="560" w:lineRule="exact"/>
              <w:ind w:right="0"/>
              <w:textAlignment w:val="center"/>
              <w:rPr>
                <w:rFonts w:ascii="宋体" w:hAnsi="宋体" w:cs="宋体"/>
                <w:b/>
                <w:sz w:val="32"/>
                <w:szCs w:val="32"/>
              </w:rPr>
            </w:pPr>
            <w:r>
              <w:rPr>
                <w:rFonts w:hint="eastAsia" w:ascii="宋体" w:hAnsi="宋体" w:cs="宋体"/>
                <w:b/>
                <w:sz w:val="32"/>
                <w:szCs w:val="32"/>
              </w:rPr>
              <w:t>202</w:t>
            </w:r>
            <w:r>
              <w:rPr>
                <w:rFonts w:hint="eastAsia" w:ascii="宋体" w:hAnsi="宋体" w:cs="宋体"/>
                <w:b/>
                <w:sz w:val="32"/>
                <w:szCs w:val="32"/>
                <w:lang w:val="en-US" w:eastAsia="zh-CN"/>
              </w:rPr>
              <w:t>2</w:t>
            </w:r>
            <w:r>
              <w:rPr>
                <w:rFonts w:hint="eastAsia" w:ascii="宋体" w:hAnsi="宋体" w:cs="宋体"/>
                <w:b/>
                <w:sz w:val="32"/>
                <w:szCs w:val="32"/>
              </w:rPr>
              <w:t>年100万元以上（含）特定目标类部门预算项目绩效目标自评</w:t>
            </w:r>
          </w:p>
        </w:tc>
        <w:tc>
          <w:tcPr>
            <w:tcW w:w="236" w:type="dxa"/>
            <w:tcBorders>
              <w:top w:val="nil"/>
              <w:left w:val="nil"/>
              <w:bottom w:val="nil"/>
              <w:right w:val="nil"/>
            </w:tcBorders>
            <w:shd w:val="clear" w:color="auto" w:fill="auto"/>
            <w:vAlign w:val="center"/>
          </w:tcPr>
          <w:p>
            <w:pPr>
              <w:pageBreakBefore w:val="0"/>
              <w:widowControl/>
              <w:wordWrap/>
              <w:overflowPunct/>
              <w:bidi w:val="0"/>
              <w:spacing w:line="560" w:lineRule="exact"/>
              <w:ind w:left="0" w:leftChars="0" w:right="0" w:firstLine="643" w:firstLineChars="200"/>
              <w:jc w:val="center"/>
              <w:textAlignment w:val="center"/>
              <w:rPr>
                <w:rFonts w:ascii="宋体" w:hAnsi="宋体" w:cs="宋体"/>
                <w:b/>
                <w:kern w:val="0"/>
                <w:sz w:val="32"/>
                <w:szCs w:val="32"/>
              </w:rPr>
            </w:pPr>
          </w:p>
        </w:tc>
      </w:tr>
      <w:tr>
        <w:tblPrEx>
          <w:tblLayout w:type="fixed"/>
          <w:tblCellMar>
            <w:top w:w="0" w:type="dxa"/>
            <w:left w:w="108" w:type="dxa"/>
            <w:bottom w:w="0" w:type="dxa"/>
            <w:right w:w="108" w:type="dxa"/>
          </w:tblCellMar>
        </w:tblPrEx>
        <w:trPr>
          <w:gridAfter w:val="1"/>
          <w:wAfter w:w="236" w:type="dxa"/>
          <w:trHeight w:val="254" w:hRule="atLeast"/>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480" w:lineRule="exact"/>
              <w:ind w:left="0" w:leftChars="0" w:right="0" w:firstLine="480" w:firstLineChars="200"/>
              <w:jc w:val="center"/>
              <w:textAlignment w:val="center"/>
              <w:rPr>
                <w:rFonts w:ascii="宋体" w:hAnsi="宋体" w:cs="宋体"/>
                <w:sz w:val="24"/>
              </w:rPr>
            </w:pPr>
            <w:r>
              <w:rPr>
                <w:rFonts w:hint="eastAsia" w:ascii="宋体" w:hAnsi="宋体" w:cs="宋体"/>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480" w:lineRule="exact"/>
              <w:ind w:left="0" w:leftChars="0" w:right="0" w:firstLine="480" w:firstLineChars="200"/>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480" w:lineRule="exact"/>
              <w:ind w:right="0"/>
              <w:jc w:val="both"/>
              <w:textAlignment w:val="center"/>
              <w:rPr>
                <w:rFonts w:ascii="宋体" w:hAnsi="宋体" w:cs="宋体"/>
                <w:sz w:val="24"/>
              </w:rPr>
            </w:pPr>
            <w:r>
              <w:rPr>
                <w:rFonts w:hint="eastAsia" w:ascii="宋体" w:hAnsi="宋体" w:cs="宋体"/>
                <w:kern w:val="0"/>
                <w:sz w:val="24"/>
              </w:rPr>
              <w:t>实施单位</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480" w:lineRule="exact"/>
              <w:ind w:left="0" w:leftChars="0" w:right="0" w:firstLine="480" w:firstLineChars="200"/>
              <w:jc w:val="center"/>
              <w:textAlignment w:val="center"/>
              <w:rPr>
                <w:rFonts w:ascii="宋体" w:hAnsi="宋体" w:cs="宋体"/>
                <w:sz w:val="24"/>
              </w:rPr>
            </w:pPr>
          </w:p>
        </w:tc>
      </w:tr>
      <w:tr>
        <w:tblPrEx>
          <w:tblLayout w:type="fixed"/>
          <w:tblCellMar>
            <w:top w:w="0" w:type="dxa"/>
            <w:left w:w="108" w:type="dxa"/>
            <w:bottom w:w="0" w:type="dxa"/>
            <w:right w:w="108" w:type="dxa"/>
          </w:tblCellMar>
        </w:tblPrEx>
        <w:trPr>
          <w:gridAfter w:val="1"/>
          <w:wAfter w:w="236" w:type="dxa"/>
          <w:trHeight w:val="341" w:hRule="atLeast"/>
        </w:trPr>
        <w:tc>
          <w:tcPr>
            <w:tcW w:w="31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480" w:lineRule="exact"/>
              <w:ind w:right="0"/>
              <w:jc w:val="both"/>
              <w:textAlignment w:val="center"/>
              <w:rPr>
                <w:rFonts w:ascii="宋体" w:hAnsi="宋体" w:cs="宋体"/>
                <w:sz w:val="24"/>
              </w:rPr>
            </w:pPr>
            <w:r>
              <w:rPr>
                <w:rFonts w:hint="eastAsia" w:ascii="宋体" w:hAnsi="宋体" w:cs="宋体"/>
                <w:kern w:val="0"/>
                <w:sz w:val="24"/>
              </w:rPr>
              <w:t>项目预算执行情况（万元）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480" w:lineRule="exact"/>
              <w:ind w:left="0" w:leftChars="0" w:right="0" w:firstLine="480" w:firstLineChars="200"/>
              <w:jc w:val="left"/>
              <w:textAlignment w:val="center"/>
              <w:rPr>
                <w:rFonts w:ascii="宋体" w:hAnsi="宋体" w:cs="宋体"/>
                <w:sz w:val="24"/>
              </w:rPr>
            </w:pPr>
            <w:r>
              <w:rPr>
                <w:rFonts w:hint="eastAsia" w:ascii="宋体" w:hAnsi="宋体" w:cs="宋体"/>
                <w:kern w:val="0"/>
                <w:sz w:val="24"/>
              </w:rPr>
              <w:t>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480" w:lineRule="exact"/>
              <w:ind w:left="0" w:leftChars="0" w:right="0" w:firstLine="480" w:firstLineChars="200"/>
              <w:jc w:val="left"/>
              <w:textAlignment w:val="center"/>
              <w:rPr>
                <w:rFonts w:hint="eastAsia" w:ascii="宋体" w:hAnsi="宋体" w:eastAsia="宋体" w:cs="宋体"/>
                <w:sz w:val="24"/>
                <w:lang w:eastAsia="zh-CN"/>
              </w:rPr>
            </w:pPr>
            <w:r>
              <w:rPr>
                <w:rFonts w:hint="eastAsia" w:ascii="宋体" w:hAnsi="宋体" w:cs="宋体"/>
                <w:sz w:val="24"/>
                <w:lang w:eastAsia="zh-CN"/>
              </w:rPr>
              <w:t>无</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480" w:lineRule="exact"/>
              <w:ind w:right="0"/>
              <w:jc w:val="left"/>
              <w:textAlignment w:val="center"/>
              <w:rPr>
                <w:rFonts w:ascii="宋体" w:hAnsi="宋体" w:cs="宋体"/>
                <w:sz w:val="24"/>
              </w:rPr>
            </w:pPr>
            <w:r>
              <w:rPr>
                <w:rFonts w:hint="eastAsia" w:ascii="宋体" w:hAnsi="宋体" w:cs="宋体"/>
                <w:kern w:val="0"/>
                <w:sz w:val="24"/>
              </w:rPr>
              <w:t>执行数：</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480" w:lineRule="exact"/>
              <w:ind w:left="0" w:leftChars="0" w:right="0" w:firstLine="480" w:firstLineChars="200"/>
              <w:jc w:val="both"/>
              <w:textAlignment w:val="center"/>
              <w:rPr>
                <w:rFonts w:hint="eastAsia" w:ascii="宋体" w:hAnsi="宋体" w:eastAsia="宋体" w:cs="宋体"/>
                <w:sz w:val="24"/>
                <w:lang w:eastAsia="zh-CN"/>
              </w:rPr>
            </w:pPr>
            <w:r>
              <w:rPr>
                <w:rFonts w:hint="eastAsia" w:ascii="宋体" w:hAnsi="宋体" w:cs="宋体"/>
                <w:sz w:val="24"/>
                <w:lang w:eastAsia="zh-CN"/>
              </w:rPr>
              <w:t>无</w:t>
            </w:r>
          </w:p>
        </w:tc>
      </w:tr>
      <w:tr>
        <w:tblPrEx>
          <w:tblLayout w:type="fixed"/>
          <w:tblCellMar>
            <w:top w:w="0" w:type="dxa"/>
            <w:left w:w="108" w:type="dxa"/>
            <w:bottom w:w="0" w:type="dxa"/>
            <w:right w:w="108" w:type="dxa"/>
          </w:tblCellMar>
        </w:tblPrEx>
        <w:trPr>
          <w:gridAfter w:val="1"/>
          <w:wAfter w:w="236" w:type="dxa"/>
          <w:trHeight w:val="870"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480" w:lineRule="exact"/>
              <w:ind w:left="0" w:leftChars="0" w:right="0" w:firstLine="480" w:firstLineChars="200"/>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480" w:lineRule="exact"/>
              <w:ind w:right="0"/>
              <w:jc w:val="left"/>
              <w:textAlignment w:val="center"/>
              <w:rPr>
                <w:rFonts w:ascii="宋体" w:hAnsi="宋体" w:cs="宋体"/>
                <w:kern w:val="0"/>
                <w:sz w:val="24"/>
              </w:rPr>
            </w:pPr>
            <w:r>
              <w:rPr>
                <w:rFonts w:hint="eastAsia" w:ascii="宋体" w:hAnsi="宋体" w:cs="宋体"/>
                <w:kern w:val="0"/>
                <w:sz w:val="24"/>
              </w:rPr>
              <w:t>其中：</w:t>
            </w:r>
          </w:p>
          <w:p>
            <w:pPr>
              <w:keepNext w:val="0"/>
              <w:keepLines w:val="0"/>
              <w:pageBreakBefore w:val="0"/>
              <w:widowControl/>
              <w:kinsoku/>
              <w:wordWrap/>
              <w:overflowPunct/>
              <w:topLinePunct w:val="0"/>
              <w:autoSpaceDE/>
              <w:autoSpaceDN/>
              <w:bidi w:val="0"/>
              <w:spacing w:line="480" w:lineRule="exact"/>
              <w:ind w:right="0"/>
              <w:jc w:val="left"/>
              <w:textAlignment w:val="center"/>
              <w:rPr>
                <w:rFonts w:ascii="宋体" w:hAnsi="宋体" w:cs="宋体"/>
                <w:sz w:val="24"/>
              </w:rPr>
            </w:pPr>
            <w:r>
              <w:rPr>
                <w:rFonts w:hint="eastAsia" w:ascii="宋体" w:hAnsi="宋体" w:cs="宋体"/>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480" w:lineRule="exact"/>
              <w:ind w:left="0" w:leftChars="0" w:right="0" w:firstLine="480" w:firstLineChars="200"/>
              <w:jc w:val="left"/>
              <w:textAlignment w:val="center"/>
              <w:rPr>
                <w:rFonts w:hint="eastAsia" w:ascii="宋体" w:hAnsi="宋体" w:eastAsia="宋体" w:cs="宋体"/>
                <w:sz w:val="24"/>
                <w:lang w:eastAsia="zh-CN"/>
              </w:rPr>
            </w:pPr>
            <w:r>
              <w:rPr>
                <w:rFonts w:hint="eastAsia" w:ascii="宋体" w:hAnsi="宋体" w:cs="宋体"/>
                <w:sz w:val="24"/>
                <w:lang w:eastAsia="zh-CN"/>
              </w:rPr>
              <w:t>无</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480" w:lineRule="exact"/>
              <w:ind w:right="0"/>
              <w:jc w:val="left"/>
              <w:textAlignment w:val="center"/>
              <w:rPr>
                <w:rFonts w:ascii="宋体" w:hAnsi="宋体" w:cs="宋体"/>
                <w:kern w:val="0"/>
                <w:sz w:val="24"/>
              </w:rPr>
            </w:pPr>
            <w:r>
              <w:rPr>
                <w:rFonts w:hint="eastAsia" w:ascii="宋体" w:hAnsi="宋体" w:cs="宋体"/>
                <w:kern w:val="0"/>
                <w:sz w:val="24"/>
              </w:rPr>
              <w:t>其中：</w:t>
            </w:r>
          </w:p>
          <w:p>
            <w:pPr>
              <w:keepNext w:val="0"/>
              <w:keepLines w:val="0"/>
              <w:pageBreakBefore w:val="0"/>
              <w:widowControl/>
              <w:kinsoku/>
              <w:wordWrap/>
              <w:overflowPunct/>
              <w:topLinePunct w:val="0"/>
              <w:autoSpaceDE/>
              <w:autoSpaceDN/>
              <w:bidi w:val="0"/>
              <w:spacing w:line="480" w:lineRule="exact"/>
              <w:ind w:right="0"/>
              <w:jc w:val="left"/>
              <w:textAlignment w:val="center"/>
              <w:rPr>
                <w:rFonts w:ascii="宋体" w:hAnsi="宋体" w:cs="宋体"/>
                <w:sz w:val="24"/>
              </w:rPr>
            </w:pPr>
            <w:r>
              <w:rPr>
                <w:rFonts w:hint="eastAsia" w:ascii="宋体" w:hAnsi="宋体" w:cs="宋体"/>
                <w:kern w:val="0"/>
                <w:sz w:val="24"/>
              </w:rPr>
              <w:t>财政拨款</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480" w:lineRule="exact"/>
              <w:ind w:left="0" w:leftChars="0" w:right="0" w:firstLine="480" w:firstLineChars="200"/>
              <w:textAlignment w:val="center"/>
              <w:rPr>
                <w:rFonts w:hint="eastAsia" w:ascii="宋体" w:hAnsi="宋体" w:eastAsia="宋体" w:cs="宋体"/>
                <w:sz w:val="24"/>
                <w:lang w:eastAsia="zh-CN"/>
              </w:rPr>
            </w:pPr>
            <w:r>
              <w:rPr>
                <w:rFonts w:hint="eastAsia" w:ascii="宋体" w:hAnsi="宋体" w:cs="宋体"/>
                <w:sz w:val="24"/>
                <w:lang w:eastAsia="zh-CN"/>
              </w:rPr>
              <w:t>无</w:t>
            </w:r>
          </w:p>
        </w:tc>
      </w:tr>
      <w:tr>
        <w:tblPrEx>
          <w:tblLayout w:type="fixed"/>
          <w:tblCellMar>
            <w:top w:w="0" w:type="dxa"/>
            <w:left w:w="108" w:type="dxa"/>
            <w:bottom w:w="0" w:type="dxa"/>
            <w:right w:w="108" w:type="dxa"/>
          </w:tblCellMar>
        </w:tblPrEx>
        <w:trPr>
          <w:gridAfter w:val="1"/>
          <w:wAfter w:w="236" w:type="dxa"/>
          <w:trHeight w:val="341" w:hRule="atLeast"/>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480" w:lineRule="exact"/>
              <w:ind w:left="0" w:leftChars="0" w:right="0" w:firstLine="480" w:firstLineChars="200"/>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480" w:lineRule="exact"/>
              <w:ind w:right="0"/>
              <w:jc w:val="left"/>
              <w:textAlignment w:val="center"/>
              <w:rPr>
                <w:rFonts w:ascii="宋体" w:hAnsi="宋体" w:cs="宋体"/>
                <w:sz w:val="24"/>
              </w:rPr>
            </w:pPr>
            <w:r>
              <w:rPr>
                <w:rFonts w:hint="eastAsia" w:ascii="宋体" w:hAnsi="宋体" w:cs="宋体"/>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480" w:lineRule="exact"/>
              <w:ind w:left="0" w:leftChars="0" w:right="0" w:firstLine="480" w:firstLineChars="200"/>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480" w:lineRule="exact"/>
              <w:ind w:right="0"/>
              <w:jc w:val="left"/>
              <w:textAlignment w:val="center"/>
              <w:rPr>
                <w:rFonts w:ascii="宋体" w:hAnsi="宋体" w:cs="宋体"/>
                <w:sz w:val="24"/>
              </w:rPr>
            </w:pPr>
            <w:r>
              <w:rPr>
                <w:rFonts w:hint="eastAsia" w:ascii="宋体" w:hAnsi="宋体" w:cs="宋体"/>
                <w:kern w:val="0"/>
                <w:sz w:val="24"/>
              </w:rPr>
              <w:t>其他资金</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480" w:lineRule="exact"/>
              <w:ind w:left="0" w:leftChars="0" w:right="0" w:firstLine="480" w:firstLineChars="200"/>
              <w:jc w:val="center"/>
              <w:textAlignment w:val="center"/>
              <w:rPr>
                <w:rFonts w:ascii="宋体" w:hAnsi="宋体" w:cs="宋体"/>
                <w:sz w:val="24"/>
              </w:rPr>
            </w:pPr>
          </w:p>
        </w:tc>
      </w:tr>
      <w:tr>
        <w:tblPrEx>
          <w:tblLayout w:type="fixed"/>
          <w:tblCellMar>
            <w:top w:w="0" w:type="dxa"/>
            <w:left w:w="108" w:type="dxa"/>
            <w:bottom w:w="0" w:type="dxa"/>
            <w:right w:w="108" w:type="dxa"/>
          </w:tblCellMar>
        </w:tblPrEx>
        <w:trPr>
          <w:gridAfter w:val="1"/>
          <w:wAfter w:w="236" w:type="dxa"/>
          <w:trHeight w:val="217" w:hRule="atLeast"/>
        </w:trPr>
        <w:tc>
          <w:tcPr>
            <w:tcW w:w="17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480" w:lineRule="exact"/>
              <w:ind w:right="0"/>
              <w:jc w:val="both"/>
              <w:textAlignment w:val="center"/>
              <w:rPr>
                <w:rFonts w:ascii="宋体" w:hAnsi="宋体" w:cs="宋体"/>
                <w:sz w:val="24"/>
              </w:rPr>
            </w:pPr>
            <w:r>
              <w:rPr>
                <w:rFonts w:hint="eastAsia" w:ascii="宋体" w:hAnsi="宋体" w:cs="宋体"/>
                <w:kern w:val="0"/>
                <w:sz w:val="24"/>
              </w:rPr>
              <w:t>年度总体目标完成情况</w:t>
            </w:r>
          </w:p>
        </w:tc>
        <w:tc>
          <w:tcPr>
            <w:tcW w:w="422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480" w:lineRule="exact"/>
              <w:ind w:left="0" w:leftChars="0" w:right="0" w:firstLine="480" w:firstLineChars="200"/>
              <w:jc w:val="center"/>
              <w:textAlignment w:val="center"/>
              <w:rPr>
                <w:rFonts w:ascii="宋体" w:hAnsi="宋体" w:cs="宋体"/>
                <w:sz w:val="24"/>
              </w:rPr>
            </w:pPr>
            <w:r>
              <w:rPr>
                <w:rFonts w:hint="eastAsia" w:ascii="宋体" w:hAnsi="宋体" w:cs="宋体"/>
                <w:kern w:val="0"/>
                <w:sz w:val="24"/>
              </w:rPr>
              <w:t>预期目标</w:t>
            </w:r>
          </w:p>
        </w:tc>
        <w:tc>
          <w:tcPr>
            <w:tcW w:w="36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480" w:lineRule="exact"/>
              <w:ind w:left="0" w:leftChars="0" w:right="0" w:firstLine="480" w:firstLineChars="200"/>
              <w:jc w:val="center"/>
              <w:textAlignment w:val="center"/>
              <w:rPr>
                <w:rFonts w:ascii="宋体" w:hAnsi="宋体" w:cs="宋体"/>
                <w:sz w:val="24"/>
              </w:rPr>
            </w:pPr>
            <w:r>
              <w:rPr>
                <w:rFonts w:hint="eastAsia" w:ascii="宋体" w:hAnsi="宋体" w:cs="宋体"/>
                <w:kern w:val="0"/>
                <w:sz w:val="24"/>
              </w:rPr>
              <w:t>目标实际完成情况</w:t>
            </w:r>
          </w:p>
        </w:tc>
      </w:tr>
      <w:tr>
        <w:tblPrEx>
          <w:tblLayout w:type="fixed"/>
          <w:tblCellMar>
            <w:top w:w="0" w:type="dxa"/>
            <w:left w:w="108" w:type="dxa"/>
            <w:bottom w:w="0" w:type="dxa"/>
            <w:right w:w="108" w:type="dxa"/>
          </w:tblCellMar>
        </w:tblPrEx>
        <w:trPr>
          <w:gridAfter w:val="1"/>
          <w:wAfter w:w="236" w:type="dxa"/>
          <w:trHeight w:val="522" w:hRule="atLeast"/>
        </w:trPr>
        <w:tc>
          <w:tcPr>
            <w:tcW w:w="17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480" w:lineRule="exact"/>
              <w:ind w:left="0" w:leftChars="0" w:right="0" w:firstLine="480" w:firstLineChars="200"/>
              <w:jc w:val="center"/>
              <w:rPr>
                <w:rFonts w:ascii="宋体" w:hAnsi="宋体" w:cs="宋体"/>
                <w:sz w:val="24"/>
              </w:rPr>
            </w:pPr>
          </w:p>
        </w:tc>
        <w:tc>
          <w:tcPr>
            <w:tcW w:w="4227" w:type="dxa"/>
            <w:gridSpan w:val="3"/>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spacing w:line="480" w:lineRule="exact"/>
              <w:ind w:left="0" w:leftChars="0" w:right="0" w:firstLine="480" w:firstLineChars="200"/>
              <w:jc w:val="left"/>
              <w:textAlignment w:val="top"/>
              <w:rPr>
                <w:rFonts w:ascii="宋体" w:hAnsi="宋体" w:cs="宋体"/>
                <w:sz w:val="24"/>
              </w:rPr>
            </w:pPr>
          </w:p>
        </w:tc>
        <w:tc>
          <w:tcPr>
            <w:tcW w:w="3633" w:type="dxa"/>
            <w:gridSpan w:val="2"/>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widowControl/>
              <w:kinsoku/>
              <w:wordWrap/>
              <w:overflowPunct/>
              <w:topLinePunct w:val="0"/>
              <w:autoSpaceDE/>
              <w:autoSpaceDN/>
              <w:bidi w:val="0"/>
              <w:spacing w:line="480" w:lineRule="exact"/>
              <w:ind w:left="0" w:leftChars="0" w:right="0" w:firstLine="480" w:firstLineChars="200"/>
              <w:jc w:val="left"/>
              <w:textAlignment w:val="top"/>
              <w:rPr>
                <w:rFonts w:ascii="宋体" w:hAnsi="宋体" w:cs="宋体"/>
                <w:sz w:val="24"/>
              </w:rPr>
            </w:pPr>
          </w:p>
        </w:tc>
      </w:tr>
      <w:tr>
        <w:tblPrEx>
          <w:tblLayout w:type="fixed"/>
          <w:tblCellMar>
            <w:top w:w="0" w:type="dxa"/>
            <w:left w:w="108" w:type="dxa"/>
            <w:bottom w:w="0" w:type="dxa"/>
            <w:right w:w="108" w:type="dxa"/>
          </w:tblCellMar>
        </w:tblPrEx>
        <w:trPr>
          <w:gridAfter w:val="1"/>
          <w:wAfter w:w="236" w:type="dxa"/>
          <w:trHeight w:val="693" w:hRule="atLeast"/>
        </w:trPr>
        <w:tc>
          <w:tcPr>
            <w:tcW w:w="171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480" w:lineRule="exact"/>
              <w:ind w:right="0"/>
              <w:jc w:val="both"/>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年度绩效指标完成情况</w:t>
            </w:r>
          </w:p>
        </w:tc>
        <w:tc>
          <w:tcPr>
            <w:tcW w:w="140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480" w:lineRule="exact"/>
              <w:ind w:right="0"/>
              <w:jc w:val="both"/>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一级指标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480" w:lineRule="exact"/>
              <w:ind w:right="0"/>
              <w:jc w:val="both"/>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二级指标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480" w:lineRule="exact"/>
              <w:ind w:right="0"/>
              <w:jc w:val="both"/>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三级指标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480" w:lineRule="exact"/>
              <w:ind w:right="0"/>
              <w:jc w:val="both"/>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预期指标值</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480" w:lineRule="exact"/>
              <w:ind w:right="0"/>
              <w:jc w:val="both"/>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实际完成指标值</w:t>
            </w:r>
          </w:p>
        </w:tc>
      </w:tr>
      <w:tr>
        <w:tblPrEx>
          <w:tblLayout w:type="fixed"/>
          <w:tblCellMar>
            <w:top w:w="0" w:type="dxa"/>
            <w:left w:w="108" w:type="dxa"/>
            <w:bottom w:w="0" w:type="dxa"/>
            <w:right w:w="108" w:type="dxa"/>
          </w:tblCellMar>
        </w:tblPrEx>
        <w:trPr>
          <w:gridAfter w:val="1"/>
          <w:wAfter w:w="236" w:type="dxa"/>
          <w:trHeight w:val="415" w:hRule="atLeast"/>
        </w:trPr>
        <w:tc>
          <w:tcPr>
            <w:tcW w:w="1715"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480" w:lineRule="exact"/>
              <w:ind w:left="0" w:leftChars="0" w:right="0" w:firstLine="560" w:firstLineChars="200"/>
              <w:jc w:val="center"/>
              <w:rPr>
                <w:rFonts w:ascii="仿宋_GB2312" w:hAnsi="仿宋_GB2312" w:eastAsia="仿宋_GB2312" w:cs="仿宋_GB2312"/>
                <w:sz w:val="28"/>
                <w:szCs w:val="28"/>
              </w:rPr>
            </w:pPr>
          </w:p>
        </w:tc>
        <w:tc>
          <w:tcPr>
            <w:tcW w:w="1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480" w:lineRule="exact"/>
              <w:ind w:right="0"/>
              <w:jc w:val="both"/>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完成指标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spacing w:line="480" w:lineRule="exact"/>
              <w:ind w:right="0"/>
              <w:jc w:val="both"/>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spacing w:line="480" w:lineRule="exact"/>
              <w:ind w:left="0" w:leftChars="0" w:right="0" w:firstLine="560" w:firstLineChars="200"/>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spacing w:line="480" w:lineRule="exact"/>
              <w:ind w:left="0" w:leftChars="0" w:right="0" w:firstLine="560" w:firstLineChars="200"/>
              <w:jc w:val="center"/>
              <w:textAlignment w:val="bottom"/>
              <w:rPr>
                <w:rFonts w:ascii="仿宋_GB2312" w:hAnsi="仿宋_GB2312" w:eastAsia="仿宋_GB2312" w:cs="仿宋_GB2312"/>
                <w:sz w:val="28"/>
                <w:szCs w:val="28"/>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spacing w:line="480" w:lineRule="exact"/>
              <w:ind w:left="0" w:leftChars="0" w:right="0" w:firstLine="560" w:firstLineChars="200"/>
              <w:jc w:val="center"/>
              <w:textAlignment w:val="bottom"/>
              <w:rPr>
                <w:rFonts w:ascii="仿宋_GB2312" w:hAnsi="仿宋_GB2312" w:eastAsia="仿宋_GB2312" w:cs="仿宋_GB2312"/>
                <w:sz w:val="28"/>
                <w:szCs w:val="28"/>
              </w:rPr>
            </w:pPr>
          </w:p>
        </w:tc>
      </w:tr>
      <w:tr>
        <w:tblPrEx>
          <w:tblLayout w:type="fixed"/>
          <w:tblCellMar>
            <w:top w:w="0" w:type="dxa"/>
            <w:left w:w="108" w:type="dxa"/>
            <w:bottom w:w="0" w:type="dxa"/>
            <w:right w:w="108" w:type="dxa"/>
          </w:tblCellMar>
        </w:tblPrEx>
        <w:trPr>
          <w:gridAfter w:val="1"/>
          <w:wAfter w:w="236" w:type="dxa"/>
          <w:trHeight w:val="415" w:hRule="atLeast"/>
        </w:trPr>
        <w:tc>
          <w:tcPr>
            <w:tcW w:w="1715"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480" w:lineRule="exact"/>
              <w:ind w:left="0" w:leftChars="0" w:right="0" w:firstLine="560" w:firstLineChars="200"/>
              <w:jc w:val="center"/>
              <w:rPr>
                <w:rFonts w:ascii="仿宋_GB2312" w:hAnsi="仿宋_GB2312" w:eastAsia="仿宋_GB2312" w:cs="仿宋_GB2312"/>
                <w:sz w:val="28"/>
                <w:szCs w:val="28"/>
              </w:rPr>
            </w:pPr>
          </w:p>
        </w:tc>
        <w:tc>
          <w:tcPr>
            <w:tcW w:w="1403"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spacing w:line="480" w:lineRule="exact"/>
              <w:ind w:left="0" w:leftChars="0" w:right="0" w:firstLine="560" w:firstLineChars="200"/>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spacing w:line="480" w:lineRule="exact"/>
              <w:ind w:right="0"/>
              <w:jc w:val="both"/>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spacing w:line="480" w:lineRule="exact"/>
              <w:ind w:left="0" w:leftChars="0" w:right="0" w:firstLine="560" w:firstLineChars="200"/>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spacing w:line="480" w:lineRule="exact"/>
              <w:ind w:left="0" w:leftChars="0" w:right="0" w:firstLine="560" w:firstLineChars="200"/>
              <w:jc w:val="center"/>
              <w:textAlignment w:val="bottom"/>
              <w:rPr>
                <w:rFonts w:ascii="仿宋_GB2312" w:hAnsi="仿宋_GB2312" w:eastAsia="仿宋_GB2312" w:cs="仿宋_GB2312"/>
                <w:sz w:val="28"/>
                <w:szCs w:val="28"/>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spacing w:line="480" w:lineRule="exact"/>
              <w:ind w:left="0" w:leftChars="0" w:right="0" w:firstLine="560" w:firstLineChars="200"/>
              <w:jc w:val="center"/>
              <w:textAlignment w:val="bottom"/>
              <w:rPr>
                <w:rFonts w:ascii="仿宋_GB2312" w:hAnsi="仿宋_GB2312" w:eastAsia="仿宋_GB2312" w:cs="仿宋_GB2312"/>
                <w:sz w:val="28"/>
                <w:szCs w:val="28"/>
              </w:rPr>
            </w:pPr>
          </w:p>
        </w:tc>
      </w:tr>
      <w:tr>
        <w:tblPrEx>
          <w:tblLayout w:type="fixed"/>
          <w:tblCellMar>
            <w:top w:w="0" w:type="dxa"/>
            <w:left w:w="108" w:type="dxa"/>
            <w:bottom w:w="0" w:type="dxa"/>
            <w:right w:w="108" w:type="dxa"/>
          </w:tblCellMar>
        </w:tblPrEx>
        <w:trPr>
          <w:gridAfter w:val="1"/>
          <w:wAfter w:w="236" w:type="dxa"/>
          <w:trHeight w:val="415" w:hRule="atLeast"/>
        </w:trPr>
        <w:tc>
          <w:tcPr>
            <w:tcW w:w="1715"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480" w:lineRule="exact"/>
              <w:ind w:left="0" w:leftChars="0" w:right="0" w:firstLine="560" w:firstLineChars="200"/>
              <w:jc w:val="center"/>
              <w:rPr>
                <w:rFonts w:ascii="仿宋_GB2312" w:hAnsi="仿宋_GB2312" w:eastAsia="仿宋_GB2312" w:cs="仿宋_GB2312"/>
                <w:sz w:val="28"/>
                <w:szCs w:val="28"/>
              </w:rPr>
            </w:pPr>
          </w:p>
        </w:tc>
        <w:tc>
          <w:tcPr>
            <w:tcW w:w="1403"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spacing w:line="480" w:lineRule="exact"/>
              <w:ind w:left="0" w:leftChars="0" w:right="0" w:firstLine="560" w:firstLineChars="200"/>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spacing w:line="480" w:lineRule="exact"/>
              <w:ind w:right="0"/>
              <w:jc w:val="both"/>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spacing w:line="480" w:lineRule="exact"/>
              <w:ind w:left="0" w:leftChars="0" w:right="0" w:firstLine="560" w:firstLineChars="200"/>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spacing w:line="480" w:lineRule="exact"/>
              <w:ind w:left="0" w:leftChars="0" w:right="0" w:firstLine="560" w:firstLineChars="200"/>
              <w:jc w:val="center"/>
              <w:textAlignment w:val="bottom"/>
              <w:rPr>
                <w:rFonts w:ascii="仿宋_GB2312" w:hAnsi="仿宋_GB2312" w:eastAsia="仿宋_GB2312" w:cs="仿宋_GB2312"/>
                <w:sz w:val="28"/>
                <w:szCs w:val="28"/>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spacing w:line="480" w:lineRule="exact"/>
              <w:ind w:left="0" w:leftChars="0" w:right="0" w:firstLine="560" w:firstLineChars="200"/>
              <w:jc w:val="center"/>
              <w:textAlignment w:val="bottom"/>
              <w:rPr>
                <w:rFonts w:ascii="仿宋_GB2312" w:hAnsi="仿宋_GB2312" w:eastAsia="仿宋_GB2312" w:cs="仿宋_GB2312"/>
                <w:sz w:val="28"/>
                <w:szCs w:val="28"/>
              </w:rPr>
            </w:pPr>
          </w:p>
        </w:tc>
      </w:tr>
      <w:tr>
        <w:tblPrEx>
          <w:tblLayout w:type="fixed"/>
          <w:tblCellMar>
            <w:top w:w="0" w:type="dxa"/>
            <w:left w:w="108" w:type="dxa"/>
            <w:bottom w:w="0" w:type="dxa"/>
            <w:right w:w="108" w:type="dxa"/>
          </w:tblCellMar>
        </w:tblPrEx>
        <w:trPr>
          <w:gridAfter w:val="1"/>
          <w:wAfter w:w="236" w:type="dxa"/>
          <w:trHeight w:val="480" w:hRule="atLeast"/>
        </w:trPr>
        <w:tc>
          <w:tcPr>
            <w:tcW w:w="1715"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480" w:lineRule="exact"/>
              <w:ind w:left="0" w:leftChars="0" w:right="0" w:firstLine="560" w:firstLineChars="200"/>
              <w:jc w:val="center"/>
              <w:rPr>
                <w:rFonts w:ascii="仿宋_GB2312" w:hAnsi="仿宋_GB2312" w:eastAsia="仿宋_GB2312" w:cs="仿宋_GB2312"/>
                <w:sz w:val="28"/>
                <w:szCs w:val="28"/>
              </w:rPr>
            </w:pPr>
          </w:p>
        </w:tc>
        <w:tc>
          <w:tcPr>
            <w:tcW w:w="1403"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kinsoku/>
              <w:wordWrap/>
              <w:overflowPunct/>
              <w:topLinePunct w:val="0"/>
              <w:autoSpaceDE/>
              <w:autoSpaceDN/>
              <w:bidi w:val="0"/>
              <w:spacing w:line="480" w:lineRule="exact"/>
              <w:ind w:left="0" w:leftChars="0" w:right="0" w:firstLine="560" w:firstLineChars="200"/>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spacing w:line="480" w:lineRule="exact"/>
              <w:ind w:right="0"/>
              <w:jc w:val="both"/>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spacing w:line="480" w:lineRule="exact"/>
              <w:ind w:left="0" w:leftChars="0" w:right="0" w:firstLine="560" w:firstLineChars="200"/>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spacing w:line="480" w:lineRule="exact"/>
              <w:ind w:left="0" w:leftChars="0" w:right="0" w:firstLine="560" w:firstLineChars="200"/>
              <w:jc w:val="center"/>
              <w:textAlignment w:val="bottom"/>
              <w:rPr>
                <w:rFonts w:ascii="仿宋_GB2312" w:hAnsi="仿宋_GB2312" w:eastAsia="仿宋_GB2312" w:cs="仿宋_GB2312"/>
                <w:sz w:val="28"/>
                <w:szCs w:val="28"/>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spacing w:line="480" w:lineRule="exact"/>
              <w:ind w:left="0" w:leftChars="0" w:right="0" w:firstLine="560" w:firstLineChars="200"/>
              <w:jc w:val="center"/>
              <w:textAlignment w:val="bottom"/>
              <w:rPr>
                <w:rFonts w:ascii="仿宋_GB2312" w:hAnsi="仿宋_GB2312" w:eastAsia="仿宋_GB2312" w:cs="仿宋_GB2312"/>
                <w:sz w:val="28"/>
                <w:szCs w:val="28"/>
              </w:rPr>
            </w:pPr>
          </w:p>
        </w:tc>
      </w:tr>
      <w:tr>
        <w:tblPrEx>
          <w:tblLayout w:type="fixed"/>
          <w:tblCellMar>
            <w:top w:w="0" w:type="dxa"/>
            <w:left w:w="108" w:type="dxa"/>
            <w:bottom w:w="0" w:type="dxa"/>
            <w:right w:w="108" w:type="dxa"/>
          </w:tblCellMar>
        </w:tblPrEx>
        <w:trPr>
          <w:gridAfter w:val="1"/>
          <w:wAfter w:w="236" w:type="dxa"/>
          <w:trHeight w:val="480" w:hRule="atLeast"/>
        </w:trPr>
        <w:tc>
          <w:tcPr>
            <w:tcW w:w="1715"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480" w:lineRule="exact"/>
              <w:ind w:left="0" w:leftChars="0" w:right="0" w:firstLine="560" w:firstLineChars="200"/>
              <w:jc w:val="center"/>
              <w:rPr>
                <w:rFonts w:ascii="仿宋_GB2312" w:hAnsi="仿宋_GB2312" w:eastAsia="仿宋_GB2312" w:cs="仿宋_GB2312"/>
                <w:sz w:val="28"/>
                <w:szCs w:val="28"/>
              </w:rPr>
            </w:pPr>
          </w:p>
        </w:tc>
        <w:tc>
          <w:tcPr>
            <w:tcW w:w="14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20" w:lineRule="exact"/>
              <w:ind w:right="0"/>
              <w:jc w:val="both"/>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效益指标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420" w:lineRule="exact"/>
              <w:ind w:right="0"/>
              <w:jc w:val="both"/>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spacing w:line="480" w:lineRule="exact"/>
              <w:ind w:left="0" w:leftChars="0" w:right="0" w:firstLine="560" w:firstLineChars="200"/>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spacing w:line="480" w:lineRule="exact"/>
              <w:ind w:left="0" w:leftChars="0" w:right="0" w:firstLine="560" w:firstLineChars="200"/>
              <w:jc w:val="center"/>
              <w:textAlignment w:val="bottom"/>
              <w:rPr>
                <w:rFonts w:ascii="仿宋_GB2312" w:hAnsi="仿宋_GB2312" w:eastAsia="仿宋_GB2312" w:cs="仿宋_GB2312"/>
                <w:sz w:val="28"/>
                <w:szCs w:val="28"/>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spacing w:line="480" w:lineRule="exact"/>
              <w:ind w:left="0" w:leftChars="0" w:right="0" w:firstLine="560" w:firstLineChars="200"/>
              <w:jc w:val="center"/>
              <w:textAlignment w:val="bottom"/>
              <w:rPr>
                <w:rFonts w:ascii="仿宋_GB2312" w:hAnsi="仿宋_GB2312" w:eastAsia="仿宋_GB2312" w:cs="仿宋_GB2312"/>
                <w:sz w:val="28"/>
                <w:szCs w:val="28"/>
              </w:rPr>
            </w:pPr>
          </w:p>
        </w:tc>
      </w:tr>
      <w:tr>
        <w:tblPrEx>
          <w:tblLayout w:type="fixed"/>
          <w:tblCellMar>
            <w:top w:w="0" w:type="dxa"/>
            <w:left w:w="108" w:type="dxa"/>
            <w:bottom w:w="0" w:type="dxa"/>
            <w:right w:w="108" w:type="dxa"/>
          </w:tblCellMar>
        </w:tblPrEx>
        <w:trPr>
          <w:gridAfter w:val="1"/>
          <w:wAfter w:w="236" w:type="dxa"/>
          <w:trHeight w:val="480" w:hRule="atLeast"/>
        </w:trPr>
        <w:tc>
          <w:tcPr>
            <w:tcW w:w="1715"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480" w:lineRule="exact"/>
              <w:ind w:left="0" w:leftChars="0" w:right="0" w:firstLine="560" w:firstLineChars="200"/>
              <w:jc w:val="center"/>
              <w:rPr>
                <w:rFonts w:ascii="仿宋_GB2312" w:hAnsi="仿宋_GB2312" w:eastAsia="仿宋_GB2312" w:cs="仿宋_GB2312"/>
                <w:sz w:val="28"/>
                <w:szCs w:val="28"/>
              </w:rPr>
            </w:pPr>
          </w:p>
        </w:tc>
        <w:tc>
          <w:tcPr>
            <w:tcW w:w="1403"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420" w:lineRule="exact"/>
              <w:ind w:left="0" w:leftChars="0" w:right="0" w:firstLine="560" w:firstLineChars="200"/>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420" w:lineRule="exact"/>
              <w:ind w:right="0"/>
              <w:jc w:val="both"/>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spacing w:line="480" w:lineRule="exact"/>
              <w:ind w:left="0" w:leftChars="0" w:right="0" w:firstLine="560" w:firstLineChars="200"/>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spacing w:line="480" w:lineRule="exact"/>
              <w:ind w:left="0" w:leftChars="0" w:right="0" w:firstLine="560" w:firstLineChars="200"/>
              <w:jc w:val="center"/>
              <w:textAlignment w:val="bottom"/>
              <w:rPr>
                <w:rFonts w:ascii="仿宋_GB2312" w:hAnsi="仿宋_GB2312" w:eastAsia="仿宋_GB2312" w:cs="仿宋_GB2312"/>
                <w:sz w:val="28"/>
                <w:szCs w:val="28"/>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spacing w:line="480" w:lineRule="exact"/>
              <w:ind w:left="0" w:leftChars="0" w:right="0" w:firstLine="560" w:firstLineChars="200"/>
              <w:jc w:val="center"/>
              <w:textAlignment w:val="bottom"/>
              <w:rPr>
                <w:rFonts w:ascii="仿宋_GB2312" w:hAnsi="仿宋_GB2312" w:eastAsia="仿宋_GB2312" w:cs="仿宋_GB2312"/>
                <w:sz w:val="28"/>
                <w:szCs w:val="28"/>
              </w:rPr>
            </w:pPr>
          </w:p>
        </w:tc>
      </w:tr>
      <w:tr>
        <w:tblPrEx>
          <w:tblLayout w:type="fixed"/>
          <w:tblCellMar>
            <w:top w:w="0" w:type="dxa"/>
            <w:left w:w="108" w:type="dxa"/>
            <w:bottom w:w="0" w:type="dxa"/>
            <w:right w:w="108" w:type="dxa"/>
          </w:tblCellMar>
        </w:tblPrEx>
        <w:trPr>
          <w:gridAfter w:val="1"/>
          <w:wAfter w:w="236" w:type="dxa"/>
          <w:trHeight w:val="577" w:hRule="atLeast"/>
        </w:trPr>
        <w:tc>
          <w:tcPr>
            <w:tcW w:w="1715"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480" w:lineRule="exact"/>
              <w:ind w:left="0" w:leftChars="0" w:right="0" w:firstLine="560" w:firstLineChars="200"/>
              <w:jc w:val="center"/>
              <w:rPr>
                <w:rFonts w:ascii="仿宋_GB2312" w:hAnsi="仿宋_GB2312" w:eastAsia="仿宋_GB2312" w:cs="仿宋_GB2312"/>
                <w:sz w:val="28"/>
                <w:szCs w:val="28"/>
              </w:rPr>
            </w:pPr>
          </w:p>
        </w:tc>
        <w:tc>
          <w:tcPr>
            <w:tcW w:w="1403"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420" w:lineRule="exact"/>
              <w:ind w:left="0" w:leftChars="0" w:right="0" w:firstLine="560" w:firstLineChars="200"/>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420" w:lineRule="exact"/>
              <w:ind w:right="0"/>
              <w:jc w:val="left"/>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spacing w:line="480" w:lineRule="exact"/>
              <w:ind w:left="0" w:leftChars="0" w:right="0" w:firstLine="560" w:firstLineChars="200"/>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spacing w:line="480" w:lineRule="exact"/>
              <w:ind w:left="0" w:leftChars="0" w:right="0" w:firstLine="560" w:firstLineChars="200"/>
              <w:jc w:val="center"/>
              <w:textAlignment w:val="bottom"/>
              <w:rPr>
                <w:rFonts w:ascii="仿宋_GB2312" w:hAnsi="仿宋_GB2312" w:eastAsia="仿宋_GB2312" w:cs="仿宋_GB2312"/>
                <w:sz w:val="28"/>
                <w:szCs w:val="28"/>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spacing w:line="480" w:lineRule="exact"/>
              <w:ind w:left="0" w:leftChars="0" w:right="0" w:firstLine="560" w:firstLineChars="200"/>
              <w:jc w:val="center"/>
              <w:textAlignment w:val="bottom"/>
              <w:rPr>
                <w:rFonts w:ascii="仿宋_GB2312" w:hAnsi="仿宋_GB2312" w:eastAsia="仿宋_GB2312" w:cs="仿宋_GB2312"/>
                <w:sz w:val="28"/>
                <w:szCs w:val="28"/>
              </w:rPr>
            </w:pPr>
          </w:p>
        </w:tc>
      </w:tr>
      <w:tr>
        <w:tblPrEx>
          <w:tblLayout w:type="fixed"/>
          <w:tblCellMar>
            <w:top w:w="0" w:type="dxa"/>
            <w:left w:w="108" w:type="dxa"/>
            <w:bottom w:w="0" w:type="dxa"/>
            <w:right w:w="108" w:type="dxa"/>
          </w:tblCellMar>
        </w:tblPrEx>
        <w:trPr>
          <w:gridAfter w:val="1"/>
          <w:wAfter w:w="236" w:type="dxa"/>
          <w:trHeight w:val="480" w:hRule="atLeast"/>
        </w:trPr>
        <w:tc>
          <w:tcPr>
            <w:tcW w:w="1715"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480" w:lineRule="exact"/>
              <w:ind w:left="0" w:leftChars="0" w:right="0" w:firstLine="560" w:firstLineChars="200"/>
              <w:jc w:val="center"/>
              <w:rPr>
                <w:rFonts w:ascii="仿宋_GB2312" w:hAnsi="仿宋_GB2312" w:eastAsia="仿宋_GB2312" w:cs="仿宋_GB2312"/>
                <w:sz w:val="28"/>
                <w:szCs w:val="28"/>
              </w:rPr>
            </w:pPr>
          </w:p>
        </w:tc>
        <w:tc>
          <w:tcPr>
            <w:tcW w:w="1403"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420" w:lineRule="exact"/>
              <w:ind w:left="0" w:leftChars="0" w:right="0" w:firstLine="560" w:firstLineChars="200"/>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420" w:lineRule="exact"/>
              <w:ind w:right="0"/>
              <w:jc w:val="both"/>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spacing w:line="480" w:lineRule="exact"/>
              <w:ind w:left="0" w:leftChars="0" w:right="0" w:firstLine="560" w:firstLineChars="200"/>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spacing w:line="480" w:lineRule="exact"/>
              <w:ind w:left="0" w:leftChars="0" w:right="0" w:firstLine="560" w:firstLineChars="200"/>
              <w:jc w:val="center"/>
              <w:textAlignment w:val="bottom"/>
              <w:rPr>
                <w:rFonts w:ascii="仿宋_GB2312" w:hAnsi="仿宋_GB2312" w:eastAsia="仿宋_GB2312" w:cs="仿宋_GB2312"/>
                <w:sz w:val="28"/>
                <w:szCs w:val="28"/>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spacing w:line="480" w:lineRule="exact"/>
              <w:ind w:left="0" w:leftChars="0" w:right="0" w:firstLine="560" w:firstLineChars="200"/>
              <w:jc w:val="center"/>
              <w:textAlignment w:val="bottom"/>
              <w:rPr>
                <w:rFonts w:ascii="仿宋_GB2312" w:hAnsi="仿宋_GB2312" w:eastAsia="仿宋_GB2312" w:cs="仿宋_GB2312"/>
                <w:sz w:val="28"/>
                <w:szCs w:val="28"/>
              </w:rPr>
            </w:pPr>
          </w:p>
        </w:tc>
      </w:tr>
      <w:tr>
        <w:tblPrEx>
          <w:tblLayout w:type="fixed"/>
          <w:tblCellMar>
            <w:top w:w="0" w:type="dxa"/>
            <w:left w:w="108" w:type="dxa"/>
            <w:bottom w:w="0" w:type="dxa"/>
            <w:right w:w="108" w:type="dxa"/>
          </w:tblCellMar>
        </w:tblPrEx>
        <w:trPr>
          <w:gridAfter w:val="1"/>
          <w:wAfter w:w="236" w:type="dxa"/>
          <w:trHeight w:val="530" w:hRule="atLeast"/>
        </w:trPr>
        <w:tc>
          <w:tcPr>
            <w:tcW w:w="171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480" w:lineRule="exact"/>
              <w:ind w:left="0" w:leftChars="0" w:right="0" w:firstLine="560" w:firstLineChars="200"/>
              <w:jc w:val="center"/>
              <w:rPr>
                <w:rFonts w:ascii="仿宋_GB2312" w:hAnsi="仿宋_GB2312" w:eastAsia="仿宋_GB2312" w:cs="仿宋_GB2312"/>
                <w:sz w:val="28"/>
                <w:szCs w:val="28"/>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420" w:lineRule="exact"/>
              <w:ind w:right="0"/>
              <w:jc w:val="both"/>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满意度指标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adjustRightInd/>
              <w:snapToGrid/>
              <w:spacing w:line="420" w:lineRule="exact"/>
              <w:ind w:right="0"/>
              <w:jc w:val="both"/>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rPr>
              <w:t>满意度指标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spacing w:line="480" w:lineRule="exact"/>
              <w:ind w:left="0" w:leftChars="0" w:right="0" w:firstLine="560" w:firstLineChars="200"/>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spacing w:line="480" w:lineRule="exact"/>
              <w:ind w:left="0" w:leftChars="0" w:right="0" w:firstLine="560" w:firstLineChars="200"/>
              <w:jc w:val="center"/>
              <w:textAlignment w:val="bottom"/>
              <w:rPr>
                <w:rFonts w:ascii="仿宋_GB2312" w:hAnsi="仿宋_GB2312" w:eastAsia="仿宋_GB2312" w:cs="仿宋_GB2312"/>
                <w:sz w:val="28"/>
                <w:szCs w:val="28"/>
              </w:rPr>
            </w:pP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pageBreakBefore w:val="0"/>
              <w:widowControl/>
              <w:kinsoku/>
              <w:wordWrap/>
              <w:overflowPunct/>
              <w:topLinePunct w:val="0"/>
              <w:autoSpaceDE/>
              <w:autoSpaceDN/>
              <w:bidi w:val="0"/>
              <w:spacing w:line="480" w:lineRule="exact"/>
              <w:ind w:left="0" w:leftChars="0" w:right="0" w:firstLine="560" w:firstLineChars="200"/>
              <w:jc w:val="center"/>
              <w:textAlignment w:val="bottom"/>
              <w:rPr>
                <w:rFonts w:ascii="仿宋_GB2312" w:hAnsi="仿宋_GB2312" w:eastAsia="仿宋_GB2312" w:cs="仿宋_GB2312"/>
                <w:sz w:val="28"/>
                <w:szCs w:val="28"/>
              </w:rPr>
            </w:pPr>
          </w:p>
        </w:tc>
      </w:tr>
    </w:tbl>
    <w:p>
      <w:pPr>
        <w:keepNext w:val="0"/>
        <w:keepLines w:val="0"/>
        <w:pageBreakBefore w:val="0"/>
        <w:widowControl/>
        <w:kinsoku/>
        <w:wordWrap/>
        <w:overflowPunct/>
        <w:topLinePunct w:val="0"/>
        <w:autoSpaceDE/>
        <w:autoSpaceDN/>
        <w:bidi w:val="0"/>
        <w:adjustRightInd w:val="0"/>
        <w:snapToGrid w:val="0"/>
        <w:spacing w:line="480" w:lineRule="exact"/>
        <w:ind w:right="0"/>
        <w:contextualSpacing/>
        <w:jc w:val="left"/>
        <w:rPr>
          <w:rFonts w:ascii="仿宋_GB2312" w:hAnsi="宋体" w:eastAsia="仿宋_GB2312" w:cs="宋体"/>
          <w:kern w:val="0"/>
          <w:sz w:val="32"/>
          <w:szCs w:val="32"/>
          <w:shd w:val="clear" w:color="auto" w:fill="FFFFFF"/>
          <w:lang w:val="zh-CN"/>
        </w:rPr>
      </w:pPr>
      <w:r>
        <w:rPr>
          <w:rFonts w:hint="eastAsia" w:ascii="仿宋_GB2312" w:hAnsi="宋体" w:eastAsia="仿宋_GB2312" w:cs="宋体"/>
          <w:kern w:val="0"/>
          <w:sz w:val="32"/>
          <w:szCs w:val="32"/>
          <w:shd w:val="clear" w:color="auto" w:fill="FFFFFF"/>
          <w:lang w:val="zh-CN"/>
        </w:rPr>
        <w:t>附表：</w:t>
      </w:r>
    </w:p>
    <w:p>
      <w:pPr>
        <w:pageBreakBefore w:val="0"/>
        <w:widowControl/>
        <w:wordWrap/>
        <w:overflowPunct/>
        <w:bidi w:val="0"/>
        <w:spacing w:line="560" w:lineRule="exact"/>
        <w:ind w:left="0" w:leftChars="0" w:right="0" w:firstLine="880" w:firstLineChars="200"/>
        <w:jc w:val="left"/>
        <w:rPr>
          <w:rStyle w:val="29"/>
          <w:rFonts w:ascii="黑体" w:hAnsi="黑体" w:eastAsia="黑体"/>
          <w:b w:val="0"/>
        </w:rPr>
      </w:pPr>
      <w:r>
        <w:rPr>
          <w:rStyle w:val="29"/>
          <w:rFonts w:ascii="黑体" w:hAnsi="黑体" w:eastAsia="黑体"/>
          <w:b w:val="0"/>
        </w:rPr>
        <w:br w:type="page"/>
      </w:r>
    </w:p>
    <w:p>
      <w:pPr>
        <w:pageBreakBefore w:val="0"/>
        <w:wordWrap/>
        <w:overflowPunct/>
        <w:bidi w:val="0"/>
        <w:spacing w:line="560" w:lineRule="exact"/>
        <w:ind w:left="0" w:leftChars="0" w:right="0" w:firstLine="880" w:firstLineChars="200"/>
        <w:jc w:val="center"/>
        <w:outlineLvl w:val="0"/>
        <w:rPr>
          <w:rStyle w:val="29"/>
          <w:rFonts w:hint="eastAsia" w:ascii="黑体" w:hAnsi="黑体" w:eastAsia="黑体"/>
          <w:b w:val="0"/>
        </w:rPr>
      </w:pPr>
      <w:bookmarkStart w:id="54" w:name="_Toc15396618"/>
      <w:r>
        <w:rPr>
          <w:rFonts w:hint="eastAsia" w:ascii="黑体" w:hAnsi="黑体" w:eastAsia="黑体"/>
          <w:sz w:val="44"/>
          <w:szCs w:val="44"/>
        </w:rPr>
        <w:t>第</w:t>
      </w:r>
      <w:r>
        <w:rPr>
          <w:rStyle w:val="29"/>
          <w:rFonts w:hint="eastAsia" w:ascii="黑体" w:hAnsi="黑体" w:eastAsia="黑体"/>
          <w:b w:val="0"/>
        </w:rPr>
        <w:t>五部分 附表</w:t>
      </w:r>
      <w:bookmarkEnd w:id="52"/>
      <w:bookmarkEnd w:id="54"/>
      <w:bookmarkStart w:id="55" w:name="_Toc15396619"/>
    </w:p>
    <w:p>
      <w:pPr>
        <w:pStyle w:val="21"/>
      </w:pPr>
    </w:p>
    <w:p>
      <w:pPr>
        <w:pStyle w:val="3"/>
        <w:pageBreakBefore w:val="0"/>
        <w:wordWrap/>
        <w:overflowPunct/>
        <w:bidi w:val="0"/>
        <w:spacing w:before="0" w:after="0" w:line="560" w:lineRule="exact"/>
        <w:ind w:left="0" w:leftChars="0" w:right="0" w:firstLine="640" w:firstLineChars="200"/>
        <w:rPr>
          <w:rFonts w:ascii="仿宋" w:hAnsi="仿宋" w:eastAsia="仿宋"/>
        </w:rPr>
      </w:pPr>
      <w:r>
        <w:rPr>
          <w:rFonts w:hint="eastAsia" w:ascii="仿宋" w:hAnsi="仿宋" w:eastAsia="仿宋"/>
          <w:b w:val="0"/>
        </w:rPr>
        <w:t>一、收</w:t>
      </w:r>
      <w:r>
        <w:rPr>
          <w:rStyle w:val="30"/>
          <w:rFonts w:hint="eastAsia" w:ascii="仿宋" w:hAnsi="仿宋" w:eastAsia="仿宋"/>
          <w:b w:val="0"/>
          <w:bCs w:val="0"/>
        </w:rPr>
        <w:t>入支出决算总表</w:t>
      </w:r>
      <w:bookmarkEnd w:id="55"/>
    </w:p>
    <w:p>
      <w:pPr>
        <w:pStyle w:val="3"/>
        <w:pageBreakBefore w:val="0"/>
        <w:wordWrap/>
        <w:overflowPunct/>
        <w:bidi w:val="0"/>
        <w:spacing w:before="0" w:after="0" w:line="560" w:lineRule="exact"/>
        <w:ind w:left="0" w:leftChars="0" w:right="0" w:firstLine="640" w:firstLineChars="200"/>
        <w:rPr>
          <w:rFonts w:ascii="仿宋" w:hAnsi="仿宋" w:eastAsia="仿宋"/>
        </w:rPr>
      </w:pPr>
      <w:bookmarkStart w:id="56" w:name="_Toc15396620"/>
      <w:r>
        <w:rPr>
          <w:rFonts w:hint="eastAsia" w:ascii="仿宋" w:hAnsi="仿宋" w:eastAsia="仿宋"/>
          <w:b w:val="0"/>
        </w:rPr>
        <w:t>二、收</w:t>
      </w:r>
      <w:r>
        <w:rPr>
          <w:rStyle w:val="30"/>
          <w:rFonts w:hint="eastAsia" w:ascii="仿宋" w:hAnsi="仿宋" w:eastAsia="仿宋"/>
          <w:b w:val="0"/>
          <w:bCs w:val="0"/>
        </w:rPr>
        <w:t>入决算表</w:t>
      </w:r>
      <w:bookmarkEnd w:id="56"/>
    </w:p>
    <w:p>
      <w:pPr>
        <w:pStyle w:val="3"/>
        <w:pageBreakBefore w:val="0"/>
        <w:wordWrap/>
        <w:overflowPunct/>
        <w:bidi w:val="0"/>
        <w:spacing w:before="0" w:after="0" w:line="560" w:lineRule="exact"/>
        <w:ind w:left="0" w:leftChars="0" w:right="0" w:firstLine="640" w:firstLineChars="200"/>
        <w:rPr>
          <w:rFonts w:ascii="仿宋" w:hAnsi="仿宋" w:eastAsia="仿宋"/>
        </w:rPr>
      </w:pPr>
      <w:bookmarkStart w:id="57" w:name="_Toc15396621"/>
      <w:r>
        <w:rPr>
          <w:rStyle w:val="30"/>
          <w:rFonts w:hint="eastAsia" w:ascii="仿宋" w:hAnsi="仿宋" w:eastAsia="仿宋"/>
          <w:b w:val="0"/>
          <w:bCs w:val="0"/>
        </w:rPr>
        <w:t>三、</w:t>
      </w:r>
      <w:r>
        <w:rPr>
          <w:rFonts w:hint="eastAsia" w:ascii="仿宋" w:hAnsi="仿宋" w:eastAsia="仿宋"/>
          <w:b w:val="0"/>
        </w:rPr>
        <w:t>支</w:t>
      </w:r>
      <w:r>
        <w:rPr>
          <w:rStyle w:val="30"/>
          <w:rFonts w:hint="eastAsia" w:ascii="仿宋" w:hAnsi="仿宋" w:eastAsia="仿宋"/>
          <w:b w:val="0"/>
          <w:bCs w:val="0"/>
        </w:rPr>
        <w:t>出决算表</w:t>
      </w:r>
      <w:bookmarkEnd w:id="57"/>
    </w:p>
    <w:p>
      <w:pPr>
        <w:pStyle w:val="3"/>
        <w:pageBreakBefore w:val="0"/>
        <w:wordWrap/>
        <w:overflowPunct/>
        <w:bidi w:val="0"/>
        <w:spacing w:before="0" w:after="0" w:line="560" w:lineRule="exact"/>
        <w:ind w:left="0" w:leftChars="0" w:right="0" w:firstLine="640" w:firstLineChars="200"/>
        <w:rPr>
          <w:rFonts w:ascii="仿宋" w:hAnsi="仿宋" w:eastAsia="仿宋"/>
          <w:b w:val="0"/>
        </w:rPr>
      </w:pPr>
      <w:bookmarkStart w:id="58" w:name="_Toc15396622"/>
      <w:r>
        <w:rPr>
          <w:rStyle w:val="30"/>
          <w:rFonts w:hint="eastAsia" w:ascii="仿宋" w:hAnsi="仿宋" w:eastAsia="仿宋"/>
          <w:b w:val="0"/>
          <w:bCs w:val="0"/>
        </w:rPr>
        <w:t>四、</w:t>
      </w:r>
      <w:r>
        <w:rPr>
          <w:rFonts w:hint="eastAsia" w:ascii="仿宋" w:hAnsi="仿宋" w:eastAsia="仿宋"/>
          <w:b w:val="0"/>
        </w:rPr>
        <w:t>财</w:t>
      </w:r>
      <w:r>
        <w:rPr>
          <w:rStyle w:val="30"/>
          <w:rFonts w:hint="eastAsia" w:ascii="仿宋" w:hAnsi="仿宋" w:eastAsia="仿宋"/>
          <w:b w:val="0"/>
          <w:bCs w:val="0"/>
        </w:rPr>
        <w:t>政拨款收入支出决算总表</w:t>
      </w:r>
      <w:bookmarkEnd w:id="58"/>
    </w:p>
    <w:p>
      <w:pPr>
        <w:pStyle w:val="3"/>
        <w:pageBreakBefore w:val="0"/>
        <w:wordWrap/>
        <w:overflowPunct/>
        <w:bidi w:val="0"/>
        <w:spacing w:before="0" w:after="0" w:line="560" w:lineRule="exact"/>
        <w:ind w:left="0" w:leftChars="0" w:right="0" w:firstLine="640" w:firstLineChars="200"/>
        <w:rPr>
          <w:rStyle w:val="30"/>
          <w:rFonts w:ascii="仿宋" w:hAnsi="仿宋" w:eastAsia="仿宋"/>
          <w:b w:val="0"/>
          <w:bCs w:val="0"/>
        </w:rPr>
      </w:pPr>
      <w:bookmarkStart w:id="59" w:name="_Toc15396623"/>
      <w:r>
        <w:rPr>
          <w:rStyle w:val="30"/>
          <w:rFonts w:hint="eastAsia" w:ascii="仿宋" w:hAnsi="仿宋" w:eastAsia="仿宋"/>
          <w:b w:val="0"/>
          <w:bCs w:val="0"/>
        </w:rPr>
        <w:t>五、</w:t>
      </w:r>
      <w:r>
        <w:rPr>
          <w:rFonts w:hint="eastAsia" w:ascii="仿宋" w:hAnsi="仿宋" w:eastAsia="仿宋"/>
          <w:b w:val="0"/>
        </w:rPr>
        <w:t>财</w:t>
      </w:r>
      <w:r>
        <w:rPr>
          <w:rStyle w:val="30"/>
          <w:rFonts w:hint="eastAsia" w:ascii="仿宋" w:hAnsi="仿宋" w:eastAsia="仿宋"/>
          <w:b w:val="0"/>
          <w:bCs w:val="0"/>
        </w:rPr>
        <w:t>政拨款支出决算明细表</w:t>
      </w:r>
      <w:bookmarkEnd w:id="59"/>
      <w:bookmarkStart w:id="60" w:name="_Toc15396624"/>
    </w:p>
    <w:p>
      <w:pPr>
        <w:pStyle w:val="3"/>
        <w:pageBreakBefore w:val="0"/>
        <w:wordWrap/>
        <w:overflowPunct/>
        <w:bidi w:val="0"/>
        <w:spacing w:before="0" w:after="0" w:line="560" w:lineRule="exact"/>
        <w:ind w:left="0" w:leftChars="0" w:right="0" w:firstLine="640" w:firstLineChars="200"/>
        <w:rPr>
          <w:rFonts w:ascii="仿宋" w:hAnsi="仿宋" w:eastAsia="仿宋"/>
        </w:rPr>
      </w:pPr>
      <w:r>
        <w:rPr>
          <w:rStyle w:val="30"/>
          <w:rFonts w:hint="eastAsia" w:ascii="仿宋" w:hAnsi="仿宋" w:eastAsia="仿宋"/>
          <w:b w:val="0"/>
          <w:bCs w:val="0"/>
        </w:rPr>
        <w:t>六、</w:t>
      </w:r>
      <w:r>
        <w:rPr>
          <w:rFonts w:hint="eastAsia" w:ascii="仿宋" w:hAnsi="仿宋" w:eastAsia="仿宋"/>
          <w:b w:val="0"/>
        </w:rPr>
        <w:t>一</w:t>
      </w:r>
      <w:r>
        <w:rPr>
          <w:rStyle w:val="30"/>
          <w:rFonts w:hint="eastAsia" w:ascii="仿宋" w:hAnsi="仿宋" w:eastAsia="仿宋"/>
          <w:b w:val="0"/>
          <w:bCs w:val="0"/>
        </w:rPr>
        <w:t>般公共预算财政拨款支出决算表</w:t>
      </w:r>
      <w:bookmarkEnd w:id="60"/>
    </w:p>
    <w:p>
      <w:pPr>
        <w:pStyle w:val="3"/>
        <w:pageBreakBefore w:val="0"/>
        <w:wordWrap/>
        <w:overflowPunct/>
        <w:bidi w:val="0"/>
        <w:spacing w:before="0" w:after="0" w:line="560" w:lineRule="exact"/>
        <w:ind w:left="0" w:leftChars="0" w:right="0" w:firstLine="640" w:firstLineChars="200"/>
        <w:rPr>
          <w:rFonts w:ascii="仿宋" w:hAnsi="仿宋" w:eastAsia="仿宋"/>
        </w:rPr>
      </w:pPr>
      <w:bookmarkStart w:id="61" w:name="_Toc15396625"/>
      <w:r>
        <w:rPr>
          <w:rStyle w:val="30"/>
          <w:rFonts w:hint="eastAsia" w:ascii="仿宋" w:hAnsi="仿宋" w:eastAsia="仿宋"/>
          <w:b w:val="0"/>
          <w:bCs w:val="0"/>
        </w:rPr>
        <w:t>七、</w:t>
      </w:r>
      <w:r>
        <w:rPr>
          <w:rFonts w:hint="eastAsia" w:ascii="仿宋" w:hAnsi="仿宋" w:eastAsia="仿宋"/>
          <w:b w:val="0"/>
        </w:rPr>
        <w:t>一</w:t>
      </w:r>
      <w:r>
        <w:rPr>
          <w:rStyle w:val="30"/>
          <w:rFonts w:hint="eastAsia" w:ascii="仿宋" w:hAnsi="仿宋" w:eastAsia="仿宋"/>
          <w:b w:val="0"/>
          <w:bCs w:val="0"/>
        </w:rPr>
        <w:t>般公共预算财政拨款支出决算明细表</w:t>
      </w:r>
      <w:bookmarkEnd w:id="61"/>
    </w:p>
    <w:p>
      <w:pPr>
        <w:pStyle w:val="3"/>
        <w:pageBreakBefore w:val="0"/>
        <w:wordWrap/>
        <w:overflowPunct/>
        <w:bidi w:val="0"/>
        <w:spacing w:before="0" w:after="0" w:line="560" w:lineRule="exact"/>
        <w:ind w:left="0" w:leftChars="0" w:right="0" w:firstLine="640" w:firstLineChars="200"/>
        <w:rPr>
          <w:rFonts w:ascii="仿宋" w:hAnsi="仿宋" w:eastAsia="仿宋"/>
        </w:rPr>
      </w:pPr>
      <w:bookmarkStart w:id="62" w:name="_Toc15396626"/>
      <w:r>
        <w:rPr>
          <w:rStyle w:val="30"/>
          <w:rFonts w:hint="eastAsia" w:ascii="仿宋" w:hAnsi="仿宋" w:eastAsia="仿宋"/>
          <w:b w:val="0"/>
          <w:bCs w:val="0"/>
        </w:rPr>
        <w:t>八、</w:t>
      </w:r>
      <w:r>
        <w:rPr>
          <w:rFonts w:hint="eastAsia" w:ascii="仿宋" w:hAnsi="仿宋" w:eastAsia="仿宋"/>
          <w:b w:val="0"/>
        </w:rPr>
        <w:t>一</w:t>
      </w:r>
      <w:r>
        <w:rPr>
          <w:rStyle w:val="30"/>
          <w:rFonts w:hint="eastAsia" w:ascii="仿宋" w:hAnsi="仿宋" w:eastAsia="仿宋"/>
          <w:b w:val="0"/>
          <w:bCs w:val="0"/>
        </w:rPr>
        <w:t>般公共预算财政拨款基本支出决算表</w:t>
      </w:r>
      <w:bookmarkEnd w:id="62"/>
    </w:p>
    <w:p>
      <w:pPr>
        <w:pStyle w:val="3"/>
        <w:pageBreakBefore w:val="0"/>
        <w:wordWrap/>
        <w:overflowPunct/>
        <w:bidi w:val="0"/>
        <w:spacing w:before="0" w:after="0" w:line="560" w:lineRule="exact"/>
        <w:ind w:left="0" w:leftChars="0" w:right="0" w:firstLine="640" w:firstLineChars="200"/>
        <w:rPr>
          <w:rFonts w:ascii="仿宋" w:hAnsi="仿宋" w:eastAsia="仿宋"/>
        </w:rPr>
      </w:pPr>
      <w:bookmarkStart w:id="63" w:name="_Toc15396627"/>
      <w:r>
        <w:rPr>
          <w:rStyle w:val="30"/>
          <w:rFonts w:hint="eastAsia" w:ascii="仿宋" w:hAnsi="仿宋" w:eastAsia="仿宋"/>
          <w:b w:val="0"/>
          <w:bCs w:val="0"/>
        </w:rPr>
        <w:t>九、</w:t>
      </w:r>
      <w:r>
        <w:rPr>
          <w:rFonts w:hint="eastAsia" w:ascii="仿宋" w:hAnsi="仿宋" w:eastAsia="仿宋"/>
          <w:b w:val="0"/>
        </w:rPr>
        <w:t>一</w:t>
      </w:r>
      <w:r>
        <w:rPr>
          <w:rStyle w:val="30"/>
          <w:rFonts w:hint="eastAsia" w:ascii="仿宋" w:hAnsi="仿宋" w:eastAsia="仿宋"/>
          <w:b w:val="0"/>
          <w:bCs w:val="0"/>
        </w:rPr>
        <w:t>般公共预算财政拨款项目支出决算表</w:t>
      </w:r>
      <w:bookmarkEnd w:id="63"/>
    </w:p>
    <w:p>
      <w:pPr>
        <w:pStyle w:val="3"/>
        <w:pageBreakBefore w:val="0"/>
        <w:wordWrap/>
        <w:overflowPunct/>
        <w:bidi w:val="0"/>
        <w:spacing w:before="0" w:after="0" w:line="560" w:lineRule="exact"/>
        <w:ind w:left="0" w:leftChars="0" w:right="0" w:firstLine="640" w:firstLineChars="200"/>
        <w:rPr>
          <w:rFonts w:ascii="仿宋" w:hAnsi="仿宋" w:eastAsia="仿宋"/>
        </w:rPr>
      </w:pPr>
      <w:bookmarkStart w:id="64" w:name="_Toc15396629"/>
      <w:r>
        <w:rPr>
          <w:rStyle w:val="30"/>
          <w:rFonts w:hint="eastAsia" w:ascii="仿宋" w:hAnsi="仿宋" w:eastAsia="仿宋"/>
          <w:b w:val="0"/>
          <w:bCs w:val="0"/>
        </w:rPr>
        <w:t>十、</w:t>
      </w:r>
      <w:r>
        <w:rPr>
          <w:rFonts w:hint="eastAsia" w:ascii="仿宋" w:hAnsi="仿宋" w:eastAsia="仿宋"/>
          <w:b w:val="0"/>
        </w:rPr>
        <w:t>政</w:t>
      </w:r>
      <w:r>
        <w:rPr>
          <w:rStyle w:val="30"/>
          <w:rFonts w:hint="eastAsia" w:ascii="仿宋" w:hAnsi="仿宋" w:eastAsia="仿宋"/>
          <w:b w:val="0"/>
          <w:bCs w:val="0"/>
        </w:rPr>
        <w:t>府性基金预算财政拨款收入支出决算表</w:t>
      </w:r>
      <w:bookmarkEnd w:id="64"/>
    </w:p>
    <w:p>
      <w:pPr>
        <w:pStyle w:val="3"/>
        <w:pageBreakBefore w:val="0"/>
        <w:wordWrap/>
        <w:overflowPunct/>
        <w:bidi w:val="0"/>
        <w:spacing w:before="0" w:after="0" w:line="560" w:lineRule="exact"/>
        <w:ind w:left="0" w:leftChars="0" w:right="0" w:firstLine="640" w:firstLineChars="200"/>
        <w:rPr>
          <w:rStyle w:val="30"/>
          <w:rFonts w:ascii="仿宋" w:hAnsi="仿宋" w:eastAsia="仿宋"/>
          <w:b w:val="0"/>
          <w:bCs w:val="0"/>
        </w:rPr>
      </w:pPr>
      <w:bookmarkStart w:id="65" w:name="_Toc15396630"/>
      <w:r>
        <w:rPr>
          <w:rStyle w:val="30"/>
          <w:rFonts w:hint="eastAsia" w:ascii="仿宋" w:hAnsi="仿宋" w:eastAsia="仿宋"/>
          <w:b w:val="0"/>
          <w:bCs w:val="0"/>
        </w:rPr>
        <w:t>十</w:t>
      </w:r>
      <w:bookmarkEnd w:id="65"/>
      <w:bookmarkStart w:id="66" w:name="_Toc15396631"/>
      <w:r>
        <w:rPr>
          <w:rStyle w:val="30"/>
          <w:rFonts w:hint="eastAsia" w:ascii="仿宋" w:hAnsi="仿宋" w:eastAsia="仿宋"/>
          <w:b w:val="0"/>
          <w:bCs w:val="0"/>
          <w:lang w:eastAsia="zh-CN"/>
        </w:rPr>
        <w:t>一</w:t>
      </w:r>
      <w:r>
        <w:rPr>
          <w:rStyle w:val="30"/>
          <w:rFonts w:hint="eastAsia" w:ascii="仿宋" w:hAnsi="仿宋" w:eastAsia="仿宋"/>
          <w:b w:val="0"/>
          <w:bCs w:val="0"/>
        </w:rPr>
        <w:t>、</w:t>
      </w:r>
      <w:r>
        <w:rPr>
          <w:rFonts w:hint="eastAsia" w:ascii="仿宋" w:hAnsi="仿宋" w:eastAsia="仿宋"/>
          <w:b w:val="0"/>
        </w:rPr>
        <w:t>国</w:t>
      </w:r>
      <w:r>
        <w:rPr>
          <w:rStyle w:val="30"/>
          <w:rFonts w:hint="eastAsia" w:ascii="仿宋" w:hAnsi="仿宋" w:eastAsia="仿宋"/>
          <w:b w:val="0"/>
          <w:bCs w:val="0"/>
        </w:rPr>
        <w:t>有资本经营预算财政拨款收入支出决算表</w:t>
      </w:r>
      <w:bookmarkEnd w:id="66"/>
    </w:p>
    <w:p>
      <w:pPr>
        <w:pageBreakBefore w:val="0"/>
        <w:wordWrap/>
        <w:overflowPunct/>
        <w:bidi w:val="0"/>
        <w:spacing w:line="560" w:lineRule="exact"/>
        <w:ind w:left="0" w:leftChars="0" w:right="0" w:firstLine="640" w:firstLineChars="200"/>
        <w:rPr>
          <w:rStyle w:val="30"/>
          <w:rFonts w:hint="eastAsia" w:ascii="仿宋" w:hAnsi="仿宋" w:eastAsia="仿宋"/>
          <w:b w:val="0"/>
          <w:bCs w:val="0"/>
        </w:rPr>
      </w:pPr>
      <w:r>
        <w:rPr>
          <w:rStyle w:val="30"/>
          <w:rFonts w:hint="eastAsia" w:ascii="仿宋" w:hAnsi="仿宋" w:eastAsia="仿宋"/>
          <w:b w:val="0"/>
          <w:bCs w:val="0"/>
        </w:rPr>
        <w:t>十</w:t>
      </w:r>
      <w:r>
        <w:rPr>
          <w:rStyle w:val="30"/>
          <w:rFonts w:hint="eastAsia" w:ascii="仿宋" w:hAnsi="仿宋" w:eastAsia="仿宋"/>
          <w:b w:val="0"/>
          <w:bCs w:val="0"/>
          <w:lang w:eastAsia="zh-CN"/>
        </w:rPr>
        <w:t>二</w:t>
      </w:r>
      <w:r>
        <w:rPr>
          <w:rStyle w:val="30"/>
          <w:rFonts w:hint="eastAsia" w:ascii="仿宋" w:hAnsi="仿宋" w:eastAsia="仿宋"/>
          <w:b w:val="0"/>
          <w:bCs w:val="0"/>
        </w:rPr>
        <w:t>、国有资本经营预算财政拨款支出决算表</w:t>
      </w:r>
      <w:bookmarkStart w:id="67" w:name="_Toc15396628"/>
    </w:p>
    <w:p>
      <w:pPr>
        <w:pageBreakBefore w:val="0"/>
        <w:wordWrap/>
        <w:overflowPunct/>
        <w:bidi w:val="0"/>
        <w:spacing w:line="560" w:lineRule="exact"/>
        <w:ind w:left="0" w:leftChars="0" w:right="0" w:firstLine="640" w:firstLineChars="200"/>
        <w:rPr>
          <w:rFonts w:eastAsia="仿宋"/>
        </w:rPr>
      </w:pPr>
      <w:r>
        <w:rPr>
          <w:rStyle w:val="30"/>
          <w:rFonts w:hint="eastAsia" w:ascii="仿宋" w:hAnsi="仿宋" w:eastAsia="仿宋"/>
          <w:b w:val="0"/>
          <w:bCs w:val="0"/>
        </w:rPr>
        <w:t>十</w:t>
      </w:r>
      <w:r>
        <w:rPr>
          <w:rStyle w:val="30"/>
          <w:rFonts w:hint="eastAsia" w:ascii="仿宋" w:hAnsi="仿宋" w:eastAsia="仿宋"/>
          <w:b w:val="0"/>
          <w:bCs w:val="0"/>
          <w:lang w:eastAsia="zh-CN"/>
        </w:rPr>
        <w:t>三</w:t>
      </w:r>
      <w:r>
        <w:rPr>
          <w:rStyle w:val="30"/>
          <w:rFonts w:hint="eastAsia" w:ascii="仿宋" w:hAnsi="仿宋" w:eastAsia="仿宋"/>
          <w:b w:val="0"/>
          <w:bCs w:val="0"/>
        </w:rPr>
        <w:t>、财政拨款“三公”经费支出决算表</w:t>
      </w:r>
      <w:bookmarkEnd w:id="67"/>
    </w:p>
    <w:sectPr>
      <w:footerReference r:id="rId7" w:type="default"/>
      <w:pgSz w:w="11906" w:h="16838"/>
      <w:pgMar w:top="2098" w:right="1531" w:bottom="1984" w:left="1531" w:header="851" w:footer="1701"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auto"/>
    <w:pitch w:val="default"/>
    <w:sig w:usb0="00000000" w:usb1="00000000"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1"/>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r>
                  <w:rPr>
                    <w:rFonts w:hint="eastAsia" w:asciiTheme="majorEastAsia" w:hAnsiTheme="majorEastAsia" w:eastAsiaTheme="majorEastAsia" w:cstheme="majorEastAsia"/>
                    <w:sz w:val="28"/>
                    <w:szCs w:val="28"/>
                  </w:rPr>
                  <w:t xml:space="preserve"> —</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sz w:val="18"/>
      </w:rPr>
      <w:pict>
        <v:shape id="_x0000_s4098" o:spid="_x0000_s4098"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UyYTMyNWEyZTJiMjZkNDBkOGQ3NmYxOGQ3MjU2NDI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46569"/>
    <w:rsid w:val="00260C38"/>
    <w:rsid w:val="002616C0"/>
    <w:rsid w:val="00265372"/>
    <w:rsid w:val="002662AA"/>
    <w:rsid w:val="00280496"/>
    <w:rsid w:val="00294DC9"/>
    <w:rsid w:val="00295495"/>
    <w:rsid w:val="002A31DE"/>
    <w:rsid w:val="002B2613"/>
    <w:rsid w:val="002D6D05"/>
    <w:rsid w:val="002E6D3D"/>
    <w:rsid w:val="002F1818"/>
    <w:rsid w:val="002F567B"/>
    <w:rsid w:val="003216A9"/>
    <w:rsid w:val="00335A74"/>
    <w:rsid w:val="00354363"/>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D5E9E"/>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5964"/>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E6BE2"/>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244C"/>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987FE8"/>
    <w:rsid w:val="02A36C44"/>
    <w:rsid w:val="034675D0"/>
    <w:rsid w:val="03EB12B8"/>
    <w:rsid w:val="04473600"/>
    <w:rsid w:val="05AD10B7"/>
    <w:rsid w:val="066E0107"/>
    <w:rsid w:val="07153256"/>
    <w:rsid w:val="075745D4"/>
    <w:rsid w:val="07996F6E"/>
    <w:rsid w:val="0807060E"/>
    <w:rsid w:val="085C7784"/>
    <w:rsid w:val="088176B4"/>
    <w:rsid w:val="08E92ED7"/>
    <w:rsid w:val="095962AF"/>
    <w:rsid w:val="09717ADB"/>
    <w:rsid w:val="0A0107ED"/>
    <w:rsid w:val="0A2032A3"/>
    <w:rsid w:val="0AD1329D"/>
    <w:rsid w:val="0AF52687"/>
    <w:rsid w:val="0C06181F"/>
    <w:rsid w:val="0D387A9B"/>
    <w:rsid w:val="0D7A2C98"/>
    <w:rsid w:val="0D8B0A01"/>
    <w:rsid w:val="0DB512A8"/>
    <w:rsid w:val="0DB6335D"/>
    <w:rsid w:val="0E741495"/>
    <w:rsid w:val="0FC91CB4"/>
    <w:rsid w:val="0FDF32F1"/>
    <w:rsid w:val="0FFA0011"/>
    <w:rsid w:val="10086339"/>
    <w:rsid w:val="101860EC"/>
    <w:rsid w:val="108666FC"/>
    <w:rsid w:val="10C055FF"/>
    <w:rsid w:val="118107EC"/>
    <w:rsid w:val="11E116C6"/>
    <w:rsid w:val="13D50BC4"/>
    <w:rsid w:val="148E1FA6"/>
    <w:rsid w:val="14DC75FE"/>
    <w:rsid w:val="15DB3DD2"/>
    <w:rsid w:val="16BB723D"/>
    <w:rsid w:val="17B52FAD"/>
    <w:rsid w:val="18455C50"/>
    <w:rsid w:val="18E536F6"/>
    <w:rsid w:val="18ED2570"/>
    <w:rsid w:val="1A736EBF"/>
    <w:rsid w:val="1A7A6085"/>
    <w:rsid w:val="1BB67591"/>
    <w:rsid w:val="1BE8440E"/>
    <w:rsid w:val="1C837151"/>
    <w:rsid w:val="1D155CEE"/>
    <w:rsid w:val="1D3F264D"/>
    <w:rsid w:val="1D507571"/>
    <w:rsid w:val="1DD67A76"/>
    <w:rsid w:val="1E1E31CB"/>
    <w:rsid w:val="1E2F712F"/>
    <w:rsid w:val="1F2235E5"/>
    <w:rsid w:val="1FDC333E"/>
    <w:rsid w:val="20B221AC"/>
    <w:rsid w:val="21E7133A"/>
    <w:rsid w:val="2220426F"/>
    <w:rsid w:val="22CD3836"/>
    <w:rsid w:val="23323768"/>
    <w:rsid w:val="23860B96"/>
    <w:rsid w:val="23A41AA9"/>
    <w:rsid w:val="240371BF"/>
    <w:rsid w:val="246062EC"/>
    <w:rsid w:val="24AE2EF2"/>
    <w:rsid w:val="24AE7586"/>
    <w:rsid w:val="258D62B4"/>
    <w:rsid w:val="25D01822"/>
    <w:rsid w:val="25FA0F26"/>
    <w:rsid w:val="27642706"/>
    <w:rsid w:val="28C117C2"/>
    <w:rsid w:val="28C80903"/>
    <w:rsid w:val="28EA13E7"/>
    <w:rsid w:val="29FD04D3"/>
    <w:rsid w:val="2A506E02"/>
    <w:rsid w:val="2ACB2E7C"/>
    <w:rsid w:val="2C8A61B5"/>
    <w:rsid w:val="2DD65871"/>
    <w:rsid w:val="2DD6775C"/>
    <w:rsid w:val="2DF04E50"/>
    <w:rsid w:val="2E5A6203"/>
    <w:rsid w:val="2FBB4D1E"/>
    <w:rsid w:val="2FFF7540"/>
    <w:rsid w:val="310B4BBD"/>
    <w:rsid w:val="315A40C3"/>
    <w:rsid w:val="319F7F4E"/>
    <w:rsid w:val="32C348B5"/>
    <w:rsid w:val="337006C5"/>
    <w:rsid w:val="33CF3423"/>
    <w:rsid w:val="34787EFC"/>
    <w:rsid w:val="34D43F1E"/>
    <w:rsid w:val="3502519D"/>
    <w:rsid w:val="36026FE5"/>
    <w:rsid w:val="36AA5135"/>
    <w:rsid w:val="37E16F03"/>
    <w:rsid w:val="3CB83334"/>
    <w:rsid w:val="3D144CA7"/>
    <w:rsid w:val="3D98207C"/>
    <w:rsid w:val="3E42625C"/>
    <w:rsid w:val="3E8D1A40"/>
    <w:rsid w:val="3F185CE9"/>
    <w:rsid w:val="41E53E7C"/>
    <w:rsid w:val="42B77DA7"/>
    <w:rsid w:val="430414DA"/>
    <w:rsid w:val="43B458B4"/>
    <w:rsid w:val="43E72B76"/>
    <w:rsid w:val="4447723C"/>
    <w:rsid w:val="44E268DA"/>
    <w:rsid w:val="44FA7C3F"/>
    <w:rsid w:val="45CC4BED"/>
    <w:rsid w:val="464321B1"/>
    <w:rsid w:val="4707429E"/>
    <w:rsid w:val="47857C94"/>
    <w:rsid w:val="47C84024"/>
    <w:rsid w:val="487C42CB"/>
    <w:rsid w:val="48F50E49"/>
    <w:rsid w:val="4A627F82"/>
    <w:rsid w:val="4A9A7152"/>
    <w:rsid w:val="4AEE5B50"/>
    <w:rsid w:val="4B4F25DA"/>
    <w:rsid w:val="4BE068DB"/>
    <w:rsid w:val="4BEA31C1"/>
    <w:rsid w:val="4CAE1A3B"/>
    <w:rsid w:val="4D577224"/>
    <w:rsid w:val="4E3B7585"/>
    <w:rsid w:val="4E8149C5"/>
    <w:rsid w:val="4EAB630A"/>
    <w:rsid w:val="4EC77040"/>
    <w:rsid w:val="4ECE2238"/>
    <w:rsid w:val="4EF33EFC"/>
    <w:rsid w:val="4FBD168A"/>
    <w:rsid w:val="501F0559"/>
    <w:rsid w:val="51BC0756"/>
    <w:rsid w:val="51D600B0"/>
    <w:rsid w:val="531829B6"/>
    <w:rsid w:val="53243224"/>
    <w:rsid w:val="53334A48"/>
    <w:rsid w:val="542C40EE"/>
    <w:rsid w:val="572472F7"/>
    <w:rsid w:val="5813309A"/>
    <w:rsid w:val="58845D45"/>
    <w:rsid w:val="5922354D"/>
    <w:rsid w:val="59787398"/>
    <w:rsid w:val="59A755B8"/>
    <w:rsid w:val="5AF92295"/>
    <w:rsid w:val="5AFF6145"/>
    <w:rsid w:val="5B7908FF"/>
    <w:rsid w:val="5C9E35C6"/>
    <w:rsid w:val="5CD71FC4"/>
    <w:rsid w:val="5E12114F"/>
    <w:rsid w:val="5F08270F"/>
    <w:rsid w:val="5F860651"/>
    <w:rsid w:val="61406582"/>
    <w:rsid w:val="632C3261"/>
    <w:rsid w:val="64715E30"/>
    <w:rsid w:val="64981B94"/>
    <w:rsid w:val="65EB2D16"/>
    <w:rsid w:val="66C51A03"/>
    <w:rsid w:val="68264723"/>
    <w:rsid w:val="6ACB2952"/>
    <w:rsid w:val="6B0C4D6F"/>
    <w:rsid w:val="6C4A05C8"/>
    <w:rsid w:val="6D05439D"/>
    <w:rsid w:val="6D0E7EF6"/>
    <w:rsid w:val="6E3205A8"/>
    <w:rsid w:val="6E7E3605"/>
    <w:rsid w:val="6F20011E"/>
    <w:rsid w:val="6F29606E"/>
    <w:rsid w:val="6FF5CC65"/>
    <w:rsid w:val="70062167"/>
    <w:rsid w:val="705F504D"/>
    <w:rsid w:val="715C0E4B"/>
    <w:rsid w:val="72734D90"/>
    <w:rsid w:val="73AD73D5"/>
    <w:rsid w:val="73B6EB34"/>
    <w:rsid w:val="73E86D31"/>
    <w:rsid w:val="73FC4BBA"/>
    <w:rsid w:val="75530B22"/>
    <w:rsid w:val="75731C6A"/>
    <w:rsid w:val="768C7829"/>
    <w:rsid w:val="76FD68F5"/>
    <w:rsid w:val="77F65CDB"/>
    <w:rsid w:val="78FB3062"/>
    <w:rsid w:val="79442DD5"/>
    <w:rsid w:val="7956298E"/>
    <w:rsid w:val="79A01D8D"/>
    <w:rsid w:val="79EE5BA4"/>
    <w:rsid w:val="7A5073DE"/>
    <w:rsid w:val="7A6F3D08"/>
    <w:rsid w:val="7A894339"/>
    <w:rsid w:val="7ACC3A7A"/>
    <w:rsid w:val="7BD932B0"/>
    <w:rsid w:val="7C75626E"/>
    <w:rsid w:val="7D961ABA"/>
    <w:rsid w:val="7DB054C8"/>
    <w:rsid w:val="7E3A7BCB"/>
    <w:rsid w:val="7ECD30CF"/>
    <w:rsid w:val="7ED93C5C"/>
    <w:rsid w:val="7EEF11D3"/>
    <w:rsid w:val="7F2A0691"/>
    <w:rsid w:val="7FA30C79"/>
    <w:rsid w:val="7FB24E79"/>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3"/>
    <w:unhideWhenUsed/>
    <w:qFormat/>
    <w:uiPriority w:val="9"/>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5">
    <w:name w:val="caption"/>
    <w:basedOn w:val="1"/>
    <w:next w:val="1"/>
    <w:unhideWhenUsed/>
    <w:qFormat/>
    <w:uiPriority w:val="0"/>
    <w:rPr>
      <w:rFonts w:ascii="Cambria" w:hAnsi="Cambria" w:eastAsia="黑体" w:cs="Times New Roman"/>
      <w:sz w:val="20"/>
      <w:szCs w:val="20"/>
    </w:rPr>
  </w:style>
  <w:style w:type="paragraph" w:styleId="6">
    <w:name w:val="Salutation"/>
    <w:basedOn w:val="1"/>
    <w:next w:val="1"/>
    <w:unhideWhenUsed/>
    <w:qFormat/>
    <w:uiPriority w:val="99"/>
  </w:style>
  <w:style w:type="paragraph" w:styleId="7">
    <w:name w:val="Body Text"/>
    <w:basedOn w:val="1"/>
    <w:link w:val="27"/>
    <w:qFormat/>
    <w:uiPriority w:val="99"/>
    <w:pPr>
      <w:spacing w:beforeLines="30"/>
    </w:pPr>
    <w:rPr>
      <w:rFonts w:ascii="仿宋_GB2312" w:eastAsia="仿宋_GB2312"/>
      <w:kern w:val="0"/>
      <w:sz w:val="30"/>
    </w:rPr>
  </w:style>
  <w:style w:type="paragraph" w:styleId="8">
    <w:name w:val="Body Text Indent"/>
    <w:basedOn w:val="1"/>
    <w:qFormat/>
    <w:uiPriority w:val="0"/>
    <w:pPr>
      <w:spacing w:after="120"/>
      <w:ind w:left="420" w:leftChars="200"/>
    </w:pPr>
  </w:style>
  <w:style w:type="paragraph" w:styleId="9">
    <w:name w:val="toc 3"/>
    <w:basedOn w:val="1"/>
    <w:next w:val="1"/>
    <w:unhideWhenUsed/>
    <w:qFormat/>
    <w:uiPriority w:val="39"/>
    <w:pPr>
      <w:tabs>
        <w:tab w:val="right" w:leader="dot" w:pos="8296"/>
      </w:tabs>
      <w:ind w:left="840" w:leftChars="400"/>
    </w:pPr>
  </w:style>
  <w:style w:type="paragraph" w:styleId="10">
    <w:name w:val="Balloon Text"/>
    <w:basedOn w:val="1"/>
    <w:link w:val="32"/>
    <w:semiHidden/>
    <w:unhideWhenUsed/>
    <w:qFormat/>
    <w:uiPriority w:val="99"/>
    <w:rPr>
      <w:sz w:val="18"/>
      <w:szCs w:val="18"/>
    </w:rPr>
  </w:style>
  <w:style w:type="paragraph" w:styleId="11">
    <w:name w:val="footer"/>
    <w:basedOn w:val="1"/>
    <w:link w:val="25"/>
    <w:qFormat/>
    <w:uiPriority w:val="99"/>
    <w:pPr>
      <w:tabs>
        <w:tab w:val="center" w:pos="4153"/>
        <w:tab w:val="right" w:pos="8306"/>
      </w:tabs>
      <w:snapToGrid w:val="0"/>
      <w:jc w:val="left"/>
    </w:pPr>
    <w:rPr>
      <w:rFonts w:ascii="Calibri" w:hAnsi="Calibri"/>
      <w:kern w:val="0"/>
      <w:sz w:val="18"/>
      <w:szCs w:val="18"/>
    </w:rPr>
  </w:style>
  <w:style w:type="paragraph" w:styleId="12">
    <w:name w:val="Body Text First Indent 2"/>
    <w:basedOn w:val="8"/>
    <w:qFormat/>
    <w:uiPriority w:val="0"/>
    <w:pPr>
      <w:ind w:firstLine="420" w:firstLineChars="200"/>
    </w:pPr>
  </w:style>
  <w:style w:type="paragraph" w:styleId="13">
    <w:name w:val="header"/>
    <w:basedOn w:val="1"/>
    <w:link w:val="23"/>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4">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5">
    <w:name w:val="toc 2"/>
    <w:basedOn w:val="1"/>
    <w:next w:val="1"/>
    <w:unhideWhenUsed/>
    <w:qFormat/>
    <w:uiPriority w:val="39"/>
    <w:pPr>
      <w:tabs>
        <w:tab w:val="right" w:leader="dot" w:pos="8296"/>
      </w:tabs>
      <w:ind w:left="420" w:leftChars="200"/>
    </w:pPr>
  </w:style>
  <w:style w:type="paragraph" w:styleId="1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8">
    <w:name w:val="Strong"/>
    <w:basedOn w:val="17"/>
    <w:qFormat/>
    <w:uiPriority w:val="99"/>
    <w:rPr>
      <w:b/>
    </w:rPr>
  </w:style>
  <w:style w:type="character" w:styleId="19">
    <w:name w:val="Hyperlink"/>
    <w:basedOn w:val="17"/>
    <w:unhideWhenUsed/>
    <w:qFormat/>
    <w:uiPriority w:val="99"/>
    <w:rPr>
      <w:color w:val="0000FF" w:themeColor="hyperlink"/>
      <w:u w:val="single"/>
    </w:rPr>
  </w:style>
  <w:style w:type="paragraph" w:customStyle="1" w:styleId="21">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character" w:customStyle="1" w:styleId="22">
    <w:name w:val="Header Char"/>
    <w:basedOn w:val="17"/>
    <w:semiHidden/>
    <w:qFormat/>
    <w:uiPriority w:val="99"/>
    <w:rPr>
      <w:rFonts w:ascii="Times New Roman" w:hAnsi="Times New Roman"/>
      <w:sz w:val="18"/>
      <w:szCs w:val="18"/>
    </w:rPr>
  </w:style>
  <w:style w:type="character" w:customStyle="1" w:styleId="23">
    <w:name w:val="页眉 Char"/>
    <w:link w:val="13"/>
    <w:semiHidden/>
    <w:qFormat/>
    <w:locked/>
    <w:uiPriority w:val="99"/>
    <w:rPr>
      <w:sz w:val="18"/>
    </w:rPr>
  </w:style>
  <w:style w:type="character" w:customStyle="1" w:styleId="24">
    <w:name w:val="Footer Char"/>
    <w:basedOn w:val="17"/>
    <w:semiHidden/>
    <w:qFormat/>
    <w:uiPriority w:val="99"/>
    <w:rPr>
      <w:rFonts w:ascii="Times New Roman" w:hAnsi="Times New Roman"/>
      <w:sz w:val="18"/>
      <w:szCs w:val="18"/>
    </w:rPr>
  </w:style>
  <w:style w:type="character" w:customStyle="1" w:styleId="25">
    <w:name w:val="页脚 Char"/>
    <w:link w:val="11"/>
    <w:qFormat/>
    <w:locked/>
    <w:uiPriority w:val="99"/>
    <w:rPr>
      <w:sz w:val="18"/>
    </w:rPr>
  </w:style>
  <w:style w:type="character" w:customStyle="1" w:styleId="26">
    <w:name w:val="Body Text Char"/>
    <w:basedOn w:val="17"/>
    <w:semiHidden/>
    <w:qFormat/>
    <w:uiPriority w:val="99"/>
    <w:rPr>
      <w:rFonts w:ascii="Times New Roman" w:hAnsi="Times New Roman"/>
      <w:szCs w:val="24"/>
    </w:rPr>
  </w:style>
  <w:style w:type="character" w:customStyle="1" w:styleId="27">
    <w:name w:val="正文文本 Char"/>
    <w:link w:val="7"/>
    <w:qFormat/>
    <w:locked/>
    <w:uiPriority w:val="99"/>
    <w:rPr>
      <w:rFonts w:ascii="仿宋_GB2312" w:hAnsi="Times New Roman" w:eastAsia="仿宋_GB2312"/>
      <w:sz w:val="24"/>
    </w:rPr>
  </w:style>
  <w:style w:type="paragraph" w:styleId="28">
    <w:name w:val="List Paragraph"/>
    <w:basedOn w:val="1"/>
    <w:qFormat/>
    <w:uiPriority w:val="34"/>
    <w:pPr>
      <w:ind w:firstLine="420" w:firstLineChars="200"/>
    </w:pPr>
  </w:style>
  <w:style w:type="character" w:customStyle="1" w:styleId="29">
    <w:name w:val="标题 1 Char"/>
    <w:basedOn w:val="17"/>
    <w:link w:val="2"/>
    <w:qFormat/>
    <w:uiPriority w:val="9"/>
    <w:rPr>
      <w:rFonts w:ascii="Times New Roman" w:hAnsi="Times New Roman"/>
      <w:b/>
      <w:bCs/>
      <w:kern w:val="44"/>
      <w:sz w:val="44"/>
      <w:szCs w:val="44"/>
    </w:rPr>
  </w:style>
  <w:style w:type="character" w:customStyle="1" w:styleId="30">
    <w:name w:val="标题 2 Char"/>
    <w:basedOn w:val="17"/>
    <w:link w:val="3"/>
    <w:qFormat/>
    <w:uiPriority w:val="9"/>
    <w:rPr>
      <w:rFonts w:asciiTheme="majorHAnsi" w:hAnsiTheme="majorHAnsi" w:eastAsiaTheme="majorEastAsia" w:cstheme="majorBidi"/>
      <w:b/>
      <w:bCs/>
      <w:kern w:val="2"/>
      <w:sz w:val="32"/>
      <w:szCs w:val="32"/>
    </w:rPr>
  </w:style>
  <w:style w:type="paragraph" w:customStyle="1" w:styleId="31">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2">
    <w:name w:val="批注框文本 Char"/>
    <w:basedOn w:val="17"/>
    <w:link w:val="10"/>
    <w:semiHidden/>
    <w:qFormat/>
    <w:uiPriority w:val="99"/>
    <w:rPr>
      <w:rFonts w:ascii="Times New Roman" w:hAnsi="Times New Roman"/>
      <w:kern w:val="2"/>
      <w:sz w:val="18"/>
      <w:szCs w:val="18"/>
    </w:rPr>
  </w:style>
  <w:style w:type="character" w:customStyle="1" w:styleId="33">
    <w:name w:val="标题 3 Char"/>
    <w:basedOn w:val="17"/>
    <w:link w:val="4"/>
    <w:qFormat/>
    <w:uiPriority w:val="9"/>
    <w:rPr>
      <w:rFonts w:ascii="Times New Roman" w:hAnsi="Times New Roman"/>
      <w:b/>
      <w:bCs/>
      <w:kern w:val="2"/>
      <w:sz w:val="32"/>
      <w:szCs w:val="32"/>
    </w:rPr>
  </w:style>
  <w:style w:type="paragraph" w:customStyle="1" w:styleId="34">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35">
    <w:name w:val="Heading 1 Char"/>
    <w:basedOn w:val="17"/>
    <w:link w:val="2"/>
    <w:qFormat/>
    <w:locked/>
    <w:uiPriority w:val="99"/>
    <w:rPr>
      <w:rFonts w:ascii="Times New Roman" w:hAnsi="Times New Roman" w:cs="Times New Roman"/>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35</Pages>
  <Words>15023</Words>
  <Characters>16214</Characters>
  <Lines>57</Lines>
  <Paragraphs>16</Paragraphs>
  <TotalTime>32</TotalTime>
  <ScaleCrop>false</ScaleCrop>
  <LinksUpToDate>false</LinksUpToDate>
  <CharactersWithSpaces>16244</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Administrator</cp:lastModifiedBy>
  <cp:lastPrinted>2022-08-08T09:11:00Z</cp:lastPrinted>
  <dcterms:modified xsi:type="dcterms:W3CDTF">2023-11-23T08:01:47Z</dcterms:modified>
  <dc:title>四川省***</dc:title>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y fmtid="{D5CDD505-2E9C-101B-9397-08002B2CF9AE}" pid="3" name="ICV">
    <vt:lpwstr>4857EC1DE1644D29B0F4393EA10D080D</vt:lpwstr>
  </property>
</Properties>
</file>