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 w:eastAsia="方正小标宋简体" w:cs="Times New Roman"/>
          <w:b/>
          <w:bCs/>
          <w:sz w:val="40"/>
          <w:szCs w:val="40"/>
        </w:rPr>
      </w:pPr>
      <w:r>
        <w:rPr>
          <w:rFonts w:hint="eastAsia" w:ascii="方正小标宋简体" w:hAnsi="???????" w:eastAsia="方正小标宋简体" w:cs="方正小标宋简体"/>
          <w:b/>
          <w:bCs/>
          <w:sz w:val="40"/>
          <w:szCs w:val="40"/>
        </w:rPr>
        <w:t>县经信科局行政执法集中内容公示</w:t>
      </w:r>
    </w:p>
    <w:p>
      <w:pPr>
        <w:ind w:firstLine="640" w:firstLineChars="200"/>
        <w:rPr>
          <w:rFonts w:ascii="黑体" w:hAnsi="黑体" w:eastAsia="黑体" w:cs="Times New Roman"/>
          <w:sz w:val="32"/>
          <w:szCs w:val="32"/>
        </w:rPr>
      </w:pP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一、剑阁县经信科局行政执法主体</w:t>
      </w:r>
    </w:p>
    <w:p>
      <w:pPr>
        <w:pStyle w:val="11"/>
        <w:spacing w:line="600" w:lineRule="exact"/>
        <w:ind w:firstLine="640" w:firstLineChars="200"/>
        <w:jc w:val="both"/>
        <w:rPr>
          <w:rFonts w:cs="Times New Roman"/>
        </w:rPr>
      </w:pPr>
      <w:r>
        <w:rPr>
          <w:rFonts w:hint="eastAsia" w:ascii="??_GB2312" w:hAnsi="??_GB2312" w:cs="宋体"/>
          <w:sz w:val="32"/>
          <w:szCs w:val="32"/>
        </w:rPr>
        <w:t>剑阁县经济信息化和科学技术局</w:t>
      </w:r>
    </w:p>
    <w:p>
      <w:pPr>
        <w:spacing w:line="600" w:lineRule="exact"/>
        <w:ind w:firstLine="643" w:firstLineChars="200"/>
        <w:rPr>
          <w:rFonts w:ascii="??_GB2312" w:hAnsi="??_GB2312" w:cs="??_GB2312"/>
          <w:sz w:val="32"/>
          <w:szCs w:val="32"/>
        </w:rPr>
      </w:pPr>
      <w:r>
        <w:rPr>
          <w:rFonts w:hint="eastAsia" w:ascii="??_GB2312" w:hAnsi="??_GB2312" w:cs="宋体"/>
          <w:b/>
          <w:bCs/>
          <w:sz w:val="32"/>
          <w:szCs w:val="32"/>
        </w:rPr>
        <w:t>行政执法主体</w:t>
      </w:r>
      <w:r>
        <w:rPr>
          <w:rFonts w:ascii="??_GB2312" w:hAnsi="??_GB2312" w:cs="??_GB2312"/>
          <w:b/>
          <w:bCs/>
          <w:sz w:val="32"/>
          <w:szCs w:val="32"/>
        </w:rPr>
        <w:t>1</w:t>
      </w:r>
      <w:r>
        <w:rPr>
          <w:rFonts w:hint="eastAsia" w:ascii="??_GB2312" w:hAnsi="??_GB2312" w:cs="宋体"/>
          <w:b/>
          <w:bCs/>
          <w:sz w:val="32"/>
          <w:szCs w:val="32"/>
        </w:rPr>
        <w:t>个</w:t>
      </w:r>
      <w:r>
        <w:rPr>
          <w:rFonts w:hint="eastAsia" w:ascii="??_GB2312" w:hAnsi="??_GB2312" w:cs="宋体"/>
          <w:sz w:val="32"/>
          <w:szCs w:val="32"/>
        </w:rPr>
        <w:t>：剑阁县经信科局</w:t>
      </w:r>
      <w:r>
        <w:rPr>
          <w:rFonts w:ascii="??_GB2312" w:hAnsi="??_GB2312" w:cs="??_GB2312"/>
          <w:sz w:val="32"/>
          <w:szCs w:val="32"/>
        </w:rPr>
        <w:t xml:space="preserve">    </w:t>
      </w:r>
      <w:r>
        <w:rPr>
          <w:rFonts w:hint="eastAsia" w:ascii="??_GB2312" w:hAnsi="??_GB2312" w:cs="宋体"/>
          <w:sz w:val="32"/>
          <w:szCs w:val="32"/>
        </w:rPr>
        <w:t>地址</w:t>
      </w:r>
      <w:r>
        <w:rPr>
          <w:rFonts w:ascii="??_GB2312" w:hAnsi="??_GB2312" w:cs="??_GB2312"/>
          <w:sz w:val="32"/>
          <w:szCs w:val="32"/>
        </w:rPr>
        <w:t>:</w:t>
      </w:r>
      <w:r>
        <w:rPr>
          <w:rFonts w:hint="eastAsia" w:ascii="??_GB2312" w:hAnsi="??_GB2312" w:cs="宋体"/>
          <w:sz w:val="32"/>
          <w:szCs w:val="32"/>
        </w:rPr>
        <w:t>四川省广元市剑阁县下寺镇修城坝</w:t>
      </w:r>
      <w:r>
        <w:rPr>
          <w:rFonts w:ascii="??_GB2312" w:hAnsi="??_GB2312" w:cs="??_GB2312"/>
          <w:sz w:val="32"/>
          <w:szCs w:val="32"/>
        </w:rPr>
        <w:t xml:space="preserve">  </w:t>
      </w:r>
      <w:r>
        <w:rPr>
          <w:rFonts w:hint="eastAsia" w:ascii="??_GB2312" w:hAnsi="??_GB2312" w:cs="宋体"/>
          <w:sz w:val="32"/>
          <w:szCs w:val="32"/>
        </w:rPr>
        <w:t>邮编</w:t>
      </w:r>
      <w:r>
        <w:rPr>
          <w:rFonts w:ascii="??_GB2312" w:hAnsi="??_GB2312" w:cs="??_GB2312"/>
          <w:sz w:val="32"/>
          <w:szCs w:val="32"/>
        </w:rPr>
        <w:t xml:space="preserve">:628317   </w:t>
      </w:r>
      <w:r>
        <w:rPr>
          <w:rFonts w:hint="eastAsia" w:ascii="??_GB2312" w:hAnsi="??_GB2312" w:cs="宋体"/>
          <w:sz w:val="32"/>
          <w:szCs w:val="32"/>
        </w:rPr>
        <w:t>电话</w:t>
      </w:r>
      <w:r>
        <w:rPr>
          <w:rFonts w:ascii="??_GB2312" w:hAnsi="??_GB2312" w:cs="??_GB2312"/>
          <w:sz w:val="32"/>
          <w:szCs w:val="32"/>
        </w:rPr>
        <w:t xml:space="preserve">0839-6600656    </w:t>
      </w:r>
      <w:r>
        <w:rPr>
          <w:rFonts w:hint="eastAsia" w:ascii="??_GB2312" w:hAnsi="??_GB2312" w:cs="宋体"/>
          <w:sz w:val="32"/>
          <w:szCs w:val="32"/>
        </w:rPr>
        <w:t>传真</w:t>
      </w:r>
      <w:r>
        <w:rPr>
          <w:rFonts w:ascii="??_GB2312" w:hAnsi="??_GB2312" w:cs="??_GB2312"/>
          <w:sz w:val="32"/>
          <w:szCs w:val="32"/>
        </w:rPr>
        <w:t>:0839-6600656</w:t>
      </w:r>
    </w:p>
    <w:p>
      <w:pPr>
        <w:spacing w:line="600" w:lineRule="exact"/>
        <w:ind w:firstLine="643" w:firstLineChars="200"/>
        <w:rPr>
          <w:rFonts w:ascii="??_GB2312" w:hAnsi="??_GB2312" w:cs="??_GB2312"/>
          <w:sz w:val="32"/>
          <w:szCs w:val="32"/>
        </w:rPr>
      </w:pPr>
      <w:r>
        <w:rPr>
          <w:rFonts w:hint="eastAsia" w:ascii="??_GB2312" w:hAnsi="??_GB2312" w:cs="宋体"/>
          <w:b/>
          <w:bCs/>
          <w:sz w:val="32"/>
          <w:szCs w:val="32"/>
        </w:rPr>
        <w:t>行政执法机构设置</w:t>
      </w:r>
      <w:r>
        <w:rPr>
          <w:rFonts w:ascii="??_GB2312" w:hAnsi="??_GB2312" w:cs="??_GB2312"/>
          <w:b/>
          <w:bCs/>
          <w:sz w:val="32"/>
          <w:szCs w:val="32"/>
        </w:rPr>
        <w:t>1</w:t>
      </w:r>
      <w:r>
        <w:rPr>
          <w:rFonts w:hint="eastAsia" w:ascii="??_GB2312" w:hAnsi="??_GB2312" w:cs="宋体"/>
          <w:b/>
          <w:bCs/>
          <w:sz w:val="32"/>
          <w:szCs w:val="32"/>
        </w:rPr>
        <w:t>个</w:t>
      </w:r>
      <w:r>
        <w:rPr>
          <w:rFonts w:hint="eastAsia" w:ascii="??_GB2312" w:hAnsi="??_GB2312" w:cs="宋体"/>
          <w:sz w:val="32"/>
          <w:szCs w:val="32"/>
        </w:rPr>
        <w:t>：</w:t>
      </w:r>
    </w:p>
    <w:p>
      <w:pPr>
        <w:spacing w:line="600" w:lineRule="exact"/>
        <w:ind w:firstLine="640" w:firstLineChars="200"/>
        <w:rPr>
          <w:rFonts w:ascii="??_GB2312" w:hAnsi="??_GB2312" w:cs="??_GB2312"/>
          <w:sz w:val="32"/>
          <w:szCs w:val="32"/>
        </w:rPr>
      </w:pPr>
      <w:r>
        <w:rPr>
          <w:rFonts w:hint="eastAsia" w:ascii="??_GB2312" w:hAnsi="??_GB2312" w:cs="宋体"/>
          <w:sz w:val="32"/>
          <w:szCs w:val="32"/>
        </w:rPr>
        <w:t>行政执法股室：政策法规股</w:t>
      </w:r>
    </w:p>
    <w:p>
      <w:pPr>
        <w:spacing w:line="600" w:lineRule="exact"/>
        <w:ind w:firstLine="560" w:firstLineChars="200"/>
        <w:rPr>
          <w:rFonts w:ascii="Arial" w:hAnsi="Arial" w:cs="Arial"/>
          <w:kern w:val="0"/>
          <w:sz w:val="28"/>
          <w:szCs w:val="28"/>
        </w:rPr>
      </w:pPr>
      <w:r>
        <w:rPr>
          <w:rFonts w:hint="eastAsia" w:ascii="Arial" w:hAnsi="Arial" w:cs="宋体"/>
          <w:kern w:val="0"/>
          <w:sz w:val="28"/>
          <w:szCs w:val="28"/>
        </w:rPr>
        <w:t>主要职责：贯彻执行党和国家有关工业经济</w:t>
      </w:r>
      <w:bookmarkStart w:id="0" w:name="_GoBack"/>
      <w:bookmarkEnd w:id="0"/>
      <w:r>
        <w:rPr>
          <w:rFonts w:hint="eastAsia" w:ascii="Arial" w:hAnsi="Arial" w:cs="宋体"/>
          <w:kern w:val="0"/>
          <w:sz w:val="28"/>
          <w:szCs w:val="28"/>
        </w:rPr>
        <w:t>、信息化和无线电管理的方针、政策和法律、法规；负责全</w:t>
      </w:r>
      <w:r>
        <w:rPr>
          <w:rFonts w:hint="eastAsia" w:ascii="Arial" w:hAnsi="Arial" w:cs="宋体"/>
          <w:kern w:val="0"/>
          <w:sz w:val="28"/>
          <w:szCs w:val="28"/>
          <w:lang w:eastAsia="zh-CN"/>
        </w:rPr>
        <w:t>县</w:t>
      </w:r>
      <w:r>
        <w:rPr>
          <w:rFonts w:hint="eastAsia" w:ascii="Arial" w:hAnsi="Arial" w:cs="宋体"/>
          <w:kern w:val="0"/>
          <w:sz w:val="28"/>
          <w:szCs w:val="28"/>
        </w:rPr>
        <w:t>经济运行调节</w:t>
      </w:r>
      <w:r>
        <w:rPr>
          <w:rFonts w:ascii="Arial" w:hAnsi="Arial" w:cs="Arial"/>
          <w:kern w:val="0"/>
          <w:sz w:val="28"/>
          <w:szCs w:val="28"/>
        </w:rPr>
        <w:t>,</w:t>
      </w:r>
      <w:r>
        <w:rPr>
          <w:rFonts w:hint="eastAsia" w:ascii="Arial" w:hAnsi="Arial" w:cs="宋体"/>
          <w:kern w:val="0"/>
          <w:sz w:val="28"/>
          <w:szCs w:val="28"/>
        </w:rPr>
        <w:t>监测、分析经济运行态势和质量</w:t>
      </w:r>
      <w:r>
        <w:rPr>
          <w:rFonts w:ascii="Arial" w:hAnsi="Arial" w:cs="Arial"/>
          <w:kern w:val="0"/>
          <w:sz w:val="28"/>
          <w:szCs w:val="28"/>
        </w:rPr>
        <w:t>,</w:t>
      </w:r>
      <w:r>
        <w:rPr>
          <w:rFonts w:hint="eastAsia" w:ascii="Arial" w:hAnsi="Arial" w:cs="宋体"/>
          <w:kern w:val="0"/>
          <w:sz w:val="28"/>
          <w:szCs w:val="28"/>
        </w:rPr>
        <w:t>建立全</w:t>
      </w:r>
      <w:r>
        <w:rPr>
          <w:rFonts w:hint="eastAsia" w:ascii="Arial" w:hAnsi="Arial" w:cs="宋体"/>
          <w:kern w:val="0"/>
          <w:sz w:val="28"/>
          <w:szCs w:val="28"/>
          <w:lang w:eastAsia="zh-CN"/>
        </w:rPr>
        <w:t>县</w:t>
      </w:r>
      <w:r>
        <w:rPr>
          <w:rFonts w:hint="eastAsia" w:ascii="Arial" w:hAnsi="Arial" w:cs="宋体"/>
          <w:kern w:val="0"/>
          <w:sz w:val="28"/>
          <w:szCs w:val="28"/>
        </w:rPr>
        <w:t>工业经济运行预警机制；负责全</w:t>
      </w:r>
      <w:r>
        <w:rPr>
          <w:rFonts w:hint="eastAsia" w:ascii="Arial" w:hAnsi="Arial" w:cs="宋体"/>
          <w:kern w:val="0"/>
          <w:sz w:val="28"/>
          <w:szCs w:val="28"/>
          <w:lang w:eastAsia="zh-CN"/>
        </w:rPr>
        <w:t>县</w:t>
      </w:r>
      <w:r>
        <w:rPr>
          <w:rFonts w:hint="eastAsia" w:ascii="Arial" w:hAnsi="Arial" w:cs="宋体"/>
          <w:kern w:val="0"/>
          <w:sz w:val="28"/>
          <w:szCs w:val="28"/>
        </w:rPr>
        <w:t>企业技术改造推进工作</w:t>
      </w:r>
      <w:r>
        <w:rPr>
          <w:rFonts w:ascii="Arial" w:hAnsi="Arial" w:cs="Arial"/>
          <w:kern w:val="0"/>
          <w:sz w:val="28"/>
          <w:szCs w:val="28"/>
        </w:rPr>
        <w:t>,</w:t>
      </w:r>
      <w:r>
        <w:rPr>
          <w:rFonts w:hint="eastAsia" w:ascii="Arial" w:hAnsi="Arial" w:cs="宋体"/>
          <w:kern w:val="0"/>
          <w:sz w:val="28"/>
          <w:szCs w:val="28"/>
        </w:rPr>
        <w:t>按照规定权限负责技术改造项目的上报、审批、登记备案与监督；负责全</w:t>
      </w:r>
      <w:r>
        <w:rPr>
          <w:rFonts w:hint="eastAsia" w:ascii="Arial" w:hAnsi="Arial" w:cs="宋体"/>
          <w:kern w:val="0"/>
          <w:sz w:val="28"/>
          <w:szCs w:val="28"/>
          <w:lang w:eastAsia="zh-CN"/>
        </w:rPr>
        <w:t>县</w:t>
      </w:r>
      <w:r>
        <w:rPr>
          <w:rFonts w:hint="eastAsia" w:ascii="Arial" w:hAnsi="Arial" w:cs="宋体"/>
          <w:kern w:val="0"/>
          <w:sz w:val="28"/>
          <w:szCs w:val="28"/>
        </w:rPr>
        <w:t>企业技术创新体系建设</w:t>
      </w:r>
      <w:r>
        <w:rPr>
          <w:rFonts w:ascii="Arial" w:hAnsi="Arial" w:cs="Arial"/>
          <w:kern w:val="0"/>
          <w:sz w:val="28"/>
          <w:szCs w:val="28"/>
        </w:rPr>
        <w:t>,</w:t>
      </w:r>
      <w:r>
        <w:rPr>
          <w:rFonts w:hint="eastAsia" w:ascii="Arial" w:hAnsi="Arial" w:cs="宋体"/>
          <w:kern w:val="0"/>
          <w:sz w:val="28"/>
          <w:szCs w:val="28"/>
        </w:rPr>
        <w:t>指导企业实施技术创新、技术引进。</w:t>
      </w:r>
      <w:r>
        <w:rPr>
          <w:rFonts w:ascii="Arial" w:hAnsi="Arial" w:cs="Arial"/>
          <w:kern w:val="0"/>
          <w:sz w:val="28"/>
          <w:szCs w:val="28"/>
        </w:rPr>
        <w:t>.</w:t>
      </w:r>
    </w:p>
    <w:p>
      <w:pPr>
        <w:ind w:firstLine="480" w:firstLineChars="150"/>
        <w:rPr>
          <w:rFonts w:ascii="黑体" w:hAnsi="黑体" w:eastAsia="黑体" w:cs="Times New Roman"/>
          <w:sz w:val="32"/>
          <w:szCs w:val="32"/>
        </w:rPr>
      </w:pPr>
      <w:r>
        <w:rPr>
          <w:rFonts w:hint="eastAsia" w:ascii="黑体" w:hAnsi="黑体" w:eastAsia="黑体" w:cs="黑体"/>
          <w:sz w:val="32"/>
          <w:szCs w:val="32"/>
        </w:rPr>
        <w:t>二、剑阁县经信科局政执法人员清单</w:t>
      </w:r>
    </w:p>
    <w:tbl>
      <w:tblPr>
        <w:tblStyle w:val="4"/>
        <w:tblW w:w="9896" w:type="dxa"/>
        <w:tblInd w:w="-106" w:type="dxa"/>
        <w:tblLayout w:type="fixed"/>
        <w:tblCellMar>
          <w:top w:w="0" w:type="dxa"/>
          <w:left w:w="108" w:type="dxa"/>
          <w:bottom w:w="0" w:type="dxa"/>
          <w:right w:w="108" w:type="dxa"/>
        </w:tblCellMar>
      </w:tblPr>
      <w:tblGrid>
        <w:gridCol w:w="722"/>
        <w:gridCol w:w="1089"/>
        <w:gridCol w:w="802"/>
        <w:gridCol w:w="1428"/>
        <w:gridCol w:w="1185"/>
        <w:gridCol w:w="1748"/>
        <w:gridCol w:w="1449"/>
        <w:gridCol w:w="970"/>
        <w:gridCol w:w="503"/>
      </w:tblGrid>
      <w:tr>
        <w:tblPrEx>
          <w:tblCellMar>
            <w:top w:w="0" w:type="dxa"/>
            <w:left w:w="108" w:type="dxa"/>
            <w:bottom w:w="0" w:type="dxa"/>
            <w:right w:w="108" w:type="dxa"/>
          </w:tblCellMar>
        </w:tblPrEx>
        <w:trPr>
          <w:trHeight w:val="298" w:hRule="atLeast"/>
          <w:tblHeader/>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序号</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姓名</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性别</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工作单位</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编制情况</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证件编号</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执法类别</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执法区域</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备注</w:t>
            </w:r>
          </w:p>
        </w:tc>
      </w:tr>
      <w:tr>
        <w:tblPrEx>
          <w:tblCellMar>
            <w:top w:w="0" w:type="dxa"/>
            <w:left w:w="108" w:type="dxa"/>
            <w:bottom w:w="0" w:type="dxa"/>
            <w:right w:w="108" w:type="dxa"/>
          </w:tblCellMar>
        </w:tblPrEx>
        <w:trPr>
          <w:trHeight w:val="86"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蹇江</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9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2</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邹荣</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H08120034</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3</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冯莉琼</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女</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行政</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H08120020</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03"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4</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王海鹰</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女</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H08120023</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78"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5</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王筱强</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H08120021</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6</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卫春</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行政</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H08120024</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7</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孙光春</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行政</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H08120025</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8</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姚萍</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女</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H08120027</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9</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张</w:t>
            </w:r>
            <w:r>
              <w:rPr>
                <w:rFonts w:ascii="宋体" w:hAnsi="宋体" w:cs="宋体"/>
              </w:rPr>
              <w:t xml:space="preserve">  </w:t>
            </w:r>
            <w:r>
              <w:rPr>
                <w:rFonts w:hint="eastAsia" w:ascii="宋体" w:hAnsi="宋体" w:cs="宋体"/>
              </w:rPr>
              <w:t>良</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行政</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H08120032</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10</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沈三毛</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H08120029</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11</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张强</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H08120031</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0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12</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房长江</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H08120030</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16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13</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邓文环</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H08120033</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14</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朱学斌</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H002609</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bl>
    <w:p>
      <w:pPr>
        <w:spacing w:line="540" w:lineRule="exact"/>
        <w:rPr>
          <w:rFonts w:ascii="Times New Roman" w:hAnsi="Times New Roman" w:cs="Times New Roman"/>
        </w:rPr>
      </w:pPr>
      <w:r>
        <w:rPr>
          <w:rFonts w:hint="eastAsia" w:ascii="宋体" w:hAnsi="宋体" w:cs="宋体"/>
          <w:sz w:val="24"/>
          <w:szCs w:val="24"/>
        </w:rPr>
        <w:t>注：分专项检查人员在备注栏注明。</w:t>
      </w:r>
      <w:r>
        <w:rPr>
          <w:rFonts w:ascii="宋体" w:hAnsi="宋体" w:cs="宋体"/>
          <w:sz w:val="24"/>
          <w:szCs w:val="24"/>
        </w:rPr>
        <w:t xml:space="preserve">               2019</w:t>
      </w:r>
      <w:r>
        <w:rPr>
          <w:rFonts w:hint="eastAsia" w:ascii="宋体" w:hAnsi="宋体" w:cs="宋体"/>
          <w:sz w:val="24"/>
          <w:szCs w:val="24"/>
        </w:rPr>
        <w:t>年</w:t>
      </w:r>
      <w:r>
        <w:rPr>
          <w:rFonts w:ascii="宋体" w:hAnsi="宋体" w:cs="宋体"/>
          <w:sz w:val="24"/>
          <w:szCs w:val="24"/>
        </w:rPr>
        <w:t>8</w:t>
      </w:r>
      <w:r>
        <w:rPr>
          <w:rFonts w:hint="eastAsia" w:ascii="宋体" w:hAnsi="宋体" w:cs="宋体"/>
          <w:sz w:val="24"/>
          <w:szCs w:val="24"/>
        </w:rPr>
        <w:t>月</w:t>
      </w:r>
      <w:r>
        <w:rPr>
          <w:rFonts w:ascii="宋体" w:hAnsi="宋体" w:cs="宋体"/>
          <w:sz w:val="24"/>
          <w:szCs w:val="24"/>
        </w:rPr>
        <w:t>8</w:t>
      </w:r>
      <w:r>
        <w:rPr>
          <w:rFonts w:hint="eastAsia" w:ascii="宋体" w:hAnsi="宋体" w:cs="宋体"/>
          <w:sz w:val="24"/>
          <w:szCs w:val="24"/>
        </w:rPr>
        <w:t>日</w:t>
      </w:r>
    </w:p>
    <w:p>
      <w:pPr>
        <w:rPr>
          <w:rFonts w:cs="Times New Roman"/>
        </w:rPr>
      </w:pPr>
    </w:p>
    <w:p>
      <w:pPr>
        <w:ind w:firstLine="640" w:firstLineChars="200"/>
        <w:rPr>
          <w:rFonts w:ascii="黑体" w:hAnsi="黑体" w:eastAsia="黑体" w:cs="Times New Roman"/>
          <w:sz w:val="32"/>
          <w:szCs w:val="32"/>
        </w:rPr>
      </w:pPr>
      <w:r>
        <w:rPr>
          <w:rFonts w:hint="eastAsia" w:ascii="黑体" w:hAnsi="黑体" w:eastAsia="黑体" w:cs="黑体"/>
          <w:sz w:val="32"/>
          <w:szCs w:val="32"/>
        </w:rPr>
        <w:t>三、剑阁县经信科局行政执法权力、责任清单</w:t>
      </w:r>
    </w:p>
    <w:p>
      <w:pPr>
        <w:ind w:firstLine="800" w:firstLineChars="250"/>
        <w:rPr>
          <w:rStyle w:val="12"/>
          <w:rFonts w:ascii="??_GB2312" w:hAnsi="??_GB2312" w:cs="??_GB2312"/>
          <w:color w:val="auto"/>
          <w:u w:val="single"/>
        </w:rPr>
      </w:pPr>
      <w:r>
        <w:rPr>
          <w:rFonts w:hint="eastAsia" w:ascii="??_GB2312" w:hAnsi="??_GB2312" w:cs="宋体"/>
          <w:sz w:val="32"/>
          <w:szCs w:val="32"/>
        </w:rPr>
        <w:t>四川政务服务网、剑阁县人民政府网（含行政执法权力及责任事项的权限、职责、服务指南、法定依据、流程图、程序）</w:t>
      </w:r>
      <w:r>
        <w:rPr>
          <w:rFonts w:ascii="??_GB2312" w:hAnsi="??_GB2312" w:cs="??_GB2312"/>
          <w:sz w:val="32"/>
          <w:szCs w:val="32"/>
        </w:rPr>
        <w:t xml:space="preserve"> </w:t>
      </w:r>
    </w:p>
    <w:p>
      <w:pPr>
        <w:ind w:firstLine="420" w:firstLineChars="200"/>
        <w:rPr>
          <w:rStyle w:val="12"/>
          <w:rFonts w:ascii="??_GB2312" w:hAnsi="??_GB2312" w:cs="??_GB2312"/>
          <w:color w:val="auto"/>
          <w:sz w:val="32"/>
          <w:szCs w:val="32"/>
        </w:rPr>
      </w:pPr>
      <w:r>
        <w:fldChar w:fldCharType="begin"/>
      </w:r>
      <w:r>
        <w:instrText xml:space="preserve"> HYPERLINK "http://gys.sczwfw.gov.cn/app/qixianShop/12679?areaId=408&amp;areaCode=510800000000" </w:instrText>
      </w:r>
      <w:r>
        <w:fldChar w:fldCharType="separate"/>
      </w:r>
      <w:r>
        <w:rPr>
          <w:rStyle w:val="8"/>
          <w:rFonts w:ascii="??_GB2312" w:hAnsi="??_GB2312" w:cs="??_GB2312"/>
          <w:color w:val="auto"/>
          <w:sz w:val="32"/>
          <w:szCs w:val="32"/>
        </w:rPr>
        <w:t>http://gys.sczwfw.gov.cn/app/qixianShop/12679?areaId=408&amp;areaCode=510800000000</w:t>
      </w:r>
      <w:r>
        <w:rPr>
          <w:rStyle w:val="8"/>
          <w:rFonts w:ascii="??_GB2312" w:hAnsi="??_GB2312" w:cs="??_GB2312"/>
          <w:color w:val="auto"/>
          <w:sz w:val="32"/>
          <w:szCs w:val="32"/>
        </w:rPr>
        <w:fldChar w:fldCharType="end"/>
      </w:r>
    </w:p>
    <w:p>
      <w:pPr>
        <w:ind w:firstLine="320" w:firstLineChars="100"/>
        <w:rPr>
          <w:rStyle w:val="12"/>
          <w:rFonts w:ascii="??_GB2312" w:hAnsi="??_GB2312" w:cs="??_GB2312"/>
          <w:color w:val="auto"/>
          <w:sz w:val="32"/>
          <w:szCs w:val="32"/>
        </w:rPr>
      </w:pPr>
      <w:r>
        <w:rPr>
          <w:rStyle w:val="12"/>
          <w:rFonts w:ascii="??_GB2312" w:hAnsi="??_GB2312" w:cs="??_GB2312"/>
          <w:color w:val="auto"/>
          <w:sz w:val="32"/>
          <w:szCs w:val="32"/>
        </w:rPr>
        <w:t>https://www.baidu.com/s?word=%E5%89%91%E9%98%81%E5%8E%BF%E4%BA%BA%E6%B0%91%E6%94%BF%E5%BA%9C%E7%BD%91&amp;tn=site888_3_pg&amp;lm=-1&amp;ssl_s=1&amp;ssl_c=ssl1_1724fcc15b6</w:t>
      </w: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sectPr>
          <w:footerReference r:id="rId3" w:type="default"/>
          <w:pgSz w:w="11906" w:h="16838"/>
          <w:pgMar w:top="2098" w:right="1474" w:bottom="1814" w:left="1588" w:header="851" w:footer="1588" w:gutter="0"/>
          <w:cols w:space="425" w:num="1"/>
          <w:docGrid w:type="lines" w:linePitch="312" w:charSpace="0"/>
        </w:sectPr>
      </w:pPr>
    </w:p>
    <w:p>
      <w:pPr>
        <w:numPr>
          <w:ilvl w:val="0"/>
          <w:numId w:val="1"/>
        </w:numPr>
        <w:ind w:firstLine="640" w:firstLineChars="200"/>
        <w:rPr>
          <w:rFonts w:ascii="黑体" w:hAnsi="黑体" w:eastAsia="黑体" w:cs="Times New Roman"/>
          <w:sz w:val="32"/>
          <w:szCs w:val="32"/>
        </w:rPr>
      </w:pPr>
      <w:r>
        <w:rPr>
          <w:rFonts w:hint="eastAsia" w:ascii="黑体" w:hAnsi="黑体" w:eastAsia="黑体" w:cs="黑体"/>
          <w:sz w:val="32"/>
          <w:szCs w:val="32"/>
        </w:rPr>
        <w:t>剑阁县经信科局重大行政执法</w:t>
      </w:r>
      <w:r>
        <w:rPr>
          <w:rFonts w:hint="eastAsia" w:ascii="黑体" w:hAnsi="黑体" w:eastAsia="黑体" w:cs="黑体"/>
          <w:sz w:val="32"/>
          <w:szCs w:val="32"/>
          <w:lang w:eastAsia="zh-CN"/>
        </w:rPr>
        <w:t>责任</w:t>
      </w:r>
      <w:r>
        <w:rPr>
          <w:rFonts w:hint="eastAsia" w:ascii="黑体" w:hAnsi="黑体" w:eastAsia="黑体" w:cs="黑体"/>
          <w:sz w:val="32"/>
          <w:szCs w:val="32"/>
        </w:rPr>
        <w:t>清单</w:t>
      </w:r>
    </w:p>
    <w:tbl>
      <w:tblPr>
        <w:tblStyle w:val="4"/>
        <w:tblW w:w="150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3006"/>
        <w:gridCol w:w="4446"/>
        <w:gridCol w:w="1476"/>
        <w:gridCol w:w="936"/>
        <w:gridCol w:w="939"/>
        <w:gridCol w:w="939"/>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序号</w:t>
            </w:r>
          </w:p>
        </w:tc>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事项编码</w:t>
            </w:r>
          </w:p>
        </w:tc>
        <w:tc>
          <w:tcPr>
            <w:tcW w:w="4446"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事项名称</w:t>
            </w:r>
          </w:p>
        </w:tc>
        <w:tc>
          <w:tcPr>
            <w:tcW w:w="1476"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行使层级</w:t>
            </w:r>
          </w:p>
        </w:tc>
        <w:tc>
          <w:tcPr>
            <w:tcW w:w="936"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事项类型</w:t>
            </w:r>
          </w:p>
        </w:tc>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事项行业</w:t>
            </w:r>
          </w:p>
        </w:tc>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事项状态</w:t>
            </w:r>
          </w:p>
        </w:tc>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录入部门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1151072100847417123510203650000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采取掺杂掺假、以假充真、以次充好或者以不合格产品冒充合格产品等手段销售成品油，或者销售国家明令淘汰并禁止销售的成品油</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2</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1151072100847417123510209297004</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对食盐定点批发企业超出规定范围销售食盐的处罚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3</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1151072100847417123510209294001</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对非食盐定点生产企业生产食盐的处罚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4</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1151072100847417123510209294002</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对非食盐定点批发企业经营食盐批发业务的处罚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5</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1151072100847417123510209297001</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对食盐定点生产企业未按规定保存生产销售记录的处罚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6</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1151072100847417123510209300001</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对食盐定点批发企业从食盐定点生产企业、其他食盐定点批发企业以外的单位或者个人购进食盐的处罚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7</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1151072100847417123510209300002</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对食盐零售单位从食盐定点批发企业以外的单位或者个人购进食盐的处罚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8</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1151072100847417123510209302000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对食盐定点企业违反规定聘用禁业限制人员的处罚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9</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1151072100847417123510209297005</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对将非食用盐产品作为食盐销售的处罚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10</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1151072100847417123510209301001</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对未按规定作出食盐或非食用盐标识的处罚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1151072100847417123510203429000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对违反成品油市场管理有关规定的处罚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12</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1151072100847417123510204755000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在科技成果转化和科技奖励活动中弄虚作假，侵占他人的科技成果，骗取奖励和荣誉称号的处罚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科学</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13</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1151072100847417123510205006000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对违反电力设施保护和供用电秩序维护的处罚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14</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1151072100847417123510206921000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科技服务机构及其从业人员，故意提供虚假的信息、实验结果或者评估意见等欺骗当事人，或者与当事人一方串通欺骗另一方当事人的处罚。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科学</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15</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1151072100847417123510203056000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对违反节约能源管理有关规定的处罚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16</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1151072100847417123510209297003</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对食盐定点批发企业未按照规定保存采购销售记录的处罚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17</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1151072100847417123510209297002</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对非食用盐生产企业未按规定保存生产销售记录的处罚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bl>
    <w:p>
      <w:pPr>
        <w:spacing w:line="576" w:lineRule="exact"/>
        <w:ind w:firstLine="640" w:firstLineChars="200"/>
        <w:jc w:val="left"/>
        <w:rPr>
          <w:rFonts w:ascii="??_GB2312" w:hAnsi="??_GB2312" w:cs="??_GB2312"/>
          <w:b/>
          <w:bCs/>
          <w:sz w:val="32"/>
          <w:szCs w:val="32"/>
        </w:rPr>
        <w:sectPr>
          <w:pgSz w:w="16838" w:h="11906" w:orient="landscape"/>
          <w:pgMar w:top="1701" w:right="1247" w:bottom="1418" w:left="1247" w:header="851" w:footer="1134" w:gutter="0"/>
          <w:cols w:space="425" w:num="1"/>
          <w:docGrid w:type="linesAndChars" w:linePitch="312" w:charSpace="0"/>
        </w:sectPr>
      </w:pPr>
    </w:p>
    <w:p>
      <w:pPr>
        <w:ind w:firstLine="640" w:firstLineChars="200"/>
        <w:rPr>
          <w:rFonts w:ascii="黑体" w:hAnsi="黑体" w:eastAsia="黑体" w:cs="Times New Roman"/>
          <w:sz w:val="32"/>
          <w:szCs w:val="32"/>
        </w:rPr>
      </w:pPr>
      <w:r>
        <w:rPr>
          <w:rFonts w:hint="eastAsia" w:ascii="黑体" w:hAnsi="黑体" w:eastAsia="黑体" w:cs="黑体"/>
          <w:sz w:val="32"/>
          <w:szCs w:val="32"/>
        </w:rPr>
        <w:t>五、剑阁县经信科局行政执法（监督信息）救济渠道、行政执法责任制</w:t>
      </w:r>
    </w:p>
    <w:p>
      <w:pPr>
        <w:ind w:firstLine="630" w:firstLineChars="196"/>
        <w:rPr>
          <w:rFonts w:ascii="??_GB2312" w:hAnsi="??_GB2312" w:eastAsia="Times New Roman" w:cs="Times New Roman"/>
          <w:sz w:val="32"/>
          <w:szCs w:val="32"/>
        </w:rPr>
      </w:pPr>
      <w:r>
        <w:rPr>
          <w:rFonts w:hint="eastAsia" w:ascii="宋体" w:hAnsi="宋体" w:cs="宋体"/>
          <w:b/>
          <w:bCs/>
          <w:sz w:val="32"/>
          <w:szCs w:val="32"/>
        </w:rPr>
        <w:t>当事人依法享有的权利、救济途径、方式</w:t>
      </w:r>
    </w:p>
    <w:p>
      <w:pPr>
        <w:ind w:firstLine="640" w:firstLineChars="200"/>
        <w:rPr>
          <w:rFonts w:ascii="??_GB2312" w:hAnsi="??_GB2312" w:eastAsia="Times New Roman" w:cs="Times New Roman"/>
          <w:sz w:val="32"/>
          <w:szCs w:val="32"/>
        </w:rPr>
      </w:pPr>
      <w:r>
        <w:rPr>
          <w:rFonts w:hint="eastAsia" w:ascii="宋体" w:hAnsi="宋体" w:cs="宋体"/>
          <w:sz w:val="32"/>
          <w:szCs w:val="32"/>
        </w:rPr>
        <w:t>（一）依法享有的权利</w:t>
      </w:r>
      <w:r>
        <w:rPr>
          <w:rFonts w:ascii="??_GB2312" w:hAnsi="??_GB2312" w:eastAsia="Times New Roman" w:cs="Times New Roman"/>
          <w:sz w:val="32"/>
          <w:szCs w:val="32"/>
        </w:rPr>
        <w:t> </w:t>
      </w:r>
    </w:p>
    <w:p>
      <w:pPr>
        <w:ind w:firstLine="640" w:firstLineChars="200"/>
        <w:rPr>
          <w:rFonts w:ascii="??_GB2312" w:hAnsi="??_GB2312" w:eastAsia="Times New Roman" w:cs="Times New Roman"/>
          <w:sz w:val="32"/>
          <w:szCs w:val="32"/>
        </w:rPr>
      </w:pPr>
      <w:r>
        <w:rPr>
          <w:rFonts w:hint="eastAsia" w:ascii="宋体" w:hAnsi="宋体" w:cs="宋体"/>
          <w:sz w:val="32"/>
          <w:szCs w:val="32"/>
        </w:rPr>
        <w:t>当事人依法享有申请回避、陈述、申辩、复议、诉讼等权利，详见相应法律法规。</w:t>
      </w:r>
      <w:r>
        <w:rPr>
          <w:rFonts w:ascii="??_GB2312" w:hAnsi="??_GB2312" w:eastAsia="Times New Roman" w:cs="Times New Roman"/>
          <w:sz w:val="32"/>
          <w:szCs w:val="32"/>
        </w:rPr>
        <w:t> </w:t>
      </w:r>
    </w:p>
    <w:p>
      <w:pPr>
        <w:ind w:firstLine="640" w:firstLineChars="200"/>
        <w:rPr>
          <w:rFonts w:ascii="??_GB2312" w:hAnsi="??_GB2312" w:eastAsia="Times New Roman" w:cs="Times New Roman"/>
          <w:sz w:val="32"/>
          <w:szCs w:val="32"/>
        </w:rPr>
      </w:pPr>
      <w:r>
        <w:rPr>
          <w:rFonts w:hint="eastAsia" w:ascii="宋体" w:hAnsi="宋体" w:cs="宋体"/>
          <w:sz w:val="32"/>
          <w:szCs w:val="32"/>
        </w:rPr>
        <w:t>（二）救济途径</w:t>
      </w:r>
      <w:r>
        <w:rPr>
          <w:rFonts w:ascii="??_GB2312" w:hAnsi="??_GB2312" w:eastAsia="Times New Roman" w:cs="Times New Roman"/>
          <w:sz w:val="32"/>
          <w:szCs w:val="32"/>
        </w:rPr>
        <w:t> </w:t>
      </w:r>
    </w:p>
    <w:p>
      <w:pPr>
        <w:ind w:firstLine="640" w:firstLineChars="200"/>
        <w:rPr>
          <w:rFonts w:hint="eastAsia" w:ascii="宋体" w:hAnsi="宋体" w:cs="宋体"/>
          <w:sz w:val="32"/>
          <w:szCs w:val="32"/>
        </w:rPr>
      </w:pPr>
      <w:r>
        <w:rPr>
          <w:rFonts w:ascii="??_GB2312" w:hAnsi="??_GB2312" w:eastAsia="Times New Roman" w:cs="Times New Roman"/>
          <w:sz w:val="32"/>
          <w:szCs w:val="32"/>
        </w:rPr>
        <w:t>1</w:t>
      </w:r>
      <w:r>
        <w:rPr>
          <w:rFonts w:hint="eastAsia" w:ascii="宋体" w:hAnsi="宋体" w:cs="宋体"/>
          <w:sz w:val="32"/>
          <w:szCs w:val="32"/>
        </w:rPr>
        <w:t>、行政复议</w:t>
      </w:r>
    </w:p>
    <w:p>
      <w:pPr>
        <w:ind w:firstLine="480" w:firstLineChars="200"/>
        <w:rPr>
          <w:rFonts w:ascii="宋体" w:hAnsi="宋体" w:eastAsia="宋体" w:cs="宋体"/>
          <w:sz w:val="28"/>
          <w:szCs w:val="28"/>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ascii="宋体" w:hAnsi="宋体" w:eastAsia="宋体" w:cs="宋体"/>
          <w:sz w:val="24"/>
          <w:szCs w:val="24"/>
        </w:rPr>
        <w:t>部</w:t>
      </w:r>
      <w:r>
        <w:rPr>
          <w:rFonts w:ascii="宋体" w:hAnsi="宋体" w:eastAsia="宋体" w:cs="宋体"/>
          <w:sz w:val="28"/>
          <w:szCs w:val="28"/>
        </w:rPr>
        <w:t>门：1、剑阁县司法局行政复议与应诉股</w:t>
      </w:r>
      <w:r>
        <w:rPr>
          <w:rFonts w:hint="eastAsia" w:ascii="宋体" w:hAnsi="宋体" w:cs="宋体"/>
          <w:sz w:val="28"/>
          <w:szCs w:val="28"/>
          <w:lang w:val="en-US" w:eastAsia="zh-CN"/>
        </w:rPr>
        <w:t xml:space="preserve">    </w:t>
      </w:r>
      <w:r>
        <w:rPr>
          <w:rFonts w:ascii="宋体" w:hAnsi="宋体" w:eastAsia="宋体" w:cs="宋体"/>
          <w:sz w:val="28"/>
          <w:szCs w:val="28"/>
        </w:rPr>
        <w:t>地址：剑阁县下寺镇隆庆街2号（剑阁县司法局二楼）电话：0839-5208080</w:t>
      </w:r>
    </w:p>
    <w:p>
      <w:pPr>
        <w:ind w:firstLine="560" w:firstLineChars="200"/>
        <w:rPr>
          <w:rFonts w:hint="default" w:ascii="Tahoma" w:hAnsi="Tahoma" w:eastAsia="宋体" w:cs="Tahoma"/>
          <w:i w:val="0"/>
          <w:caps w:val="0"/>
          <w:color w:val="000000"/>
          <w:spacing w:val="0"/>
          <w:sz w:val="14"/>
          <w:szCs w:val="14"/>
          <w:shd w:val="clear" w:fill="FFFFFF"/>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2</w:t>
      </w:r>
      <w:r>
        <w:rPr>
          <w:rFonts w:hint="eastAsia" w:ascii="宋体" w:hAnsi="宋体" w:cs="宋体"/>
          <w:sz w:val="28"/>
          <w:szCs w:val="28"/>
          <w:lang w:eastAsia="zh-CN"/>
        </w:rPr>
        <w:t>）部门：广元市经济信息化局</w:t>
      </w:r>
      <w:r>
        <w:rPr>
          <w:rFonts w:hint="eastAsia" w:ascii="宋体" w:hAnsi="宋体" w:cs="宋体"/>
          <w:sz w:val="28"/>
          <w:szCs w:val="28"/>
          <w:lang w:val="en-US" w:eastAsia="zh-CN"/>
        </w:rPr>
        <w:t xml:space="preserve">    地址：广元市</w:t>
      </w:r>
      <w:r>
        <w:rPr>
          <w:rFonts w:ascii="Tahoma" w:hAnsi="Tahoma" w:eastAsia="Tahoma" w:cs="Tahoma"/>
          <w:i w:val="0"/>
          <w:caps w:val="0"/>
          <w:color w:val="000000"/>
          <w:spacing w:val="0"/>
          <w:sz w:val="14"/>
          <w:szCs w:val="14"/>
          <w:shd w:val="clear" w:fill="FFFFFF"/>
        </w:rPr>
        <w:t> </w:t>
      </w:r>
      <w:r>
        <w:rPr>
          <w:rFonts w:ascii="宋体" w:hAnsi="宋体" w:eastAsia="宋体" w:cs="宋体"/>
          <w:sz w:val="24"/>
          <w:szCs w:val="24"/>
        </w:rPr>
        <w:t>利州区东坝街道两桥街28号</w:t>
      </w:r>
      <w:r>
        <w:rPr>
          <w:rFonts w:hint="eastAsia" w:ascii="宋体" w:hAnsi="宋体" w:cs="宋体"/>
          <w:sz w:val="24"/>
          <w:szCs w:val="24"/>
          <w:lang w:val="en-US" w:eastAsia="zh-CN"/>
        </w:rPr>
        <w:t xml:space="preserve">     电话：</w:t>
      </w:r>
      <w:r>
        <w:rPr>
          <w:rFonts w:ascii="宋体" w:hAnsi="宋体" w:eastAsia="宋体" w:cs="宋体"/>
          <w:sz w:val="24"/>
          <w:szCs w:val="24"/>
        </w:rPr>
        <w:t>3263686</w:t>
      </w:r>
    </w:p>
    <w:p>
      <w:pPr>
        <w:ind w:firstLine="280" w:firstLineChars="200"/>
        <w:rPr>
          <w:rFonts w:hint="eastAsia" w:ascii="Tahoma" w:hAnsi="Tahoma" w:eastAsia="宋体" w:cs="Tahoma"/>
          <w:i w:val="0"/>
          <w:caps w:val="0"/>
          <w:color w:val="000000"/>
          <w:spacing w:val="0"/>
          <w:sz w:val="14"/>
          <w:szCs w:val="14"/>
          <w:shd w:val="clear" w:fill="FFFFFF"/>
          <w:lang w:val="en-US" w:eastAsia="zh-CN"/>
        </w:rPr>
      </w:pPr>
    </w:p>
    <w:p>
      <w:pPr>
        <w:ind w:firstLine="560" w:firstLineChars="200"/>
        <w:rPr>
          <w:rFonts w:ascii="??_GB2312" w:hAnsi="??_GB2312" w:eastAsia="Times New Roman" w:cs="Times New Roman"/>
          <w:sz w:val="28"/>
          <w:szCs w:val="28"/>
        </w:rPr>
      </w:pPr>
      <w:r>
        <w:rPr>
          <w:rFonts w:ascii="??_GB2312" w:hAnsi="??_GB2312" w:eastAsia="Times New Roman" w:cs="Times New Roman"/>
          <w:sz w:val="28"/>
          <w:szCs w:val="28"/>
        </w:rPr>
        <w:t>2</w:t>
      </w:r>
      <w:r>
        <w:rPr>
          <w:rFonts w:hint="eastAsia" w:ascii="宋体" w:hAnsi="宋体" w:cs="宋体"/>
          <w:sz w:val="28"/>
          <w:szCs w:val="28"/>
        </w:rPr>
        <w:t>、行政诉讼</w:t>
      </w:r>
      <w:r>
        <w:rPr>
          <w:rFonts w:ascii="??_GB2312" w:hAnsi="??_GB2312" w:eastAsia="Times New Roman" w:cs="Times New Roman"/>
          <w:sz w:val="28"/>
          <w:szCs w:val="28"/>
        </w:rPr>
        <w:t> </w:t>
      </w:r>
    </w:p>
    <w:p>
      <w:pPr>
        <w:ind w:firstLine="560" w:firstLineChars="200"/>
        <w:rPr>
          <w:rFonts w:hint="default" w:ascii="??_GB2312" w:hAnsi="??_GB2312" w:eastAsia="宋体" w:cs="Times New Roman"/>
          <w:sz w:val="28"/>
          <w:szCs w:val="28"/>
          <w:lang w:val="en-US" w:eastAsia="zh-CN"/>
        </w:rPr>
      </w:pPr>
      <w:r>
        <w:rPr>
          <w:rFonts w:hint="eastAsia" w:ascii="宋体" w:hAnsi="宋体" w:cs="宋体"/>
          <w:sz w:val="28"/>
          <w:szCs w:val="28"/>
        </w:rPr>
        <w:t>单位：</w:t>
      </w:r>
      <w:r>
        <w:rPr>
          <w:rFonts w:hint="eastAsia" w:ascii="宋体" w:hAnsi="宋体" w:cs="宋体"/>
          <w:sz w:val="28"/>
          <w:szCs w:val="28"/>
          <w:lang w:val="en-US" w:eastAsia="zh-CN"/>
        </w:rPr>
        <w:t xml:space="preserve"> </w:t>
      </w:r>
      <w:r>
        <w:rPr>
          <w:rFonts w:ascii="宋体" w:hAnsi="宋体" w:eastAsia="宋体" w:cs="宋体"/>
          <w:sz w:val="28"/>
          <w:szCs w:val="28"/>
        </w:rPr>
        <w:t>剑阁县人民法院</w:t>
      </w:r>
      <w:r>
        <w:rPr>
          <w:rFonts w:hint="eastAsia" w:ascii="宋体" w:hAnsi="宋体" w:cs="宋体"/>
          <w:sz w:val="28"/>
          <w:szCs w:val="28"/>
          <w:lang w:val="en-US" w:eastAsia="zh-CN"/>
        </w:rPr>
        <w:t xml:space="preserve">  </w:t>
      </w:r>
      <w:r>
        <w:rPr>
          <w:rFonts w:hint="eastAsia" w:ascii="宋体" w:hAnsi="宋体" w:cs="宋体"/>
          <w:sz w:val="28"/>
          <w:szCs w:val="28"/>
        </w:rPr>
        <w:t>地址：</w:t>
      </w:r>
      <w:r>
        <w:rPr>
          <w:rFonts w:ascii="宋体" w:hAnsi="宋体" w:eastAsia="宋体" w:cs="宋体"/>
          <w:sz w:val="28"/>
          <w:szCs w:val="28"/>
        </w:rPr>
        <w:t>剑阁县下寺镇剑阁县剑门关大道北段502号</w:t>
      </w:r>
      <w:r>
        <w:rPr>
          <w:rFonts w:ascii="??_GB2312" w:hAnsi="??_GB2312" w:eastAsia="Times New Roman" w:cs="Times New Roman"/>
          <w:sz w:val="28"/>
          <w:szCs w:val="28"/>
        </w:rPr>
        <w:t xml:space="preserve">   </w:t>
      </w:r>
      <w:r>
        <w:rPr>
          <w:rFonts w:hint="eastAsia" w:ascii="宋体" w:hAnsi="宋体" w:cs="宋体"/>
          <w:sz w:val="28"/>
          <w:szCs w:val="28"/>
        </w:rPr>
        <w:t>电话：</w:t>
      </w:r>
      <w:r>
        <w:rPr>
          <w:rFonts w:ascii="??_GB2312" w:hAnsi="??_GB2312" w:eastAsia="Times New Roman" w:cs="Times New Roman"/>
          <w:sz w:val="28"/>
          <w:szCs w:val="28"/>
        </w:rPr>
        <w:t>0839-</w:t>
      </w:r>
      <w:r>
        <w:rPr>
          <w:rFonts w:ascii="宋体" w:hAnsi="宋体" w:eastAsia="宋体" w:cs="宋体"/>
          <w:sz w:val="28"/>
          <w:szCs w:val="28"/>
        </w:rPr>
        <w:t>5208429</w:t>
      </w:r>
      <w:r>
        <w:rPr>
          <w:rFonts w:hint="eastAsia" w:ascii="宋体" w:hAnsi="宋体" w:cs="宋体"/>
          <w:sz w:val="28"/>
          <w:szCs w:val="28"/>
          <w:lang w:val="en-US" w:eastAsia="zh-CN"/>
        </w:rPr>
        <w:t xml:space="preserve">  </w:t>
      </w:r>
    </w:p>
    <w:p>
      <w:pPr>
        <w:numPr>
          <w:ilvl w:val="0"/>
          <w:numId w:val="0"/>
        </w:numPr>
        <w:ind w:firstLine="320" w:firstLineChars="100"/>
        <w:rPr>
          <w:rFonts w:ascii="??_GB2312" w:hAnsi="??_GB2312" w:eastAsia="Times New Roman" w:cs="Times New Roman"/>
          <w:sz w:val="32"/>
          <w:szCs w:val="32"/>
        </w:rPr>
      </w:pPr>
      <w:r>
        <w:rPr>
          <w:rFonts w:hint="eastAsia" w:ascii="宋体" w:hAnsi="宋体" w:cs="宋体"/>
          <w:sz w:val="32"/>
          <w:szCs w:val="32"/>
          <w:lang w:eastAsia="zh-CN"/>
        </w:rPr>
        <w:t>（三）</w:t>
      </w:r>
      <w:r>
        <w:rPr>
          <w:rFonts w:hint="eastAsia" w:ascii="宋体" w:hAnsi="宋体" w:cs="宋体"/>
          <w:sz w:val="32"/>
          <w:szCs w:val="32"/>
        </w:rPr>
        <w:t>对行政执法的监督投诉举报的方式、途径</w:t>
      </w:r>
    </w:p>
    <w:p>
      <w:pPr>
        <w:ind w:firstLine="640" w:firstLineChars="200"/>
        <w:rPr>
          <w:rFonts w:hint="eastAsia" w:ascii="??_GB2312" w:hAnsi="??_GB2312" w:eastAsia="宋体" w:cs="Times New Roman"/>
          <w:sz w:val="28"/>
          <w:szCs w:val="28"/>
          <w:lang w:eastAsia="zh-CN"/>
        </w:rPr>
      </w:pPr>
      <w:r>
        <w:rPr>
          <w:rFonts w:hint="eastAsia" w:ascii="宋体" w:hAnsi="宋体" w:cs="宋体"/>
          <w:sz w:val="32"/>
          <w:szCs w:val="32"/>
        </w:rPr>
        <w:t>单位：</w:t>
      </w:r>
      <w:r>
        <w:rPr>
          <w:rFonts w:hint="eastAsia" w:ascii="宋体" w:hAnsi="宋体" w:cs="宋体"/>
          <w:sz w:val="32"/>
          <w:szCs w:val="32"/>
          <w:lang w:eastAsia="zh-CN"/>
        </w:rPr>
        <w:t>剑阁县司法局</w:t>
      </w:r>
      <w:r>
        <w:rPr>
          <w:rFonts w:hint="eastAsia" w:ascii="宋体" w:hAnsi="宋体" w:cs="宋体"/>
          <w:sz w:val="32"/>
          <w:szCs w:val="32"/>
          <w:lang w:val="en-US" w:eastAsia="zh-CN"/>
        </w:rPr>
        <w:t xml:space="preserve">   地址：剑阁县司法局</w:t>
      </w:r>
      <w:r>
        <w:rPr>
          <w:rFonts w:ascii="宋体" w:hAnsi="宋体" w:eastAsia="宋体" w:cs="宋体"/>
          <w:sz w:val="24"/>
          <w:szCs w:val="24"/>
        </w:rPr>
        <w:t>行政执法协调监督股</w:t>
      </w:r>
      <w:r>
        <w:rPr>
          <w:rFonts w:hint="eastAsia" w:ascii="宋体" w:hAnsi="宋体" w:cs="宋体"/>
          <w:sz w:val="24"/>
          <w:szCs w:val="24"/>
          <w:lang w:eastAsia="zh-CN"/>
        </w:rPr>
        <w:t>（</w:t>
      </w:r>
      <w:r>
        <w:rPr>
          <w:rFonts w:ascii="宋体" w:hAnsi="宋体" w:eastAsia="宋体" w:cs="宋体"/>
          <w:sz w:val="24"/>
          <w:szCs w:val="24"/>
        </w:rPr>
        <w:t>司法局二楼</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ascii="宋体" w:hAnsi="宋体" w:eastAsia="宋体" w:cs="宋体"/>
          <w:sz w:val="24"/>
          <w:szCs w:val="24"/>
        </w:rPr>
        <w:t>电话：0839-5208080</w:t>
      </w:r>
    </w:p>
    <w:p>
      <w:pPr>
        <w:ind w:firstLine="643" w:firstLineChars="200"/>
        <w:rPr>
          <w:rFonts w:ascii="??_GB2312" w:hAnsi="??_GB2312" w:eastAsia="Times New Roman" w:cs="Times New Roman"/>
          <w:b/>
          <w:bCs/>
          <w:sz w:val="32"/>
          <w:szCs w:val="32"/>
        </w:rPr>
      </w:pPr>
      <w:r>
        <w:rPr>
          <w:rFonts w:hint="eastAsia" w:ascii="宋体" w:hAnsi="宋体" w:cs="宋体"/>
          <w:b/>
          <w:bCs/>
          <w:sz w:val="32"/>
          <w:szCs w:val="32"/>
        </w:rPr>
        <w:t>行政执法责任制</w:t>
      </w:r>
    </w:p>
    <w:p>
      <w:pPr>
        <w:ind w:firstLine="640" w:firstLineChars="200"/>
        <w:rPr>
          <w:rFonts w:ascii="??_GB2312" w:hAnsi="??_GB2312" w:eastAsia="Times New Roman" w:cs="Times New Roman"/>
          <w:sz w:val="32"/>
          <w:szCs w:val="32"/>
        </w:rPr>
      </w:pPr>
      <w:r>
        <w:rPr>
          <w:rFonts w:hint="eastAsia" w:ascii="宋体" w:hAnsi="宋体" w:cs="宋体"/>
          <w:sz w:val="32"/>
          <w:szCs w:val="32"/>
        </w:rPr>
        <w:t>《国务院办公厅关于推行行政执法责任制的若干意见》（国办发</w:t>
      </w:r>
      <w:r>
        <w:rPr>
          <w:rFonts w:ascii="??_GB2312" w:hAnsi="??_GB2312" w:eastAsia="Times New Roman" w:cs="Times New Roman"/>
          <w:sz w:val="32"/>
          <w:szCs w:val="32"/>
        </w:rPr>
        <w:t>[2005]37</w:t>
      </w:r>
      <w:r>
        <w:rPr>
          <w:rFonts w:hint="eastAsia" w:ascii="宋体" w:hAnsi="宋体" w:cs="宋体"/>
          <w:sz w:val="32"/>
          <w:szCs w:val="32"/>
        </w:rPr>
        <w:t>号）</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《四川省人民政府办公厅关于深化行政执法责任制的实施意见》</w:t>
      </w:r>
      <w:r>
        <w:rPr>
          <w:rFonts w:ascii="??_GB2312" w:hAnsi="??_GB2312" w:eastAsia="Times New Roman" w:cs="Times New Roman"/>
          <w:sz w:val="32"/>
          <w:szCs w:val="32"/>
        </w:rPr>
        <w:t>(</w:t>
      </w:r>
      <w:r>
        <w:rPr>
          <w:rFonts w:hint="eastAsia" w:ascii="宋体" w:hAnsi="宋体" w:cs="宋体"/>
          <w:sz w:val="32"/>
          <w:szCs w:val="32"/>
        </w:rPr>
        <w:t>川办发</w:t>
      </w:r>
      <w:r>
        <w:rPr>
          <w:rFonts w:ascii="??_GB2312" w:hAnsi="??_GB2312" w:eastAsia="Times New Roman" w:cs="Times New Roman"/>
          <w:sz w:val="32"/>
          <w:szCs w:val="32"/>
        </w:rPr>
        <w:t>[2005]36</w:t>
      </w:r>
      <w:r>
        <w:rPr>
          <w:rFonts w:hint="eastAsia" w:ascii="宋体" w:hAnsi="宋体" w:cs="宋体"/>
          <w:sz w:val="32"/>
          <w:szCs w:val="32"/>
        </w:rPr>
        <w:t>号</w:t>
      </w:r>
      <w:r>
        <w:rPr>
          <w:rFonts w:ascii="??_GB2312" w:hAnsi="??_GB2312" w:eastAsia="Times New Roman" w:cs="Times New Roman"/>
          <w:sz w:val="32"/>
          <w:szCs w:val="32"/>
        </w:rPr>
        <w:t>)</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《四川省落实行政执法责任制全面推进依法行政考核办法》</w:t>
      </w:r>
      <w:r>
        <w:rPr>
          <w:rFonts w:ascii="??_GB2312" w:hAnsi="??_GB2312" w:eastAsia="Times New Roman" w:cs="Times New Roman"/>
          <w:sz w:val="32"/>
          <w:szCs w:val="32"/>
        </w:rPr>
        <w:t>(</w:t>
      </w:r>
      <w:r>
        <w:rPr>
          <w:rFonts w:hint="eastAsia" w:ascii="宋体" w:hAnsi="宋体" w:cs="宋体"/>
          <w:sz w:val="32"/>
          <w:szCs w:val="32"/>
        </w:rPr>
        <w:t>川府法</w:t>
      </w:r>
      <w:r>
        <w:rPr>
          <w:rFonts w:ascii="??_GB2312" w:hAnsi="??_GB2312" w:eastAsia="Times New Roman" w:cs="Times New Roman"/>
          <w:sz w:val="32"/>
          <w:szCs w:val="32"/>
        </w:rPr>
        <w:t>[2005]24</w:t>
      </w:r>
      <w:r>
        <w:rPr>
          <w:rFonts w:hint="eastAsia" w:ascii="宋体" w:hAnsi="宋体" w:cs="宋体"/>
          <w:sz w:val="32"/>
          <w:szCs w:val="32"/>
        </w:rPr>
        <w:t>号</w:t>
      </w:r>
      <w:r>
        <w:rPr>
          <w:rFonts w:ascii="??_GB2312" w:hAnsi="??_GB2312" w:eastAsia="Times New Roman" w:cs="Times New Roman"/>
          <w:sz w:val="32"/>
          <w:szCs w:val="32"/>
        </w:rPr>
        <w:t>)</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四川省行政执法监督条例</w:t>
      </w:r>
    </w:p>
    <w:p>
      <w:pPr>
        <w:ind w:firstLine="640" w:firstLineChars="200"/>
        <w:rPr>
          <w:rFonts w:ascii="??_GB2312" w:hAnsi="??_GB2312" w:eastAsia="Times New Roman" w:cs="Times New Roman"/>
          <w:sz w:val="32"/>
          <w:szCs w:val="32"/>
        </w:rPr>
      </w:pPr>
      <w:r>
        <w:rPr>
          <w:rFonts w:hint="eastAsia" w:ascii="宋体" w:hAnsi="宋体" w:cs="宋体"/>
          <w:sz w:val="32"/>
          <w:szCs w:val="32"/>
        </w:rPr>
        <w:t>行政机关公务员处分条例</w:t>
      </w:r>
    </w:p>
    <w:p>
      <w:pPr>
        <w:ind w:firstLine="640" w:firstLineChars="200"/>
        <w:rPr>
          <w:rFonts w:ascii="??_GB2312" w:hAnsi="??_GB2312" w:eastAsia="Times New Roman" w:cs="Times New Roman"/>
          <w:sz w:val="32"/>
          <w:szCs w:val="32"/>
        </w:rPr>
      </w:pPr>
      <w:r>
        <w:rPr>
          <w:rFonts w:hint="eastAsia" w:ascii="宋体" w:hAnsi="宋体" w:cs="宋体"/>
          <w:sz w:val="32"/>
          <w:szCs w:val="32"/>
        </w:rPr>
        <w:t>事业单位工作人员处分暂行规定</w:t>
      </w:r>
    </w:p>
    <w:p>
      <w:pPr>
        <w:spacing w:line="576" w:lineRule="exact"/>
        <w:ind w:firstLine="643" w:firstLineChars="200"/>
        <w:jc w:val="left"/>
        <w:rPr>
          <w:rFonts w:ascii="??_GB2312" w:hAnsi="??_GB2312" w:cs="??_GB2312"/>
          <w:b/>
          <w:bCs/>
          <w:sz w:val="32"/>
          <w:szCs w:val="32"/>
        </w:rPr>
        <w:sectPr>
          <w:pgSz w:w="11906" w:h="16838"/>
          <w:pgMar w:top="2098" w:right="1474" w:bottom="1814" w:left="1588" w:header="851" w:footer="1588" w:gutter="0"/>
          <w:cols w:space="425" w:num="1"/>
          <w:docGrid w:type="lines" w:linePitch="312" w:charSpace="0"/>
        </w:sectPr>
      </w:pPr>
    </w:p>
    <w:p>
      <w:pPr>
        <w:ind w:firstLine="640" w:firstLineChars="200"/>
        <w:rPr>
          <w:rFonts w:ascii="黑体" w:hAnsi="黑体" w:eastAsia="黑体" w:cs="Times New Roman"/>
          <w:sz w:val="32"/>
          <w:szCs w:val="32"/>
        </w:rPr>
      </w:pPr>
      <w:r>
        <w:rPr>
          <w:rFonts w:hint="eastAsia" w:ascii="黑体" w:hAnsi="黑体" w:eastAsia="黑体" w:cs="黑体"/>
          <w:sz w:val="32"/>
          <w:szCs w:val="32"/>
        </w:rPr>
        <w:t>六、剑阁县经信科局行政执法自由裁量标准</w:t>
      </w:r>
    </w:p>
    <w:tbl>
      <w:tblPr>
        <w:tblStyle w:val="4"/>
        <w:tblW w:w="14790" w:type="dxa"/>
        <w:tblInd w:w="-106" w:type="dxa"/>
        <w:tblLayout w:type="autofit"/>
        <w:tblCellMar>
          <w:top w:w="0" w:type="dxa"/>
          <w:left w:w="108" w:type="dxa"/>
          <w:bottom w:w="0" w:type="dxa"/>
          <w:right w:w="108" w:type="dxa"/>
        </w:tblCellMar>
      </w:tblPr>
      <w:tblGrid>
        <w:gridCol w:w="1395"/>
        <w:gridCol w:w="5355"/>
        <w:gridCol w:w="2100"/>
        <w:gridCol w:w="5940"/>
      </w:tblGrid>
      <w:tr>
        <w:tblPrEx>
          <w:tblCellMar>
            <w:top w:w="0" w:type="dxa"/>
            <w:left w:w="108" w:type="dxa"/>
            <w:bottom w:w="0" w:type="dxa"/>
            <w:right w:w="108" w:type="dxa"/>
          </w:tblCellMar>
        </w:tblPrEx>
        <w:trPr>
          <w:trHeight w:val="522" w:hRule="atLeast"/>
        </w:trPr>
        <w:tc>
          <w:tcPr>
            <w:tcW w:w="14790" w:type="dxa"/>
            <w:gridSpan w:val="4"/>
            <w:tcBorders>
              <w:top w:val="nil"/>
              <w:left w:val="nil"/>
              <w:bottom w:val="nil"/>
              <w:right w:val="nil"/>
            </w:tcBorders>
            <w:noWrap/>
            <w:vAlign w:val="bottom"/>
          </w:tcPr>
          <w:p>
            <w:pPr>
              <w:widowControl/>
              <w:spacing w:line="360" w:lineRule="exact"/>
              <w:jc w:val="center"/>
              <w:rPr>
                <w:rFonts w:ascii="宋体" w:cs="Times New Roman"/>
                <w:b/>
                <w:bCs/>
                <w:kern w:val="0"/>
                <w:sz w:val="28"/>
                <w:szCs w:val="28"/>
              </w:rPr>
            </w:pPr>
            <w:r>
              <w:rPr>
                <w:rFonts w:hint="eastAsia" w:ascii="宋体" w:hAnsi="宋体" w:cs="宋体"/>
                <w:b/>
                <w:bCs/>
                <w:kern w:val="0"/>
                <w:sz w:val="28"/>
                <w:szCs w:val="28"/>
              </w:rPr>
              <w:t>剑阁县经济信息化和科学技术局行政执法裁量权标准</w:t>
            </w:r>
          </w:p>
        </w:tc>
      </w:tr>
      <w:tr>
        <w:tblPrEx>
          <w:tblCellMar>
            <w:top w:w="0" w:type="dxa"/>
            <w:left w:w="108" w:type="dxa"/>
            <w:bottom w:w="0" w:type="dxa"/>
            <w:right w:w="108" w:type="dxa"/>
          </w:tblCellMar>
        </w:tblPrEx>
        <w:trPr>
          <w:trHeight w:val="360" w:hRule="atLeast"/>
        </w:trPr>
        <w:tc>
          <w:tcPr>
            <w:tcW w:w="14790"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left"/>
              <w:rPr>
                <w:rFonts w:ascii="宋体" w:cs="Times New Roman"/>
                <w:b/>
                <w:bCs/>
                <w:kern w:val="0"/>
                <w:sz w:val="20"/>
                <w:szCs w:val="20"/>
              </w:rPr>
            </w:pPr>
            <w:r>
              <w:rPr>
                <w:rFonts w:hint="eastAsia" w:ascii="宋体" w:hAnsi="宋体" w:cs="宋体"/>
                <w:b/>
                <w:bCs/>
                <w:kern w:val="0"/>
                <w:sz w:val="20"/>
                <w:szCs w:val="20"/>
              </w:rPr>
              <w:t>一、行政许可</w:t>
            </w:r>
          </w:p>
        </w:tc>
      </w:tr>
      <w:tr>
        <w:tblPrEx>
          <w:tblCellMar>
            <w:top w:w="0" w:type="dxa"/>
            <w:left w:w="108" w:type="dxa"/>
            <w:bottom w:w="0" w:type="dxa"/>
            <w:right w:w="108" w:type="dxa"/>
          </w:tblCellMar>
        </w:tblPrEx>
        <w:trPr>
          <w:trHeight w:val="360" w:hRule="atLeast"/>
        </w:trPr>
        <w:tc>
          <w:tcPr>
            <w:tcW w:w="1395" w:type="dxa"/>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center"/>
              <w:rPr>
                <w:rFonts w:ascii="宋体" w:cs="Times New Roman"/>
                <w:b/>
                <w:bCs/>
                <w:kern w:val="0"/>
                <w:sz w:val="20"/>
                <w:szCs w:val="20"/>
              </w:rPr>
            </w:pPr>
            <w:r>
              <w:rPr>
                <w:rFonts w:hint="eastAsia" w:ascii="宋体" w:hAnsi="宋体" w:cs="宋体"/>
                <w:b/>
                <w:bCs/>
                <w:kern w:val="0"/>
                <w:sz w:val="20"/>
                <w:szCs w:val="20"/>
              </w:rPr>
              <w:t>行政权力事项</w:t>
            </w:r>
          </w:p>
        </w:tc>
        <w:tc>
          <w:tcPr>
            <w:tcW w:w="5355" w:type="dxa"/>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center"/>
              <w:rPr>
                <w:rFonts w:ascii="宋体" w:cs="Times New Roman"/>
                <w:b/>
                <w:bCs/>
                <w:kern w:val="0"/>
                <w:sz w:val="20"/>
                <w:szCs w:val="20"/>
              </w:rPr>
            </w:pPr>
            <w:r>
              <w:rPr>
                <w:rFonts w:hint="eastAsia" w:ascii="宋体" w:hAnsi="宋体" w:cs="宋体"/>
                <w:b/>
                <w:bCs/>
                <w:kern w:val="0"/>
                <w:sz w:val="20"/>
                <w:szCs w:val="20"/>
              </w:rPr>
              <w:t>法律法规依据</w:t>
            </w:r>
          </w:p>
        </w:tc>
        <w:tc>
          <w:tcPr>
            <w:tcW w:w="2100" w:type="dxa"/>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center"/>
              <w:rPr>
                <w:rFonts w:ascii="宋体" w:cs="Times New Roman"/>
                <w:b/>
                <w:bCs/>
                <w:kern w:val="0"/>
                <w:sz w:val="20"/>
                <w:szCs w:val="20"/>
              </w:rPr>
            </w:pPr>
            <w:r>
              <w:rPr>
                <w:rFonts w:hint="eastAsia" w:ascii="宋体" w:hAnsi="宋体" w:cs="宋体"/>
                <w:b/>
                <w:bCs/>
                <w:kern w:val="0"/>
                <w:sz w:val="20"/>
                <w:szCs w:val="20"/>
              </w:rPr>
              <w:t>适用情形</w:t>
            </w:r>
          </w:p>
        </w:tc>
        <w:tc>
          <w:tcPr>
            <w:tcW w:w="5940" w:type="dxa"/>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center"/>
              <w:rPr>
                <w:rFonts w:ascii="宋体" w:cs="Times New Roman"/>
                <w:b/>
                <w:bCs/>
                <w:kern w:val="0"/>
                <w:sz w:val="20"/>
                <w:szCs w:val="20"/>
              </w:rPr>
            </w:pPr>
            <w:r>
              <w:rPr>
                <w:rFonts w:hint="eastAsia" w:ascii="宋体" w:hAnsi="宋体" w:cs="宋体"/>
                <w:b/>
                <w:bCs/>
                <w:kern w:val="0"/>
                <w:sz w:val="20"/>
                <w:szCs w:val="20"/>
              </w:rPr>
              <w:t>裁量标准</w:t>
            </w:r>
          </w:p>
        </w:tc>
      </w:tr>
      <w:tr>
        <w:tblPrEx>
          <w:tblCellMar>
            <w:top w:w="0" w:type="dxa"/>
            <w:left w:w="108" w:type="dxa"/>
            <w:bottom w:w="0" w:type="dxa"/>
            <w:right w:w="108" w:type="dxa"/>
          </w:tblCellMar>
        </w:tblPrEx>
        <w:trPr>
          <w:trHeight w:val="5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1</w:t>
            </w:r>
            <w:r>
              <w:rPr>
                <w:rFonts w:hint="eastAsia" w:ascii="宋体" w:hAnsi="宋体" w:cs="宋体"/>
                <w:kern w:val="0"/>
                <w:sz w:val="20"/>
                <w:szCs w:val="20"/>
              </w:rPr>
              <w:t>、电力设施保护区内施工作业许可</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《中华人民共和国电力法》第五十四条：任何单位和个人需要在依法划定的电力设施保护区内进行可能危及电力设施安全的作业时，应当经电力管理部门批准并采取安全措施后，方可进行作业。</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发电设施、变电设施保护范围内</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15</w:t>
            </w:r>
            <w:r>
              <w:rPr>
                <w:rFonts w:hint="eastAsia" w:ascii="宋体" w:hAnsi="宋体" w:cs="宋体"/>
                <w:kern w:val="0"/>
                <w:sz w:val="20"/>
                <w:szCs w:val="20"/>
              </w:rPr>
              <w:t>个工作日内予以批复；需要转报的大型项目，不按此时限</w:t>
            </w:r>
          </w:p>
        </w:tc>
      </w:tr>
      <w:tr>
        <w:tblPrEx>
          <w:tblCellMar>
            <w:top w:w="0" w:type="dxa"/>
            <w:left w:w="108" w:type="dxa"/>
            <w:bottom w:w="0" w:type="dxa"/>
            <w:right w:w="108" w:type="dxa"/>
          </w:tblCellMar>
        </w:tblPrEx>
        <w:trPr>
          <w:trHeight w:val="58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电力线路设施保护范围内</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15</w:t>
            </w:r>
            <w:r>
              <w:rPr>
                <w:rFonts w:hint="eastAsia" w:ascii="宋体" w:hAnsi="宋体" w:cs="宋体"/>
                <w:kern w:val="0"/>
                <w:sz w:val="20"/>
                <w:szCs w:val="20"/>
              </w:rPr>
              <w:t>个工作日内予以批复；需要转报的大型项目，不按此时限</w:t>
            </w:r>
          </w:p>
        </w:tc>
      </w:tr>
      <w:tr>
        <w:tblPrEx>
          <w:tblCellMar>
            <w:top w:w="0" w:type="dxa"/>
            <w:left w:w="108" w:type="dxa"/>
            <w:bottom w:w="0" w:type="dxa"/>
            <w:right w:w="108" w:type="dxa"/>
          </w:tblCellMar>
        </w:tblPrEx>
        <w:trPr>
          <w:trHeight w:val="5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2</w:t>
            </w:r>
            <w:r>
              <w:rPr>
                <w:rFonts w:hint="eastAsia" w:ascii="宋体" w:hAnsi="宋体" w:cs="宋体"/>
                <w:kern w:val="0"/>
                <w:sz w:val="20"/>
                <w:szCs w:val="20"/>
              </w:rPr>
              <w:t>、技术改造项目核准</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关于发布政府核准的投资项目目录（四川</w:t>
            </w:r>
            <w:r>
              <w:rPr>
                <w:rFonts w:ascii="宋体" w:hAnsi="宋体" w:cs="宋体"/>
                <w:kern w:val="0"/>
                <w:sz w:val="20"/>
                <w:szCs w:val="20"/>
              </w:rPr>
              <w:t>2014</w:t>
            </w:r>
            <w:r>
              <w:rPr>
                <w:rFonts w:hint="eastAsia" w:ascii="宋体" w:hAnsi="宋体" w:cs="宋体"/>
                <w:kern w:val="0"/>
                <w:sz w:val="20"/>
                <w:szCs w:val="20"/>
              </w:rPr>
              <w:t>年本）第六、除目录中明确由国家和省核准的项目外，跨市（州）的项目由省级核准，跨县（市、区）的项目由市（州）核准。除跨县（市、区）的项目核准外，扩权试点县（市）执行市（州）级项目核准权限。</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企业投资技术改造项目备案</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对符合规定的备案项目，</w:t>
            </w:r>
            <w:r>
              <w:rPr>
                <w:rFonts w:ascii="宋体" w:hAnsi="宋体" w:cs="宋体"/>
                <w:kern w:val="0"/>
                <w:sz w:val="20"/>
                <w:szCs w:val="20"/>
              </w:rPr>
              <w:t>10</w:t>
            </w:r>
            <w:r>
              <w:rPr>
                <w:rFonts w:hint="eastAsia" w:ascii="宋体" w:hAnsi="宋体" w:cs="宋体"/>
                <w:kern w:val="0"/>
                <w:sz w:val="20"/>
                <w:szCs w:val="20"/>
              </w:rPr>
              <w:t>个工作日内予以备案</w:t>
            </w:r>
          </w:p>
        </w:tc>
      </w:tr>
      <w:tr>
        <w:tblPrEx>
          <w:tblCellMar>
            <w:top w:w="0" w:type="dxa"/>
            <w:left w:w="108" w:type="dxa"/>
            <w:bottom w:w="0" w:type="dxa"/>
            <w:right w:w="108" w:type="dxa"/>
          </w:tblCellMar>
        </w:tblPrEx>
        <w:trPr>
          <w:trHeight w:val="58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企业投资技术改造项目核准</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对符合规定的核准项目，</w:t>
            </w:r>
            <w:r>
              <w:rPr>
                <w:rFonts w:ascii="宋体" w:hAnsi="宋体" w:cs="宋体"/>
                <w:kern w:val="0"/>
                <w:sz w:val="20"/>
                <w:szCs w:val="20"/>
              </w:rPr>
              <w:t>15</w:t>
            </w:r>
            <w:r>
              <w:rPr>
                <w:rFonts w:hint="eastAsia" w:ascii="宋体" w:hAnsi="宋体" w:cs="宋体"/>
                <w:kern w:val="0"/>
                <w:sz w:val="20"/>
                <w:szCs w:val="20"/>
              </w:rPr>
              <w:t>个工作日内予以核准</w:t>
            </w:r>
          </w:p>
        </w:tc>
      </w:tr>
      <w:tr>
        <w:tblPrEx>
          <w:tblCellMar>
            <w:top w:w="0" w:type="dxa"/>
            <w:left w:w="108" w:type="dxa"/>
            <w:bottom w:w="0" w:type="dxa"/>
            <w:right w:w="108" w:type="dxa"/>
          </w:tblCellMar>
        </w:tblPrEx>
        <w:trPr>
          <w:trHeight w:val="58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国家鼓励类产业企业确认初审</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对符合规定的项目，</w:t>
            </w:r>
            <w:r>
              <w:rPr>
                <w:rFonts w:ascii="宋体" w:hAnsi="宋体" w:cs="宋体"/>
                <w:kern w:val="0"/>
                <w:sz w:val="20"/>
                <w:szCs w:val="20"/>
              </w:rPr>
              <w:t>15</w:t>
            </w:r>
            <w:r>
              <w:rPr>
                <w:rFonts w:hint="eastAsia" w:ascii="宋体" w:hAnsi="宋体" w:cs="宋体"/>
                <w:kern w:val="0"/>
                <w:sz w:val="20"/>
                <w:szCs w:val="20"/>
              </w:rPr>
              <w:t>个工作日内转报省经信委审批</w:t>
            </w:r>
          </w:p>
        </w:tc>
      </w:tr>
      <w:tr>
        <w:tblPrEx>
          <w:tblCellMar>
            <w:top w:w="0" w:type="dxa"/>
            <w:left w:w="108" w:type="dxa"/>
            <w:bottom w:w="0" w:type="dxa"/>
            <w:right w:w="108" w:type="dxa"/>
          </w:tblCellMar>
        </w:tblPrEx>
        <w:trPr>
          <w:trHeight w:val="5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3</w:t>
            </w:r>
            <w:r>
              <w:rPr>
                <w:rFonts w:hint="eastAsia" w:ascii="宋体" w:hAnsi="宋体" w:cs="宋体"/>
                <w:kern w:val="0"/>
                <w:sz w:val="20"/>
                <w:szCs w:val="20"/>
              </w:rPr>
              <w:t>、加油站、油库建设项目（含新建、迁建、改扩建）的转报</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《成品油市场管理办法》第六条：申请从事成品油零售经营资格的企业，应当向所在地市级（设区的市</w:t>
            </w:r>
            <w:r>
              <w:rPr>
                <w:rFonts w:ascii="宋体" w:cs="宋体"/>
                <w:kern w:val="0"/>
                <w:sz w:val="20"/>
                <w:szCs w:val="20"/>
              </w:rPr>
              <w:t>,</w:t>
            </w:r>
            <w:r>
              <w:rPr>
                <w:rFonts w:hint="eastAsia" w:ascii="宋体" w:hAnsi="宋体" w:cs="宋体"/>
                <w:kern w:val="0"/>
                <w:sz w:val="20"/>
                <w:szCs w:val="20"/>
              </w:rPr>
              <w:t>下同）人民政府商务主管部门提出申请。地市级人民政府商务主管部门审查后，将初步审查意见及申请材料报省级人民政府商务主管部门。由省级人民政府商务主管部门决定是否给予成品油零售经营许可。</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加油站新（迁）建项目</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个工作日内予以向省经信委转报</w:t>
            </w:r>
          </w:p>
        </w:tc>
      </w:tr>
      <w:tr>
        <w:tblPrEx>
          <w:tblCellMar>
            <w:top w:w="0" w:type="dxa"/>
            <w:left w:w="108" w:type="dxa"/>
            <w:bottom w:w="0" w:type="dxa"/>
            <w:right w:w="108" w:type="dxa"/>
          </w:tblCellMar>
        </w:tblPrEx>
        <w:trPr>
          <w:trHeight w:val="277"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油库新建项目</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个工作日内予以向省经信委转报</w:t>
            </w:r>
          </w:p>
        </w:tc>
      </w:tr>
      <w:tr>
        <w:tblPrEx>
          <w:tblCellMar>
            <w:top w:w="0" w:type="dxa"/>
            <w:left w:w="108" w:type="dxa"/>
            <w:bottom w:w="0" w:type="dxa"/>
            <w:right w:w="108" w:type="dxa"/>
          </w:tblCellMar>
        </w:tblPrEx>
        <w:trPr>
          <w:trHeight w:val="310"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加油站改（扩）建项目</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个工作日内予以向省经信委转报</w:t>
            </w:r>
          </w:p>
        </w:tc>
      </w:tr>
      <w:tr>
        <w:tblPrEx>
          <w:tblCellMar>
            <w:top w:w="0" w:type="dxa"/>
            <w:left w:w="108" w:type="dxa"/>
            <w:bottom w:w="0" w:type="dxa"/>
            <w:right w:w="108" w:type="dxa"/>
          </w:tblCellMar>
        </w:tblPrEx>
        <w:trPr>
          <w:trHeight w:val="513"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4</w:t>
            </w:r>
            <w:r>
              <w:rPr>
                <w:rFonts w:hint="eastAsia" w:ascii="宋体" w:hAnsi="宋体" w:cs="宋体"/>
                <w:kern w:val="0"/>
                <w:sz w:val="20"/>
                <w:szCs w:val="20"/>
              </w:rPr>
              <w:t>、使用进口设备免征进口关税环节增值税确认初审</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《国务院关于调整进口设备税收政策的通知》规定：自</w:t>
            </w:r>
            <w:r>
              <w:rPr>
                <w:rFonts w:ascii="宋体" w:hAnsi="宋体" w:cs="宋体"/>
                <w:kern w:val="0"/>
                <w:sz w:val="20"/>
                <w:szCs w:val="20"/>
              </w:rPr>
              <w:t>1998</w:t>
            </w:r>
            <w:r>
              <w:rPr>
                <w:rFonts w:hint="eastAsia" w:ascii="宋体" w:hAnsi="宋体" w:cs="宋体"/>
                <w:kern w:val="0"/>
                <w:sz w:val="20"/>
                <w:szCs w:val="20"/>
              </w:rPr>
              <w:t>年</w:t>
            </w:r>
            <w:r>
              <w:rPr>
                <w:rFonts w:ascii="宋体" w:hAnsi="宋体" w:cs="宋体"/>
                <w:kern w:val="0"/>
                <w:sz w:val="20"/>
                <w:szCs w:val="20"/>
              </w:rPr>
              <w:t>1</w:t>
            </w:r>
            <w:r>
              <w:rPr>
                <w:rFonts w:hint="eastAsia" w:ascii="宋体" w:hAnsi="宋体" w:cs="宋体"/>
                <w:kern w:val="0"/>
                <w:sz w:val="20"/>
                <w:szCs w:val="20"/>
              </w:rPr>
              <w:t>月</w:t>
            </w:r>
            <w:r>
              <w:rPr>
                <w:rFonts w:ascii="宋体" w:hAnsi="宋体" w:cs="宋体"/>
                <w:kern w:val="0"/>
                <w:sz w:val="20"/>
                <w:szCs w:val="20"/>
              </w:rPr>
              <w:t>1</w:t>
            </w:r>
            <w:r>
              <w:rPr>
                <w:rFonts w:hint="eastAsia" w:ascii="宋体" w:hAnsi="宋体" w:cs="宋体"/>
                <w:kern w:val="0"/>
                <w:sz w:val="20"/>
                <w:szCs w:val="20"/>
              </w:rPr>
              <w:t>日起，对国家鼓励发展的国内投资项目和外商投资项目进口设备，在规定的范围内，免征关税和进口环节增值税。《国家发展和改革委关于办理内资项目〈国家鼓励发展的内外资项目确认书〉有关问题的通知》（发改规划〔</w:t>
            </w:r>
            <w:r>
              <w:rPr>
                <w:rFonts w:ascii="宋体" w:hAnsi="宋体" w:cs="宋体"/>
                <w:kern w:val="0"/>
                <w:sz w:val="20"/>
                <w:szCs w:val="20"/>
              </w:rPr>
              <w:t>2003</w:t>
            </w:r>
            <w:r>
              <w:rPr>
                <w:rFonts w:hint="eastAsia" w:ascii="宋体" w:hAnsi="宋体" w:cs="宋体"/>
                <w:kern w:val="0"/>
                <w:sz w:val="20"/>
                <w:szCs w:val="20"/>
              </w:rPr>
              <w:t>〕</w:t>
            </w:r>
            <w:r>
              <w:rPr>
                <w:rFonts w:ascii="宋体" w:hAnsi="宋体" w:cs="宋体"/>
                <w:kern w:val="0"/>
                <w:sz w:val="20"/>
                <w:szCs w:val="20"/>
              </w:rPr>
              <w:t>900</w:t>
            </w:r>
            <w:r>
              <w:rPr>
                <w:rFonts w:hint="eastAsia" w:ascii="宋体" w:hAnsi="宋体" w:cs="宋体"/>
                <w:kern w:val="0"/>
                <w:sz w:val="20"/>
                <w:szCs w:val="20"/>
              </w:rPr>
              <w:t>号）关于免税确认书办理第（三）条规定</w:t>
            </w:r>
            <w:r>
              <w:rPr>
                <w:rFonts w:ascii="宋体" w:hAnsi="宋体" w:cs="宋体"/>
                <w:kern w:val="0"/>
                <w:sz w:val="20"/>
                <w:szCs w:val="20"/>
              </w:rPr>
              <w:t>)</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外商投资企业使用进口设备</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个工作日内出具初审确认文件</w:t>
            </w:r>
          </w:p>
        </w:tc>
      </w:tr>
      <w:tr>
        <w:tblPrEx>
          <w:tblCellMar>
            <w:top w:w="0" w:type="dxa"/>
            <w:left w:w="108" w:type="dxa"/>
            <w:bottom w:w="0" w:type="dxa"/>
            <w:right w:w="108" w:type="dxa"/>
          </w:tblCellMar>
        </w:tblPrEx>
        <w:trPr>
          <w:trHeight w:val="449"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内资企业使用进口设备</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个工作日内出具初审确认文件</w:t>
            </w:r>
          </w:p>
        </w:tc>
      </w:tr>
      <w:tr>
        <w:tblPrEx>
          <w:tblCellMar>
            <w:top w:w="0" w:type="dxa"/>
            <w:left w:w="108" w:type="dxa"/>
            <w:bottom w:w="0" w:type="dxa"/>
            <w:right w:w="108" w:type="dxa"/>
          </w:tblCellMar>
        </w:tblPrEx>
        <w:trPr>
          <w:trHeight w:val="1020"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在发明专利申请公布后、专利权授予前使用该发明而未支付适当费用的纠纷</w:t>
            </w:r>
          </w:p>
        </w:tc>
        <w:tc>
          <w:tcPr>
            <w:tcW w:w="59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r>
      <w:tr>
        <w:tblPrEx>
          <w:tblCellMar>
            <w:top w:w="0" w:type="dxa"/>
            <w:left w:w="108" w:type="dxa"/>
            <w:bottom w:w="0" w:type="dxa"/>
            <w:right w:w="108" w:type="dxa"/>
          </w:tblCellMar>
        </w:tblPrEx>
        <w:trPr>
          <w:trHeight w:val="76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专利申请权和专利权归属纠纷</w:t>
            </w:r>
          </w:p>
        </w:tc>
        <w:tc>
          <w:tcPr>
            <w:tcW w:w="594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r>
      <w:tr>
        <w:tblPrEx>
          <w:tblCellMar>
            <w:top w:w="0" w:type="dxa"/>
            <w:left w:w="108" w:type="dxa"/>
            <w:bottom w:w="0" w:type="dxa"/>
            <w:right w:w="108" w:type="dxa"/>
          </w:tblCellMar>
        </w:tblPrEx>
        <w:trPr>
          <w:trHeight w:val="76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职务发明的发明人、设计人的奖励和报酬纠纷</w:t>
            </w:r>
          </w:p>
        </w:tc>
        <w:tc>
          <w:tcPr>
            <w:tcW w:w="594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r>
      <w:tr>
        <w:tblPrEx>
          <w:tblCellMar>
            <w:top w:w="0" w:type="dxa"/>
            <w:left w:w="108" w:type="dxa"/>
            <w:bottom w:w="0" w:type="dxa"/>
            <w:right w:w="108" w:type="dxa"/>
          </w:tblCellMar>
        </w:tblPrEx>
        <w:trPr>
          <w:trHeight w:val="76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专利发明人、设计人的资格纠纷</w:t>
            </w:r>
          </w:p>
        </w:tc>
        <w:tc>
          <w:tcPr>
            <w:tcW w:w="594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r>
      <w:tr>
        <w:tblPrEx>
          <w:tblCellMar>
            <w:top w:w="0" w:type="dxa"/>
            <w:left w:w="108" w:type="dxa"/>
            <w:bottom w:w="0" w:type="dxa"/>
            <w:right w:w="108" w:type="dxa"/>
          </w:tblCellMar>
        </w:tblPrEx>
        <w:trPr>
          <w:trHeight w:val="360" w:hRule="atLeast"/>
        </w:trPr>
        <w:tc>
          <w:tcPr>
            <w:tcW w:w="1479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宋体" w:cs="Times New Roman"/>
                <w:b/>
                <w:bCs/>
                <w:kern w:val="0"/>
                <w:sz w:val="20"/>
                <w:szCs w:val="20"/>
              </w:rPr>
            </w:pPr>
            <w:r>
              <w:rPr>
                <w:rFonts w:hint="eastAsia" w:ascii="宋体" w:hAnsi="宋体" w:cs="宋体"/>
                <w:b/>
                <w:bCs/>
                <w:kern w:val="0"/>
                <w:sz w:val="20"/>
                <w:szCs w:val="20"/>
              </w:rPr>
              <w:t>二、其他行政权力</w:t>
            </w:r>
          </w:p>
        </w:tc>
      </w:tr>
      <w:tr>
        <w:tblPrEx>
          <w:tblCellMar>
            <w:top w:w="0" w:type="dxa"/>
            <w:left w:w="108" w:type="dxa"/>
            <w:bottom w:w="0" w:type="dxa"/>
            <w:right w:w="108" w:type="dxa"/>
          </w:tblCellMar>
        </w:tblPrEx>
        <w:trPr>
          <w:trHeight w:val="3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宋体" w:cs="Times New Roman"/>
                <w:b/>
                <w:bCs/>
                <w:kern w:val="0"/>
                <w:sz w:val="20"/>
                <w:szCs w:val="20"/>
              </w:rPr>
            </w:pPr>
            <w:r>
              <w:rPr>
                <w:rFonts w:hint="eastAsia" w:ascii="宋体" w:hAnsi="宋体" w:cs="宋体"/>
                <w:b/>
                <w:bCs/>
                <w:kern w:val="0"/>
                <w:sz w:val="20"/>
                <w:szCs w:val="20"/>
              </w:rPr>
              <w:t>行政权力事项</w:t>
            </w:r>
          </w:p>
        </w:tc>
        <w:tc>
          <w:tcPr>
            <w:tcW w:w="535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宋体" w:cs="Times New Roman"/>
                <w:b/>
                <w:bCs/>
                <w:kern w:val="0"/>
                <w:sz w:val="20"/>
                <w:szCs w:val="20"/>
              </w:rPr>
            </w:pPr>
            <w:r>
              <w:rPr>
                <w:rFonts w:hint="eastAsia" w:ascii="宋体" w:hAnsi="宋体" w:cs="宋体"/>
                <w:b/>
                <w:bCs/>
                <w:kern w:val="0"/>
                <w:sz w:val="20"/>
                <w:szCs w:val="20"/>
              </w:rPr>
              <w:t>法律法规依据</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宋体" w:cs="Times New Roman"/>
                <w:b/>
                <w:bCs/>
                <w:kern w:val="0"/>
                <w:sz w:val="20"/>
                <w:szCs w:val="20"/>
              </w:rPr>
            </w:pPr>
            <w:r>
              <w:rPr>
                <w:rFonts w:hint="eastAsia" w:ascii="宋体" w:hAnsi="宋体" w:cs="宋体"/>
                <w:b/>
                <w:bCs/>
                <w:kern w:val="0"/>
                <w:sz w:val="20"/>
                <w:szCs w:val="20"/>
              </w:rPr>
              <w:t>适用范围</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宋体" w:cs="Times New Roman"/>
                <w:b/>
                <w:bCs/>
                <w:kern w:val="0"/>
                <w:sz w:val="20"/>
                <w:szCs w:val="20"/>
              </w:rPr>
            </w:pPr>
            <w:r>
              <w:rPr>
                <w:rFonts w:hint="eastAsia" w:ascii="宋体" w:hAnsi="宋体" w:cs="宋体"/>
                <w:b/>
                <w:bCs/>
                <w:kern w:val="0"/>
                <w:sz w:val="20"/>
                <w:szCs w:val="20"/>
              </w:rPr>
              <w:t>裁量标准</w:t>
            </w:r>
          </w:p>
        </w:tc>
      </w:tr>
      <w:tr>
        <w:tblPrEx>
          <w:tblCellMar>
            <w:top w:w="0" w:type="dxa"/>
            <w:left w:w="108" w:type="dxa"/>
            <w:bottom w:w="0" w:type="dxa"/>
            <w:right w:w="108" w:type="dxa"/>
          </w:tblCellMar>
        </w:tblPrEx>
        <w:trPr>
          <w:trHeight w:val="10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县级科技计划项目审批</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1</w:t>
            </w:r>
            <w:r>
              <w:rPr>
                <w:rFonts w:hint="eastAsia" w:ascii="宋体" w:hAnsi="宋体" w:cs="宋体"/>
                <w:kern w:val="0"/>
                <w:sz w:val="20"/>
                <w:szCs w:val="20"/>
              </w:rPr>
              <w:t>、《中华人民共和国科技进步法》第十一条：县级以上地方人民政府科学技术行政部门负责本行政区域的科学技术进步工作；县级以上地方人民政府其他有关部门在各自的职责范围内，负责有关的科学技术进步工作。</w:t>
            </w:r>
            <w:r>
              <w:rPr>
                <w:rFonts w:ascii="宋体" w:cs="Times New Roman"/>
                <w:kern w:val="0"/>
                <w:sz w:val="20"/>
                <w:szCs w:val="20"/>
              </w:rPr>
              <w:br w:type="textWrapping"/>
            </w:r>
            <w:r>
              <w:rPr>
                <w:rFonts w:ascii="宋体" w:hAnsi="宋体" w:cs="宋体"/>
                <w:kern w:val="0"/>
                <w:sz w:val="20"/>
                <w:szCs w:val="20"/>
              </w:rPr>
              <w:t>2</w:t>
            </w:r>
            <w:r>
              <w:rPr>
                <w:rFonts w:hint="eastAsia" w:ascii="宋体" w:hAnsi="宋体" w:cs="宋体"/>
                <w:kern w:val="0"/>
                <w:sz w:val="20"/>
                <w:szCs w:val="20"/>
              </w:rPr>
              <w:t>、《中华人民共和国科技进步法》第三十一条：县级以上人民政府及其有关部门制定的与产业发展相关的科学技术计划，应当体现产业发展的需求。</w:t>
            </w:r>
            <w:r>
              <w:rPr>
                <w:rFonts w:ascii="宋体" w:hAnsi="宋体" w:cs="宋体"/>
                <w:kern w:val="0"/>
                <w:sz w:val="20"/>
                <w:szCs w:val="20"/>
              </w:rPr>
              <w:t xml:space="preserve"> </w:t>
            </w:r>
            <w:r>
              <w:rPr>
                <w:rFonts w:hint="eastAsia" w:ascii="宋体" w:hAnsi="宋体" w:cs="宋体"/>
                <w:kern w:val="0"/>
                <w:sz w:val="20"/>
                <w:szCs w:val="20"/>
              </w:rPr>
              <w:t>县级以上人民政府及其有关部门确定科学技术计划项目，应当鼓励企业参与实施和平等竞争；对具有明确市场应用前景的项目，应当鼓励企业联合科学技术研究开发机构、高等学校共同实施。</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立项</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发布项目申报指南，申请单位根据科技计划项目申报指南提交申报材料，受理符合要求的申报材料。对不符合规定的申报材料，通知申报单位，给出不予受理意见或一次性告知在规定时间内补正材料，逾期不补正或者经补正仍不符合要求的，不予受理并退回申报材料（不予受理的应当告知理由）。</w:t>
            </w:r>
          </w:p>
        </w:tc>
      </w:tr>
      <w:tr>
        <w:tblPrEx>
          <w:tblCellMar>
            <w:top w:w="0" w:type="dxa"/>
            <w:left w:w="108" w:type="dxa"/>
            <w:bottom w:w="0" w:type="dxa"/>
            <w:right w:w="108" w:type="dxa"/>
          </w:tblCellMar>
        </w:tblPrEx>
        <w:trPr>
          <w:trHeight w:val="960"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起草</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牵头拟订全县科学技术和知识产权发展规划，提出科学技术、知识产权的优先领域和发展重点；负责组织拟订并实施科技支撑计划、重点基础研究计划、软科学研究计划和统筹协调基础研究、前沿技术研究、重大社会公益性技术研究及关键技术、共性技术研究。</w:t>
            </w:r>
          </w:p>
        </w:tc>
      </w:tr>
      <w:tr>
        <w:tblPrEx>
          <w:tblCellMar>
            <w:top w:w="0" w:type="dxa"/>
            <w:left w:w="108" w:type="dxa"/>
            <w:bottom w:w="0" w:type="dxa"/>
            <w:right w:w="108" w:type="dxa"/>
          </w:tblCellMar>
        </w:tblPrEx>
        <w:trPr>
          <w:trHeight w:val="103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审查</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对受理材料进行形式审查，对符合科技计划指南要求的项目，提出项目申报汇总清单</w:t>
            </w:r>
            <w:r>
              <w:rPr>
                <w:rFonts w:ascii="宋体" w:hAnsi="宋体" w:cs="宋体"/>
                <w:kern w:val="0"/>
                <w:sz w:val="20"/>
                <w:szCs w:val="20"/>
              </w:rPr>
              <w:t xml:space="preserve"> </w:t>
            </w:r>
            <w:r>
              <w:rPr>
                <w:rFonts w:hint="eastAsia" w:ascii="宋体" w:hAnsi="宋体" w:cs="宋体"/>
                <w:kern w:val="0"/>
                <w:sz w:val="20"/>
                <w:szCs w:val="20"/>
              </w:rPr>
              <w:t>。县经济信息化和科学技术局对汇总清单项目，组织有关专家和学者开展评审，项目申报单位进行项目答辩，最后提出专家审查意见。</w:t>
            </w:r>
          </w:p>
        </w:tc>
      </w:tr>
      <w:tr>
        <w:tblPrEx>
          <w:tblCellMar>
            <w:top w:w="0" w:type="dxa"/>
            <w:left w:w="108" w:type="dxa"/>
            <w:bottom w:w="0" w:type="dxa"/>
            <w:right w:w="108" w:type="dxa"/>
          </w:tblCellMar>
        </w:tblPrEx>
        <w:trPr>
          <w:trHeight w:val="73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公布公示</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对通过专家评审的项目，召开科技计划联席会议、局党组会研究决定后，提出列入县级科技计划项目名单并向社会公示无异议后，与县财政局以联合发文的形式给予批复，并划拨项目资金</w:t>
            </w:r>
          </w:p>
        </w:tc>
      </w:tr>
      <w:tr>
        <w:tblPrEx>
          <w:tblCellMar>
            <w:top w:w="0" w:type="dxa"/>
            <w:left w:w="108" w:type="dxa"/>
            <w:bottom w:w="0" w:type="dxa"/>
            <w:right w:w="108" w:type="dxa"/>
          </w:tblCellMar>
        </w:tblPrEx>
        <w:trPr>
          <w:trHeight w:val="49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解释备案</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对政策规定的具体含义和出现的新的情况适用问题进行解释；按规定向有关机关备案</w:t>
            </w:r>
          </w:p>
        </w:tc>
      </w:tr>
    </w:tbl>
    <w:p>
      <w:pPr>
        <w:ind w:firstLine="640" w:firstLineChars="200"/>
        <w:rPr>
          <w:rFonts w:ascii="黑体" w:hAnsi="黑体" w:eastAsia="黑体" w:cs="Times New Roman"/>
          <w:sz w:val="32"/>
          <w:szCs w:val="32"/>
        </w:rPr>
      </w:pPr>
    </w:p>
    <w:p>
      <w:pPr>
        <w:rPr>
          <w:rFonts w:ascii="黑体" w:hAnsi="黑体" w:eastAsia="黑体" w:cs="Times New Roman"/>
          <w:sz w:val="32"/>
          <w:szCs w:val="32"/>
        </w:rPr>
      </w:pPr>
      <w:r>
        <w:rPr>
          <w:rFonts w:hint="eastAsia" w:ascii="黑体" w:hAnsi="黑体" w:eastAsia="黑体" w:cs="黑体"/>
          <w:sz w:val="32"/>
          <w:szCs w:val="32"/>
        </w:rPr>
        <w:t>七、剑阁县经信科局随机抽查事项清单、市场主体库（检查对象名录库）、</w:t>
      </w:r>
      <w:r>
        <w:rPr>
          <w:rFonts w:ascii="黑体" w:hAnsi="黑体" w:eastAsia="黑体" w:cs="黑体"/>
          <w:sz w:val="32"/>
          <w:szCs w:val="32"/>
        </w:rPr>
        <w:t>2020</w:t>
      </w:r>
      <w:r>
        <w:rPr>
          <w:rFonts w:hint="eastAsia" w:ascii="黑体" w:hAnsi="黑体" w:eastAsia="黑体" w:cs="黑体"/>
          <w:sz w:val="32"/>
          <w:szCs w:val="32"/>
        </w:rPr>
        <w:t>年抽查计划</w:t>
      </w:r>
    </w:p>
    <w:p>
      <w:pPr>
        <w:ind w:firstLine="160" w:firstLineChars="50"/>
        <w:rPr>
          <w:rFonts w:ascii="黑体" w:hAnsi="黑体" w:eastAsia="黑体" w:cs="Times New Roman"/>
          <w:sz w:val="32"/>
          <w:szCs w:val="32"/>
        </w:rPr>
      </w:pPr>
      <w:r>
        <w:rPr>
          <w:rFonts w:ascii="黑体" w:hAnsi="黑体" w:eastAsia="黑体" w:cs="黑体"/>
          <w:sz w:val="32"/>
          <w:szCs w:val="32"/>
        </w:rPr>
        <w:t>1</w:t>
      </w:r>
      <w:r>
        <w:rPr>
          <w:rFonts w:hint="eastAsia" w:ascii="黑体" w:hAnsi="黑体" w:eastAsia="黑体" w:cs="黑体"/>
          <w:sz w:val="32"/>
          <w:szCs w:val="32"/>
        </w:rPr>
        <w:t>、</w:t>
      </w:r>
      <w:r>
        <w:rPr>
          <w:rFonts w:hint="eastAsia" w:ascii="宋体" w:hAnsi="宋体" w:cs="宋体"/>
          <w:sz w:val="44"/>
          <w:szCs w:val="44"/>
        </w:rPr>
        <w:t>县经信科局随机抽查检查事项清单</w:t>
      </w:r>
    </w:p>
    <w:tbl>
      <w:tblPr>
        <w:tblStyle w:val="4"/>
        <w:tblW w:w="14633" w:type="dxa"/>
        <w:jc w:val="center"/>
        <w:tblLayout w:type="fixed"/>
        <w:tblCellMar>
          <w:top w:w="0" w:type="dxa"/>
          <w:left w:w="108" w:type="dxa"/>
          <w:bottom w:w="0" w:type="dxa"/>
          <w:right w:w="108" w:type="dxa"/>
        </w:tblCellMar>
      </w:tblPr>
      <w:tblGrid>
        <w:gridCol w:w="675"/>
        <w:gridCol w:w="1496"/>
        <w:gridCol w:w="1603"/>
        <w:gridCol w:w="2791"/>
        <w:gridCol w:w="1164"/>
        <w:gridCol w:w="3948"/>
        <w:gridCol w:w="811"/>
        <w:gridCol w:w="1436"/>
        <w:gridCol w:w="709"/>
      </w:tblGrid>
      <w:tr>
        <w:tblPrEx>
          <w:tblCellMar>
            <w:top w:w="0" w:type="dxa"/>
            <w:left w:w="108" w:type="dxa"/>
            <w:bottom w:w="0" w:type="dxa"/>
            <w:right w:w="108" w:type="dxa"/>
          </w:tblCellMar>
        </w:tblPrEx>
        <w:trPr>
          <w:trHeight w:val="104" w:hRule="atLeast"/>
          <w:tblHeader/>
          <w:jc w:val="center"/>
        </w:trPr>
        <w:tc>
          <w:tcPr>
            <w:tcW w:w="675" w:type="dxa"/>
            <w:tcBorders>
              <w:top w:val="single" w:color="auto" w:sz="4" w:space="0"/>
              <w:left w:val="single" w:color="auto" w:sz="4" w:space="0"/>
              <w:bottom w:val="single" w:color="auto" w:sz="4" w:space="0"/>
              <w:right w:val="single" w:color="auto" w:sz="4" w:space="0"/>
            </w:tcBorders>
            <w:vAlign w:val="center"/>
          </w:tcPr>
          <w:p>
            <w:pPr>
              <w:spacing w:line="240" w:lineRule="exact"/>
              <w:ind w:right="72"/>
              <w:jc w:val="center"/>
              <w:rPr>
                <w:rFonts w:ascii="宋体" w:cs="宋体"/>
              </w:rPr>
            </w:pPr>
            <w:r>
              <w:rPr>
                <w:rFonts w:hint="eastAsia" w:ascii="宋体" w:hAnsi="宋体" w:cs="宋体"/>
              </w:rPr>
              <w:t>序号</w:t>
            </w:r>
          </w:p>
        </w:tc>
        <w:tc>
          <w:tcPr>
            <w:tcW w:w="1496" w:type="dxa"/>
            <w:tcBorders>
              <w:top w:val="single" w:color="auto" w:sz="4" w:space="0"/>
              <w:left w:val="nil"/>
              <w:bottom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抽查事项</w:t>
            </w:r>
          </w:p>
          <w:p>
            <w:pPr>
              <w:spacing w:line="240" w:lineRule="exact"/>
              <w:jc w:val="center"/>
              <w:rPr>
                <w:rFonts w:ascii="宋体" w:cs="宋体"/>
              </w:rPr>
            </w:pPr>
            <w:r>
              <w:rPr>
                <w:rFonts w:hint="eastAsia" w:ascii="宋体" w:hAnsi="宋体" w:cs="宋体"/>
              </w:rPr>
              <w:t>名</w:t>
            </w:r>
            <w:r>
              <w:rPr>
                <w:rFonts w:ascii="宋体" w:hAnsi="宋体" w:cs="宋体"/>
              </w:rPr>
              <w:t xml:space="preserve">    </w:t>
            </w:r>
            <w:r>
              <w:rPr>
                <w:rFonts w:hint="eastAsia" w:ascii="宋体" w:hAnsi="宋体" w:cs="宋体"/>
              </w:rPr>
              <w:t>称</w:t>
            </w:r>
          </w:p>
        </w:tc>
        <w:tc>
          <w:tcPr>
            <w:tcW w:w="1603" w:type="dxa"/>
            <w:tcBorders>
              <w:top w:val="single" w:color="auto" w:sz="4" w:space="0"/>
              <w:left w:val="nil"/>
              <w:bottom w:val="single" w:color="auto" w:sz="4" w:space="0"/>
              <w:right w:val="single" w:color="auto" w:sz="4" w:space="0"/>
            </w:tcBorders>
            <w:vAlign w:val="center"/>
          </w:tcPr>
          <w:p>
            <w:pPr>
              <w:spacing w:line="240" w:lineRule="exact"/>
              <w:ind w:right="188"/>
              <w:jc w:val="center"/>
              <w:rPr>
                <w:rFonts w:ascii="宋体" w:cs="宋体"/>
              </w:rPr>
            </w:pPr>
            <w:r>
              <w:rPr>
                <w:rFonts w:hint="eastAsia" w:ascii="宋体" w:hAnsi="宋体" w:cs="宋体"/>
              </w:rPr>
              <w:t>检查主体</w:t>
            </w:r>
          </w:p>
        </w:tc>
        <w:tc>
          <w:tcPr>
            <w:tcW w:w="2791" w:type="dxa"/>
            <w:tcBorders>
              <w:top w:val="single" w:color="auto" w:sz="4" w:space="0"/>
              <w:left w:val="nil"/>
              <w:bottom w:val="single" w:color="auto" w:sz="4" w:space="0"/>
              <w:right w:val="single" w:color="auto" w:sz="4" w:space="0"/>
            </w:tcBorders>
            <w:vAlign w:val="center"/>
          </w:tcPr>
          <w:p>
            <w:pPr>
              <w:spacing w:line="240" w:lineRule="exact"/>
              <w:ind w:right="143"/>
              <w:jc w:val="center"/>
              <w:rPr>
                <w:rFonts w:ascii="宋体" w:cs="宋体"/>
              </w:rPr>
            </w:pPr>
            <w:r>
              <w:rPr>
                <w:rFonts w:hint="eastAsia" w:ascii="宋体" w:hAnsi="宋体" w:cs="宋体"/>
              </w:rPr>
              <w:t>检查依据</w:t>
            </w:r>
          </w:p>
        </w:tc>
        <w:tc>
          <w:tcPr>
            <w:tcW w:w="1164" w:type="dxa"/>
            <w:tcBorders>
              <w:top w:val="single" w:color="auto" w:sz="4" w:space="0"/>
              <w:left w:val="nil"/>
              <w:bottom w:val="single" w:color="auto" w:sz="4" w:space="0"/>
              <w:right w:val="single" w:color="auto" w:sz="4" w:space="0"/>
            </w:tcBorders>
            <w:vAlign w:val="center"/>
          </w:tcPr>
          <w:p>
            <w:pPr>
              <w:spacing w:line="240" w:lineRule="exact"/>
              <w:ind w:right="98"/>
              <w:jc w:val="center"/>
              <w:rPr>
                <w:rFonts w:ascii="宋体" w:cs="宋体"/>
              </w:rPr>
            </w:pPr>
            <w:r>
              <w:rPr>
                <w:rFonts w:hint="eastAsia" w:ascii="宋体" w:hAnsi="宋体" w:cs="宋体"/>
              </w:rPr>
              <w:t>检查对象</w:t>
            </w:r>
          </w:p>
        </w:tc>
        <w:tc>
          <w:tcPr>
            <w:tcW w:w="3948" w:type="dxa"/>
            <w:tcBorders>
              <w:top w:val="single" w:color="auto" w:sz="4" w:space="0"/>
              <w:left w:val="nil"/>
              <w:bottom w:val="single" w:color="auto" w:sz="4" w:space="0"/>
              <w:right w:val="single" w:color="auto" w:sz="4" w:space="0"/>
            </w:tcBorders>
            <w:vAlign w:val="center"/>
          </w:tcPr>
          <w:p>
            <w:pPr>
              <w:spacing w:line="240" w:lineRule="exact"/>
              <w:ind w:right="-127"/>
              <w:jc w:val="center"/>
              <w:rPr>
                <w:rFonts w:ascii="宋体" w:cs="宋体"/>
              </w:rPr>
            </w:pPr>
            <w:r>
              <w:rPr>
                <w:rFonts w:hint="eastAsia" w:ascii="宋体" w:hAnsi="宋体" w:cs="宋体"/>
              </w:rPr>
              <w:t>检查内容</w:t>
            </w:r>
          </w:p>
        </w:tc>
        <w:tc>
          <w:tcPr>
            <w:tcW w:w="811" w:type="dxa"/>
            <w:tcBorders>
              <w:top w:val="single" w:color="auto" w:sz="4" w:space="0"/>
              <w:left w:val="nil"/>
              <w:bottom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抽查比例</w:t>
            </w:r>
          </w:p>
        </w:tc>
        <w:tc>
          <w:tcPr>
            <w:tcW w:w="1436" w:type="dxa"/>
            <w:tcBorders>
              <w:top w:val="single" w:color="auto" w:sz="4" w:space="0"/>
              <w:left w:val="nil"/>
              <w:bottom w:val="single" w:color="auto" w:sz="4" w:space="0"/>
              <w:right w:val="single" w:color="auto" w:sz="4" w:space="0"/>
            </w:tcBorders>
            <w:vAlign w:val="center"/>
          </w:tcPr>
          <w:p>
            <w:pPr>
              <w:spacing w:line="240" w:lineRule="exact"/>
              <w:ind w:right="-108"/>
              <w:jc w:val="center"/>
              <w:rPr>
                <w:rFonts w:ascii="宋体" w:cs="宋体"/>
              </w:rPr>
            </w:pPr>
            <w:r>
              <w:rPr>
                <w:rFonts w:hint="eastAsia" w:ascii="宋体" w:hAnsi="宋体" w:cs="宋体"/>
              </w:rPr>
              <w:t>抽查方式</w:t>
            </w:r>
          </w:p>
        </w:tc>
        <w:tc>
          <w:tcPr>
            <w:tcW w:w="709" w:type="dxa"/>
            <w:tcBorders>
              <w:top w:val="single" w:color="auto" w:sz="4" w:space="0"/>
              <w:left w:val="nil"/>
              <w:bottom w:val="single" w:color="auto" w:sz="4" w:space="0"/>
              <w:right w:val="single" w:color="auto" w:sz="4" w:space="0"/>
            </w:tcBorders>
            <w:vAlign w:val="center"/>
          </w:tcPr>
          <w:p>
            <w:pPr>
              <w:spacing w:line="240" w:lineRule="exact"/>
              <w:ind w:right="-82"/>
              <w:jc w:val="center"/>
              <w:rPr>
                <w:rFonts w:ascii="宋体" w:cs="宋体"/>
              </w:rPr>
            </w:pPr>
            <w:r>
              <w:rPr>
                <w:rFonts w:hint="eastAsia" w:ascii="宋体" w:hAnsi="宋体" w:cs="宋体"/>
              </w:rPr>
              <w:t>备注</w:t>
            </w:r>
          </w:p>
        </w:tc>
      </w:tr>
      <w:tr>
        <w:tblPrEx>
          <w:tblCellMar>
            <w:top w:w="0" w:type="dxa"/>
            <w:left w:w="108" w:type="dxa"/>
            <w:bottom w:w="0" w:type="dxa"/>
            <w:right w:w="108" w:type="dxa"/>
          </w:tblCellMar>
        </w:tblPrEx>
        <w:trPr>
          <w:trHeight w:val="307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sz w:val="22"/>
                <w:szCs w:val="22"/>
              </w:rPr>
            </w:pPr>
            <w:r>
              <w:rPr>
                <w:rFonts w:ascii="宋体" w:hAnsi="宋体" w:cs="宋体"/>
                <w:sz w:val="22"/>
                <w:szCs w:val="22"/>
              </w:rPr>
              <w:t>1</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对节能工作的监督检查</w:t>
            </w:r>
          </w:p>
        </w:tc>
        <w:tc>
          <w:tcPr>
            <w:tcW w:w="160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《中华人民共和国节约能源法》第十二条第一款</w:t>
            </w:r>
          </w:p>
          <w:p>
            <w:pPr>
              <w:adjustRightInd w:val="0"/>
              <w:snapToGrid w:val="0"/>
              <w:spacing w:line="240" w:lineRule="exact"/>
              <w:rPr>
                <w:rFonts w:ascii="宋体" w:cs="宋体"/>
                <w:sz w:val="22"/>
                <w:szCs w:val="22"/>
              </w:rPr>
            </w:pPr>
            <w:r>
              <w:rPr>
                <w:rFonts w:hint="eastAsia" w:ascii="宋体" w:hAnsi="宋体" w:cs="宋体"/>
                <w:sz w:val="22"/>
                <w:szCs w:val="22"/>
              </w:rPr>
              <w:t>《四川省〈中华人民共和国节约能源法〉实施办法》第六条第二款、四十条</w:t>
            </w:r>
          </w:p>
        </w:tc>
        <w:tc>
          <w:tcPr>
            <w:tcW w:w="1164"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rPr>
              <w:t>电力、、石油等企业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ascii="宋体" w:hAnsi="宋体" w:cs="宋体"/>
                <w:sz w:val="22"/>
                <w:szCs w:val="22"/>
              </w:rPr>
              <w:t>1.</w:t>
            </w:r>
            <w:r>
              <w:rPr>
                <w:rFonts w:hint="eastAsia" w:ascii="宋体" w:hAnsi="宋体" w:cs="宋体"/>
                <w:sz w:val="22"/>
                <w:szCs w:val="22"/>
              </w:rPr>
              <w:t>用能单位是否制定并实施节能计划和节能技术措施、是否建立节能目标责任制、是否每年向管理节能工作的部门报送年度能源利用状况报告、是否设立能源管理岗位、聘任能源管理负责人，并向管理节能工作的部门和有关部门报备</w:t>
            </w:r>
          </w:p>
          <w:p>
            <w:pPr>
              <w:adjustRightInd w:val="0"/>
              <w:snapToGrid w:val="0"/>
              <w:spacing w:line="240" w:lineRule="exact"/>
              <w:rPr>
                <w:rFonts w:ascii="宋体" w:cs="宋体"/>
                <w:sz w:val="22"/>
                <w:szCs w:val="22"/>
              </w:rPr>
            </w:pPr>
            <w:r>
              <w:rPr>
                <w:rFonts w:ascii="宋体" w:hAnsi="宋体" w:cs="宋体"/>
                <w:sz w:val="22"/>
                <w:szCs w:val="22"/>
              </w:rPr>
              <w:t>2.</w:t>
            </w:r>
            <w:r>
              <w:rPr>
                <w:rFonts w:hint="eastAsia" w:ascii="宋体" w:hAnsi="宋体" w:cs="宋体"/>
                <w:sz w:val="22"/>
                <w:szCs w:val="22"/>
              </w:rPr>
              <w:t>用能单位是否加强能源计量管理，按照规定配备和使用经依法检定合格的能源计量器具、是否建立能源消费统计和能源利用状况分析制度，对各类能源的消费实行分类计量和统计</w:t>
            </w:r>
          </w:p>
        </w:tc>
        <w:tc>
          <w:tcPr>
            <w:tcW w:w="81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hAnsi="宋体" w:cs="宋体"/>
                <w:sz w:val="22"/>
                <w:szCs w:val="22"/>
              </w:rPr>
            </w:pPr>
            <w:r>
              <w:rPr>
                <w:rFonts w:ascii="宋体" w:hAnsi="宋体" w:cs="宋体"/>
                <w:sz w:val="22"/>
                <w:szCs w:val="22"/>
              </w:rPr>
              <w:t>70%</w:t>
            </w:r>
          </w:p>
          <w:p>
            <w:pPr>
              <w:spacing w:line="240" w:lineRule="exact"/>
              <w:ind w:right="320"/>
              <w:jc w:val="center"/>
              <w:rPr>
                <w:rFonts w:ascii="宋体" w:cs="宋体"/>
              </w:rPr>
            </w:pPr>
          </w:p>
        </w:tc>
        <w:tc>
          <w:tcPr>
            <w:tcW w:w="1436"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kern w:val="0"/>
                <w:sz w:val="22"/>
                <w:szCs w:val="22"/>
              </w:rPr>
              <w:t>检查生产现场与查阅资料相结合的方式</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sz w:val="22"/>
                <w:szCs w:val="22"/>
              </w:rPr>
            </w:pPr>
            <w:r>
              <w:rPr>
                <w:rFonts w:ascii="宋体" w:hAnsi="宋体" w:cs="宋体"/>
                <w:sz w:val="22"/>
                <w:szCs w:val="22"/>
              </w:rPr>
              <w:t>2</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对电力设施保护、供用电秩序维护情况的监督检查</w:t>
            </w:r>
          </w:p>
        </w:tc>
        <w:tc>
          <w:tcPr>
            <w:tcW w:w="1603" w:type="dxa"/>
            <w:tcBorders>
              <w:top w:val="single" w:color="auto" w:sz="4" w:space="0"/>
              <w:left w:val="nil"/>
              <w:bottom w:val="single" w:color="auto" w:sz="4" w:space="0"/>
              <w:right w:val="single" w:color="auto" w:sz="4" w:space="0"/>
            </w:tcBorders>
          </w:tcPr>
          <w:p>
            <w:pPr>
              <w:spacing w:line="240" w:lineRule="exact"/>
              <w:ind w:right="368"/>
              <w:jc w:val="center"/>
              <w:rPr>
                <w:rFonts w:ascii="宋体" w:cs="宋体"/>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cs="宋体"/>
                <w:sz w:val="22"/>
                <w:szCs w:val="22"/>
              </w:rPr>
            </w:pPr>
            <w:r>
              <w:rPr>
                <w:rFonts w:hint="eastAsia" w:ascii="宋体" w:hAnsi="宋体" w:cs="宋体"/>
                <w:sz w:val="22"/>
                <w:szCs w:val="22"/>
              </w:rPr>
              <w:t>《中华人民共和国电力法》第六条第二款、五十六条</w:t>
            </w:r>
          </w:p>
          <w:p>
            <w:pPr>
              <w:adjustRightInd w:val="0"/>
              <w:snapToGrid w:val="0"/>
              <w:spacing w:line="240" w:lineRule="exact"/>
              <w:rPr>
                <w:rFonts w:ascii="宋体" w:cs="宋体"/>
                <w:sz w:val="22"/>
                <w:szCs w:val="22"/>
              </w:rPr>
            </w:pPr>
            <w:r>
              <w:rPr>
                <w:rFonts w:hint="eastAsia" w:ascii="宋体" w:hAnsi="宋体" w:cs="宋体"/>
                <w:sz w:val="22"/>
                <w:szCs w:val="22"/>
              </w:rPr>
              <w:t>《电力设施保护条例》（国务院令第</w:t>
            </w:r>
            <w:r>
              <w:rPr>
                <w:rFonts w:ascii="宋体" w:hAnsi="宋体" w:cs="宋体"/>
                <w:sz w:val="22"/>
                <w:szCs w:val="22"/>
              </w:rPr>
              <w:t>239</w:t>
            </w:r>
            <w:r>
              <w:rPr>
                <w:rFonts w:hint="eastAsia" w:ascii="宋体" w:hAnsi="宋体" w:cs="宋体"/>
                <w:sz w:val="22"/>
                <w:szCs w:val="22"/>
              </w:rPr>
              <w:t>号）第六条</w:t>
            </w:r>
          </w:p>
          <w:p>
            <w:pPr>
              <w:adjustRightInd w:val="0"/>
              <w:snapToGrid w:val="0"/>
              <w:spacing w:line="240" w:lineRule="exact"/>
              <w:rPr>
                <w:rFonts w:ascii="宋体" w:cs="宋体"/>
                <w:sz w:val="22"/>
                <w:szCs w:val="22"/>
              </w:rPr>
            </w:pPr>
            <w:r>
              <w:rPr>
                <w:rFonts w:hint="eastAsia" w:ascii="宋体" w:hAnsi="宋体" w:cs="宋体"/>
                <w:sz w:val="22"/>
                <w:szCs w:val="22"/>
              </w:rPr>
              <w:t>《电力供应与使用条例》（国务院令第</w:t>
            </w:r>
            <w:r>
              <w:rPr>
                <w:rFonts w:ascii="宋体" w:hAnsi="宋体" w:cs="宋体"/>
                <w:sz w:val="22"/>
                <w:szCs w:val="22"/>
              </w:rPr>
              <w:t>196</w:t>
            </w:r>
            <w:r>
              <w:rPr>
                <w:rFonts w:hint="eastAsia" w:ascii="宋体" w:hAnsi="宋体" w:cs="宋体"/>
                <w:sz w:val="22"/>
                <w:szCs w:val="22"/>
              </w:rPr>
              <w:t>号）第三条、四条、三十六条</w:t>
            </w:r>
          </w:p>
          <w:p>
            <w:pPr>
              <w:adjustRightInd w:val="0"/>
              <w:snapToGrid w:val="0"/>
              <w:spacing w:line="240" w:lineRule="exact"/>
              <w:rPr>
                <w:rFonts w:ascii="宋体" w:cs="宋体"/>
                <w:sz w:val="22"/>
                <w:szCs w:val="22"/>
              </w:rPr>
            </w:pPr>
            <w:r>
              <w:rPr>
                <w:rFonts w:hint="eastAsia" w:ascii="宋体" w:hAnsi="宋体" w:cs="宋体"/>
                <w:sz w:val="22"/>
                <w:szCs w:val="22"/>
              </w:rPr>
              <w:t>《四川省电力设施保护和供用电秩序维护条例》第五条第一款、六条第一款、四十条</w:t>
            </w:r>
          </w:p>
          <w:p>
            <w:pPr>
              <w:adjustRightInd w:val="0"/>
              <w:snapToGrid w:val="0"/>
              <w:spacing w:line="240" w:lineRule="exact"/>
              <w:rPr>
                <w:rFonts w:ascii="宋体" w:cs="宋体"/>
              </w:rPr>
            </w:pPr>
            <w:r>
              <w:rPr>
                <w:rFonts w:hint="eastAsia" w:ascii="宋体" w:hAnsi="宋体" w:cs="宋体"/>
                <w:sz w:val="22"/>
                <w:szCs w:val="22"/>
              </w:rPr>
              <w:t>《四川省电力设施保护实施办法》第五条《四川省反窃电管理办法》第五条、十三条</w:t>
            </w:r>
          </w:p>
        </w:tc>
        <w:tc>
          <w:tcPr>
            <w:tcW w:w="1164"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ascii="宋体" w:hAnsi="宋体" w:cs="宋体"/>
                <w:sz w:val="22"/>
                <w:szCs w:val="22"/>
              </w:rPr>
              <w:t>1.</w:t>
            </w:r>
            <w:r>
              <w:rPr>
                <w:rFonts w:hint="eastAsia" w:ascii="宋体" w:hAnsi="宋体" w:cs="宋体"/>
                <w:sz w:val="22"/>
                <w:szCs w:val="22"/>
              </w:rPr>
              <w:t>电力企业和用户执行电力法律法规规章情况</w:t>
            </w:r>
          </w:p>
          <w:p>
            <w:pPr>
              <w:adjustRightInd w:val="0"/>
              <w:snapToGrid w:val="0"/>
              <w:spacing w:line="240" w:lineRule="exact"/>
              <w:rPr>
                <w:rFonts w:ascii="宋体" w:cs="宋体"/>
                <w:sz w:val="22"/>
                <w:szCs w:val="22"/>
              </w:rPr>
            </w:pPr>
            <w:r>
              <w:rPr>
                <w:rFonts w:ascii="宋体" w:hAnsi="宋体" w:cs="宋体"/>
                <w:sz w:val="22"/>
                <w:szCs w:val="22"/>
              </w:rPr>
              <w:t>2.</w:t>
            </w:r>
            <w:r>
              <w:rPr>
                <w:rFonts w:hint="eastAsia" w:ascii="宋体" w:hAnsi="宋体" w:cs="宋体"/>
                <w:sz w:val="22"/>
                <w:szCs w:val="22"/>
              </w:rPr>
              <w:t>电力设施安全保护情况</w:t>
            </w:r>
          </w:p>
          <w:p>
            <w:pPr>
              <w:adjustRightInd w:val="0"/>
              <w:snapToGrid w:val="0"/>
              <w:spacing w:line="240" w:lineRule="exact"/>
              <w:rPr>
                <w:rFonts w:ascii="宋体" w:cs="宋体"/>
                <w:sz w:val="22"/>
                <w:szCs w:val="22"/>
              </w:rPr>
            </w:pPr>
            <w:r>
              <w:rPr>
                <w:rFonts w:ascii="宋体" w:hAnsi="宋体" w:cs="宋体"/>
                <w:sz w:val="22"/>
                <w:szCs w:val="22"/>
              </w:rPr>
              <w:t>3.</w:t>
            </w:r>
            <w:r>
              <w:rPr>
                <w:rFonts w:hint="eastAsia" w:ascii="宋体" w:hAnsi="宋体" w:cs="宋体"/>
                <w:sz w:val="22"/>
                <w:szCs w:val="22"/>
              </w:rPr>
              <w:t>供用电秩序维护情况</w:t>
            </w:r>
          </w:p>
        </w:tc>
        <w:tc>
          <w:tcPr>
            <w:tcW w:w="81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cs="宋体"/>
                <w:sz w:val="22"/>
                <w:szCs w:val="22"/>
              </w:rPr>
            </w:pPr>
          </w:p>
          <w:p>
            <w:pPr>
              <w:adjustRightInd w:val="0"/>
              <w:snapToGrid w:val="0"/>
              <w:spacing w:line="240" w:lineRule="exact"/>
              <w:rPr>
                <w:rFonts w:ascii="宋体" w:cs="宋体"/>
                <w:sz w:val="22"/>
                <w:szCs w:val="22"/>
              </w:rPr>
            </w:pPr>
          </w:p>
          <w:p>
            <w:pPr>
              <w:adjustRightInd w:val="0"/>
              <w:snapToGrid w:val="0"/>
              <w:spacing w:line="240" w:lineRule="exact"/>
              <w:rPr>
                <w:rFonts w:ascii="宋体" w:hAnsi="宋体" w:cs="宋体"/>
                <w:sz w:val="22"/>
                <w:szCs w:val="22"/>
              </w:rPr>
            </w:pPr>
            <w:r>
              <w:rPr>
                <w:rFonts w:ascii="宋体" w:hAnsi="宋体" w:cs="宋体"/>
                <w:sz w:val="22"/>
                <w:szCs w:val="22"/>
              </w:rPr>
              <w:t>70%</w:t>
            </w:r>
          </w:p>
          <w:p>
            <w:pPr>
              <w:spacing w:line="240" w:lineRule="exact"/>
              <w:ind w:right="320"/>
              <w:jc w:val="center"/>
              <w:rPr>
                <w:rFonts w:ascii="宋体" w:cs="宋体"/>
              </w:rPr>
            </w:pPr>
          </w:p>
        </w:tc>
        <w:tc>
          <w:tcPr>
            <w:tcW w:w="1436"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sz w:val="22"/>
                <w:szCs w:val="22"/>
              </w:rPr>
              <w:t>现场查看、查阅资料</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3</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对供电企业按照国家规定的电能质量和供电服务质量标准向用户提供供电服务的情况的检查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《电力监管条例》第十八条、二十四条</w:t>
            </w:r>
          </w:p>
          <w:p>
            <w:pPr>
              <w:spacing w:line="240" w:lineRule="exact"/>
              <w:jc w:val="center"/>
              <w:rPr>
                <w:rFonts w:ascii="宋体" w:cs="宋体"/>
                <w:kern w:val="0"/>
                <w:sz w:val="22"/>
                <w:szCs w:val="22"/>
              </w:rPr>
            </w:pPr>
            <w:r>
              <w:rPr>
                <w:rFonts w:hint="eastAsia" w:ascii="宋体" w:hAnsi="宋体" w:cs="宋体"/>
                <w:kern w:val="0"/>
                <w:sz w:val="22"/>
                <w:szCs w:val="22"/>
              </w:rPr>
              <w:t>《供电监管办法》（原电监会令第</w:t>
            </w:r>
            <w:r>
              <w:rPr>
                <w:rFonts w:ascii="宋体" w:hAnsi="宋体" w:cs="宋体"/>
                <w:kern w:val="0"/>
                <w:sz w:val="22"/>
                <w:szCs w:val="22"/>
              </w:rPr>
              <w:t>27</w:t>
            </w:r>
            <w:r>
              <w:rPr>
                <w:rFonts w:hint="eastAsia" w:ascii="宋体" w:hAnsi="宋体" w:cs="宋体"/>
                <w:kern w:val="0"/>
                <w:sz w:val="22"/>
                <w:szCs w:val="22"/>
              </w:rPr>
              <w:t>号）第二十四、二十六条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供电企业按照国家规定的电能质量和供电服务质量标准向用户提供供电服务情况，供电能力、供电市场行为、信息公开情况，用户受电工程市场运行及开发情况</w:t>
            </w:r>
          </w:p>
        </w:tc>
        <w:tc>
          <w:tcPr>
            <w:tcW w:w="81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cs="宋体"/>
                <w:sz w:val="22"/>
                <w:szCs w:val="22"/>
              </w:rPr>
            </w:pPr>
          </w:p>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spacing w:line="240" w:lineRule="exact"/>
              <w:ind w:right="320"/>
              <w:jc w:val="center"/>
              <w:rPr>
                <w:rFonts w:ascii="宋体" w:cs="宋体"/>
              </w:rPr>
            </w:pPr>
          </w:p>
        </w:tc>
        <w:tc>
          <w:tcPr>
            <w:tcW w:w="1436"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4</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对电力安全生产情况的检查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cs="宋体"/>
                <w:kern w:val="0"/>
                <w:sz w:val="22"/>
                <w:szCs w:val="22"/>
              </w:rPr>
            </w:pPr>
            <w:r>
              <w:rPr>
                <w:rFonts w:hint="eastAsia" w:ascii="宋体" w:hAnsi="宋体" w:cs="宋体"/>
                <w:kern w:val="0"/>
                <w:sz w:val="22"/>
                <w:szCs w:val="22"/>
              </w:rPr>
              <w:t>《中华人民共和国安全生产法》第</w:t>
            </w:r>
            <w:r>
              <w:rPr>
                <w:rFonts w:ascii="宋体" w:hAnsi="宋体" w:cs="宋体"/>
                <w:kern w:val="0"/>
                <w:sz w:val="22"/>
                <w:szCs w:val="22"/>
              </w:rPr>
              <w:t>62</w:t>
            </w:r>
            <w:r>
              <w:rPr>
                <w:rFonts w:hint="eastAsia" w:ascii="宋体" w:hAnsi="宋体" w:cs="宋体"/>
                <w:kern w:val="0"/>
                <w:sz w:val="22"/>
                <w:szCs w:val="22"/>
              </w:rPr>
              <w:t>条</w:t>
            </w:r>
          </w:p>
          <w:p>
            <w:pPr>
              <w:adjustRightInd w:val="0"/>
              <w:snapToGrid w:val="0"/>
              <w:spacing w:line="240" w:lineRule="exact"/>
              <w:rPr>
                <w:rFonts w:ascii="宋体" w:cs="宋体"/>
                <w:kern w:val="0"/>
                <w:sz w:val="22"/>
                <w:szCs w:val="22"/>
              </w:rPr>
            </w:pPr>
            <w:r>
              <w:rPr>
                <w:rFonts w:hint="eastAsia" w:ascii="宋体" w:hAnsi="宋体" w:cs="宋体"/>
                <w:kern w:val="0"/>
                <w:sz w:val="22"/>
                <w:szCs w:val="22"/>
              </w:rPr>
              <w:t>《电力监管条例》第十九条、二十四条、二十七条《生产安全事故报告和调查处理条例》（国务院令第</w:t>
            </w:r>
            <w:r>
              <w:rPr>
                <w:rFonts w:ascii="宋体" w:hAnsi="宋体" w:cs="宋体"/>
                <w:kern w:val="0"/>
                <w:sz w:val="22"/>
                <w:szCs w:val="22"/>
              </w:rPr>
              <w:t>493</w:t>
            </w:r>
            <w:r>
              <w:rPr>
                <w:rFonts w:hint="eastAsia" w:ascii="宋体" w:hAnsi="宋体" w:cs="宋体"/>
                <w:kern w:val="0"/>
                <w:sz w:val="22"/>
                <w:szCs w:val="22"/>
              </w:rPr>
              <w:t>号）第三十二条《电力事故应急处置和调查处理条例》（国务院令第</w:t>
            </w:r>
            <w:r>
              <w:rPr>
                <w:rFonts w:ascii="宋体" w:hAnsi="宋体" w:cs="宋体"/>
                <w:kern w:val="0"/>
                <w:sz w:val="22"/>
                <w:szCs w:val="22"/>
              </w:rPr>
              <w:t>599</w:t>
            </w:r>
            <w:r>
              <w:rPr>
                <w:rFonts w:hint="eastAsia" w:ascii="宋体" w:hAnsi="宋体" w:cs="宋体"/>
                <w:kern w:val="0"/>
                <w:sz w:val="22"/>
                <w:szCs w:val="22"/>
              </w:rPr>
              <w:t>号）第四条《电力监控系统安全防护规定》（国家发展和改革委员会</w:t>
            </w:r>
            <w:r>
              <w:rPr>
                <w:rFonts w:ascii="宋体" w:hAnsi="宋体" w:cs="宋体"/>
                <w:kern w:val="0"/>
                <w:sz w:val="22"/>
                <w:szCs w:val="22"/>
              </w:rPr>
              <w:t>2014</w:t>
            </w:r>
            <w:r>
              <w:rPr>
                <w:rFonts w:hint="eastAsia" w:ascii="宋体" w:hAnsi="宋体" w:cs="宋体"/>
                <w:kern w:val="0"/>
                <w:sz w:val="22"/>
                <w:szCs w:val="22"/>
              </w:rPr>
              <w:t>年第</w:t>
            </w:r>
            <w:r>
              <w:rPr>
                <w:rFonts w:ascii="宋体" w:hAnsi="宋体" w:cs="宋体"/>
                <w:kern w:val="0"/>
                <w:sz w:val="22"/>
                <w:szCs w:val="22"/>
              </w:rPr>
              <w:t>14</w:t>
            </w:r>
            <w:r>
              <w:rPr>
                <w:rFonts w:hint="eastAsia" w:ascii="宋体" w:hAnsi="宋体" w:cs="宋体"/>
                <w:kern w:val="0"/>
                <w:sz w:val="22"/>
                <w:szCs w:val="22"/>
              </w:rPr>
              <w:t>号令）第五条</w:t>
            </w:r>
          </w:p>
          <w:p>
            <w:pPr>
              <w:adjustRightInd w:val="0"/>
              <w:snapToGrid w:val="0"/>
              <w:spacing w:line="240" w:lineRule="exact"/>
              <w:rPr>
                <w:rFonts w:ascii="宋体" w:cs="宋体"/>
                <w:kern w:val="0"/>
                <w:sz w:val="22"/>
                <w:szCs w:val="22"/>
              </w:rPr>
            </w:pPr>
            <w:r>
              <w:rPr>
                <w:rFonts w:hint="eastAsia" w:ascii="宋体" w:hAnsi="宋体" w:cs="宋体"/>
                <w:kern w:val="0"/>
                <w:sz w:val="22"/>
                <w:szCs w:val="22"/>
              </w:rPr>
              <w:t>《电力安全生产监督管理办法》（国家发展和改革委员会</w:t>
            </w:r>
            <w:r>
              <w:rPr>
                <w:rFonts w:ascii="宋体" w:hAnsi="宋体" w:cs="宋体"/>
                <w:kern w:val="0"/>
                <w:sz w:val="22"/>
                <w:szCs w:val="22"/>
              </w:rPr>
              <w:t>2015</w:t>
            </w:r>
            <w:r>
              <w:rPr>
                <w:rFonts w:hint="eastAsia" w:ascii="宋体" w:hAnsi="宋体" w:cs="宋体"/>
                <w:kern w:val="0"/>
                <w:sz w:val="22"/>
                <w:szCs w:val="22"/>
              </w:rPr>
              <w:t>年第</w:t>
            </w:r>
            <w:r>
              <w:rPr>
                <w:rFonts w:ascii="宋体" w:hAnsi="宋体" w:cs="宋体"/>
                <w:kern w:val="0"/>
                <w:sz w:val="22"/>
                <w:szCs w:val="22"/>
              </w:rPr>
              <w:t>21</w:t>
            </w:r>
            <w:r>
              <w:rPr>
                <w:rFonts w:hint="eastAsia" w:ascii="宋体" w:hAnsi="宋体" w:cs="宋体"/>
                <w:kern w:val="0"/>
                <w:sz w:val="22"/>
                <w:szCs w:val="22"/>
              </w:rPr>
              <w:t>号令）第二十一条《水电站大坝安全注册等级监管办理办法》（国家发展和改革委员会</w:t>
            </w:r>
            <w:r>
              <w:rPr>
                <w:rFonts w:ascii="宋体" w:hAnsi="宋体" w:cs="宋体"/>
                <w:kern w:val="0"/>
                <w:sz w:val="22"/>
                <w:szCs w:val="22"/>
              </w:rPr>
              <w:t>2015</w:t>
            </w:r>
            <w:r>
              <w:rPr>
                <w:rFonts w:hint="eastAsia" w:ascii="宋体" w:hAnsi="宋体" w:cs="宋体"/>
                <w:kern w:val="0"/>
                <w:sz w:val="22"/>
                <w:szCs w:val="22"/>
              </w:rPr>
              <w:t>年第</w:t>
            </w:r>
            <w:r>
              <w:rPr>
                <w:rFonts w:ascii="宋体" w:hAnsi="宋体" w:cs="宋体"/>
                <w:kern w:val="0"/>
                <w:sz w:val="22"/>
                <w:szCs w:val="22"/>
              </w:rPr>
              <w:t>23</w:t>
            </w:r>
            <w:r>
              <w:rPr>
                <w:rFonts w:hint="eastAsia" w:ascii="宋体" w:hAnsi="宋体" w:cs="宋体"/>
                <w:kern w:val="0"/>
                <w:sz w:val="22"/>
                <w:szCs w:val="22"/>
              </w:rPr>
              <w:t>号令）第六条、二十三条《电力建设工程施工安全监督管理办法》（国家发展和改革委员会</w:t>
            </w:r>
            <w:r>
              <w:rPr>
                <w:rFonts w:ascii="宋体" w:hAnsi="宋体" w:cs="宋体"/>
                <w:kern w:val="0"/>
                <w:sz w:val="22"/>
                <w:szCs w:val="22"/>
              </w:rPr>
              <w:t>2015</w:t>
            </w:r>
            <w:r>
              <w:rPr>
                <w:rFonts w:hint="eastAsia" w:ascii="宋体" w:hAnsi="宋体" w:cs="宋体"/>
                <w:kern w:val="0"/>
                <w:sz w:val="22"/>
                <w:szCs w:val="22"/>
              </w:rPr>
              <w:t>年第</w:t>
            </w:r>
            <w:r>
              <w:rPr>
                <w:rFonts w:ascii="宋体" w:hAnsi="宋体" w:cs="宋体"/>
                <w:kern w:val="0"/>
                <w:sz w:val="22"/>
                <w:szCs w:val="22"/>
              </w:rPr>
              <w:t>28</w:t>
            </w:r>
            <w:r>
              <w:rPr>
                <w:rFonts w:hint="eastAsia" w:ascii="宋体" w:hAnsi="宋体" w:cs="宋体"/>
                <w:kern w:val="0"/>
                <w:sz w:val="22"/>
                <w:szCs w:val="22"/>
              </w:rPr>
              <w:t>号令）第二条</w:t>
            </w:r>
          </w:p>
          <w:p>
            <w:pPr>
              <w:adjustRightInd w:val="0"/>
              <w:snapToGrid w:val="0"/>
              <w:spacing w:line="240" w:lineRule="exact"/>
              <w:rPr>
                <w:rFonts w:ascii="宋体" w:cs="宋体"/>
              </w:rPr>
            </w:pPr>
            <w:r>
              <w:rPr>
                <w:rFonts w:hint="eastAsia" w:ascii="宋体" w:hAnsi="宋体" w:cs="宋体"/>
                <w:kern w:val="0"/>
                <w:sz w:val="22"/>
                <w:szCs w:val="22"/>
              </w:rPr>
              <w:t>《电力可靠性管理办法》（原电监会</w:t>
            </w:r>
            <w:r>
              <w:rPr>
                <w:rFonts w:ascii="宋体" w:hAnsi="宋体" w:cs="宋体"/>
                <w:kern w:val="0"/>
                <w:sz w:val="22"/>
                <w:szCs w:val="22"/>
              </w:rPr>
              <w:t>24</w:t>
            </w:r>
            <w:r>
              <w:rPr>
                <w:rFonts w:hint="eastAsia" w:ascii="宋体" w:hAnsi="宋体" w:cs="宋体"/>
                <w:kern w:val="0"/>
                <w:sz w:val="22"/>
                <w:szCs w:val="22"/>
              </w:rPr>
              <w:t>号令）第二条《国务院办公厅关于印发国家能源局主要职责内设机构和人员编制规定的通知》（国办发〔</w:t>
            </w:r>
            <w:r>
              <w:rPr>
                <w:rFonts w:ascii="宋体" w:hAnsi="宋体" w:cs="宋体"/>
                <w:kern w:val="0"/>
                <w:sz w:val="22"/>
                <w:szCs w:val="22"/>
              </w:rPr>
              <w:t>2013</w:t>
            </w:r>
            <w:r>
              <w:rPr>
                <w:rFonts w:hint="eastAsia" w:ascii="宋体" w:hAnsi="宋体" w:cs="宋体"/>
                <w:kern w:val="0"/>
                <w:sz w:val="22"/>
                <w:szCs w:val="22"/>
              </w:rPr>
              <w:t>〕</w:t>
            </w:r>
            <w:r>
              <w:rPr>
                <w:rFonts w:ascii="宋体" w:hAnsi="宋体" w:cs="宋体"/>
                <w:kern w:val="0"/>
                <w:sz w:val="22"/>
                <w:szCs w:val="22"/>
              </w:rPr>
              <w:t>51</w:t>
            </w:r>
            <w:r>
              <w:rPr>
                <w:rFonts w:hint="eastAsia" w:ascii="宋体" w:hAnsi="宋体" w:cs="宋体"/>
                <w:kern w:val="0"/>
                <w:sz w:val="22"/>
                <w:szCs w:val="22"/>
              </w:rPr>
              <w:t>号）</w:t>
            </w:r>
          </w:p>
        </w:tc>
        <w:tc>
          <w:tcPr>
            <w:tcW w:w="1164"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sz w:val="22"/>
                <w:szCs w:val="22"/>
              </w:rPr>
              <w:t>电力企业的电力运行安全（不包括核安全）、电力建设施工安全、电力工程质量安全、电力应急、水电站大坝运行安全和电力可靠性工作等</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cs="宋体"/>
                <w:kern w:val="0"/>
                <w:sz w:val="22"/>
                <w:szCs w:val="22"/>
              </w:rPr>
            </w:pPr>
            <w:r>
              <w:rPr>
                <w:rFonts w:ascii="宋体" w:hAnsi="宋体" w:cs="宋体"/>
                <w:kern w:val="0"/>
                <w:sz w:val="22"/>
                <w:szCs w:val="22"/>
              </w:rPr>
              <w:t>5</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对电力行业网络与信息安全工作情况的检查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spacing w:line="240" w:lineRule="exact"/>
              <w:jc w:val="center"/>
              <w:rPr>
                <w:rFonts w:ascii="宋体" w:cs="宋体"/>
                <w:kern w:val="0"/>
                <w:sz w:val="22"/>
                <w:szCs w:val="22"/>
              </w:rPr>
            </w:pPr>
            <w:r>
              <w:rPr>
                <w:rFonts w:hint="eastAsia" w:ascii="宋体" w:hAnsi="宋体" w:cs="宋体"/>
                <w:kern w:val="0"/>
                <w:sz w:val="22"/>
                <w:szCs w:val="22"/>
              </w:rPr>
              <w:t>《电力监管条例》第十五条、二十四条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电力企业的网络安全管理情况、技术防护情况、应急工作情况、宣传教育培训情况、风险评估、等级保护工作落实情况、商用密码使用情况、安全问题整改情况等</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222"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6</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对能源统计数据准确性的检查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《电力企业信息报送规定》（原电监会令第</w:t>
            </w:r>
            <w:r>
              <w:rPr>
                <w:rFonts w:ascii="宋体" w:hAnsi="宋体" w:cs="宋体"/>
                <w:kern w:val="0"/>
                <w:sz w:val="22"/>
                <w:szCs w:val="22"/>
              </w:rPr>
              <w:t>13</w:t>
            </w:r>
            <w:r>
              <w:rPr>
                <w:rFonts w:hint="eastAsia" w:ascii="宋体" w:hAnsi="宋体" w:cs="宋体"/>
                <w:kern w:val="0"/>
                <w:sz w:val="22"/>
                <w:szCs w:val="22"/>
              </w:rPr>
              <w:t>号）第二十五条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能源统计报表涉及数据的原始依据及相关凭证</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24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7</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对电信服务的抽查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《中华人民共和国电信条例》（国务院令第</w:t>
            </w:r>
            <w:r>
              <w:rPr>
                <w:rFonts w:ascii="宋体" w:hAnsi="宋体" w:cs="宋体"/>
                <w:kern w:val="0"/>
                <w:sz w:val="22"/>
                <w:szCs w:val="22"/>
              </w:rPr>
              <w:t>291</w:t>
            </w:r>
            <w:r>
              <w:rPr>
                <w:rFonts w:hint="eastAsia" w:ascii="宋体" w:hAnsi="宋体" w:cs="宋体"/>
                <w:kern w:val="0"/>
                <w:sz w:val="22"/>
                <w:szCs w:val="22"/>
              </w:rPr>
              <w:t>号）第三</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kern w:val="0"/>
                <w:sz w:val="22"/>
                <w:szCs w:val="22"/>
              </w:rPr>
              <w:t>电信服务行为相关情况</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spacing w:line="240" w:lineRule="exact"/>
              <w:jc w:val="center"/>
              <w:rPr>
                <w:rFonts w:ascii="宋体" w:cs="宋体"/>
                <w:sz w:val="22"/>
                <w:szCs w:val="22"/>
              </w:rPr>
            </w:pPr>
            <w:r>
              <w:rPr>
                <w:rFonts w:hint="eastAsia" w:ascii="宋体" w:hAnsi="宋体" w:cs="宋体"/>
                <w:kern w:val="0"/>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rPr>
                <w:rFonts w:ascii="宋体" w:cs="宋体"/>
              </w:rPr>
            </w:pPr>
          </w:p>
        </w:tc>
      </w:tr>
      <w:tr>
        <w:tblPrEx>
          <w:tblCellMar>
            <w:top w:w="0" w:type="dxa"/>
            <w:left w:w="108" w:type="dxa"/>
            <w:bottom w:w="0" w:type="dxa"/>
            <w:right w:w="108" w:type="dxa"/>
          </w:tblCellMar>
        </w:tblPrEx>
        <w:trPr>
          <w:trHeight w:val="20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8</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对通信网络安全防护的抽查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《通信网络安全防护管理办法》（工业和信息化部令第</w:t>
            </w:r>
            <w:r>
              <w:rPr>
                <w:rFonts w:ascii="宋体" w:hAnsi="宋体" w:cs="宋体"/>
                <w:kern w:val="0"/>
                <w:sz w:val="22"/>
                <w:szCs w:val="22"/>
              </w:rPr>
              <w:t>11</w:t>
            </w:r>
            <w:r>
              <w:rPr>
                <w:rFonts w:hint="eastAsia" w:ascii="宋体" w:hAnsi="宋体" w:cs="宋体"/>
                <w:kern w:val="0"/>
                <w:sz w:val="22"/>
                <w:szCs w:val="22"/>
              </w:rPr>
              <w:t>号）第十七条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kern w:val="0"/>
                <w:sz w:val="22"/>
                <w:szCs w:val="22"/>
              </w:rPr>
              <w:t>通信网络运行单位的符合性评测报告和风险评估报告、有关网络安全防护的文档和工作记录、通信网络运行单位的有关设施运行情况</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kern w:val="0"/>
                <w:sz w:val="22"/>
                <w:szCs w:val="22"/>
              </w:rPr>
              <w:t>查阅资料、人员访谈</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9</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对油气管网设施运营单位的检查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spacing w:line="240" w:lineRule="exact"/>
              <w:rPr>
                <w:rFonts w:ascii="宋体" w:cs="宋体"/>
                <w:kern w:val="0"/>
                <w:sz w:val="22"/>
                <w:szCs w:val="22"/>
              </w:rPr>
            </w:pPr>
            <w:r>
              <w:rPr>
                <w:rFonts w:hint="eastAsia" w:ascii="宋体" w:hAnsi="宋体" w:cs="宋体"/>
                <w:kern w:val="0"/>
                <w:sz w:val="22"/>
                <w:szCs w:val="22"/>
              </w:rPr>
              <w:t>《油气管网设施公平开放监管办法（试行）》（国能监管〔</w:t>
            </w:r>
            <w:r>
              <w:rPr>
                <w:rFonts w:ascii="宋体" w:hAnsi="宋体" w:cs="宋体"/>
                <w:kern w:val="0"/>
                <w:sz w:val="22"/>
                <w:szCs w:val="22"/>
              </w:rPr>
              <w:t>2014</w:t>
            </w:r>
            <w:r>
              <w:rPr>
                <w:rFonts w:hint="eastAsia" w:ascii="宋体" w:hAnsi="宋体" w:cs="宋体"/>
                <w:kern w:val="0"/>
                <w:sz w:val="22"/>
                <w:szCs w:val="22"/>
              </w:rPr>
              <w:t>〕</w:t>
            </w:r>
            <w:r>
              <w:rPr>
                <w:rFonts w:ascii="宋体" w:hAnsi="宋体" w:cs="宋体"/>
                <w:kern w:val="0"/>
                <w:sz w:val="22"/>
                <w:szCs w:val="22"/>
              </w:rPr>
              <w:t>84</w:t>
            </w:r>
            <w:r>
              <w:rPr>
                <w:rFonts w:hint="eastAsia" w:ascii="宋体" w:hAnsi="宋体" w:cs="宋体"/>
                <w:kern w:val="0"/>
                <w:sz w:val="22"/>
                <w:szCs w:val="22"/>
              </w:rPr>
              <w:t>号）第二十四条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sz w:val="22"/>
                <w:szCs w:val="22"/>
              </w:rPr>
              <w:t>油气管网设施运营单位对油气管网设施公开开放情况</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bl>
    <w:p>
      <w:pPr>
        <w:spacing w:line="540" w:lineRule="exact"/>
        <w:rPr>
          <w:rFonts w:ascii="Times New Roman" w:hAnsi="Times New Roman" w:cs="Times New Roman"/>
          <w:spacing w:val="-6"/>
        </w:rPr>
      </w:pPr>
    </w:p>
    <w:p>
      <w:pPr>
        <w:rPr>
          <w:rFonts w:cs="Times New Roman"/>
        </w:rPr>
      </w:pPr>
    </w:p>
    <w:p>
      <w:pPr>
        <w:ind w:firstLine="160" w:firstLineChars="50"/>
        <w:rPr>
          <w:rFonts w:ascii="黑体" w:hAnsi="黑体" w:eastAsia="黑体" w:cs="Times New Roman"/>
          <w:sz w:val="32"/>
          <w:szCs w:val="32"/>
        </w:rPr>
      </w:pPr>
    </w:p>
    <w:p>
      <w:pPr>
        <w:ind w:firstLine="800" w:firstLineChars="250"/>
        <w:rPr>
          <w:rFonts w:ascii="黑体" w:hAnsi="黑体" w:eastAsia="黑体" w:cs="Times New Roman"/>
          <w:sz w:val="32"/>
          <w:szCs w:val="32"/>
        </w:rPr>
      </w:pPr>
      <w:r>
        <w:rPr>
          <w:rFonts w:ascii="宋体" w:hAnsi="宋体" w:cs="宋体"/>
          <w:sz w:val="32"/>
          <w:szCs w:val="32"/>
        </w:rPr>
        <w:t>2</w:t>
      </w:r>
      <w:r>
        <w:rPr>
          <w:rFonts w:hint="eastAsia" w:ascii="宋体" w:hAnsi="宋体" w:cs="宋体"/>
          <w:sz w:val="32"/>
          <w:szCs w:val="32"/>
        </w:rPr>
        <w:t>、剑阁县经信科局随机抽查市场主体名录库</w:t>
      </w:r>
    </w:p>
    <w:p>
      <w:pPr>
        <w:ind w:firstLine="640" w:firstLineChars="200"/>
        <w:rPr>
          <w:rFonts w:ascii="???????" w:hAnsi="???????" w:cs="???????"/>
          <w:sz w:val="32"/>
          <w:szCs w:val="32"/>
        </w:rPr>
      </w:pPr>
    </w:p>
    <w:tbl>
      <w:tblPr>
        <w:tblStyle w:val="4"/>
        <w:tblW w:w="1371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9"/>
        <w:gridCol w:w="1368"/>
        <w:gridCol w:w="2356"/>
        <w:gridCol w:w="1400"/>
        <w:gridCol w:w="2136"/>
        <w:gridCol w:w="1320"/>
        <w:gridCol w:w="1176"/>
        <w:gridCol w:w="1936"/>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540" w:lineRule="exact"/>
              <w:jc w:val="center"/>
              <w:rPr>
                <w:rFonts w:ascii="宋体" w:cs="宋体"/>
              </w:rPr>
            </w:pPr>
            <w:r>
              <w:rPr>
                <w:rFonts w:hint="eastAsia" w:ascii="宋体" w:hAnsi="宋体" w:cs="宋体"/>
                <w:kern w:val="0"/>
                <w:sz w:val="20"/>
                <w:szCs w:val="20"/>
              </w:rPr>
              <w:t>序号</w:t>
            </w:r>
          </w:p>
        </w:tc>
        <w:tc>
          <w:tcPr>
            <w:tcW w:w="1368"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统一社会</w:t>
            </w:r>
          </w:p>
          <w:p>
            <w:pPr>
              <w:spacing w:line="540" w:lineRule="exact"/>
              <w:jc w:val="center"/>
              <w:rPr>
                <w:rFonts w:ascii="宋体" w:cs="宋体"/>
              </w:rPr>
            </w:pPr>
            <w:r>
              <w:rPr>
                <w:rFonts w:hint="eastAsia" w:ascii="宋体" w:hAnsi="宋体" w:cs="宋体"/>
                <w:kern w:val="0"/>
                <w:sz w:val="20"/>
                <w:szCs w:val="20"/>
              </w:rPr>
              <w:t>信用代码</w:t>
            </w:r>
          </w:p>
        </w:tc>
        <w:tc>
          <w:tcPr>
            <w:tcW w:w="2356"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企业名称</w:t>
            </w:r>
          </w:p>
        </w:tc>
        <w:tc>
          <w:tcPr>
            <w:tcW w:w="1400"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法人代表</w:t>
            </w:r>
          </w:p>
        </w:tc>
        <w:tc>
          <w:tcPr>
            <w:tcW w:w="2136"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企业地址</w:t>
            </w:r>
          </w:p>
        </w:tc>
        <w:tc>
          <w:tcPr>
            <w:tcW w:w="1320"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企业类型</w:t>
            </w:r>
          </w:p>
        </w:tc>
        <w:tc>
          <w:tcPr>
            <w:tcW w:w="1176"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所属行业</w:t>
            </w:r>
          </w:p>
        </w:tc>
        <w:tc>
          <w:tcPr>
            <w:tcW w:w="1936"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登记机关</w:t>
            </w:r>
          </w:p>
        </w:tc>
        <w:tc>
          <w:tcPr>
            <w:tcW w:w="1275"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jc w:val="center"/>
              <w:rPr>
                <w:rFonts w:ascii="宋体" w:cs="宋体"/>
              </w:rPr>
            </w:pPr>
          </w:p>
          <w:p>
            <w:pPr>
              <w:jc w:val="center"/>
              <w:rPr>
                <w:rFonts w:ascii="宋体" w:cs="宋体"/>
              </w:rPr>
            </w:pPr>
            <w:r>
              <w:rPr>
                <w:rFonts w:ascii="宋体" w:hAnsi="宋体" w:cs="宋体"/>
                <w:kern w:val="0"/>
                <w:sz w:val="20"/>
                <w:szCs w:val="20"/>
              </w:rPr>
              <w:t>1</w:t>
            </w:r>
          </w:p>
        </w:tc>
        <w:tc>
          <w:tcPr>
            <w:tcW w:w="1368" w:type="dxa"/>
            <w:tcBorders>
              <w:left w:val="nil"/>
            </w:tcBorders>
            <w:vAlign w:val="center"/>
          </w:tcPr>
          <w:p>
            <w:pPr>
              <w:jc w:val="center"/>
              <w:rPr>
                <w:rFonts w:ascii="宋体" w:cs="宋体"/>
              </w:rPr>
            </w:pPr>
          </w:p>
        </w:tc>
        <w:tc>
          <w:tcPr>
            <w:tcW w:w="235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桅杆电站</w:t>
            </w:r>
          </w:p>
        </w:tc>
        <w:tc>
          <w:tcPr>
            <w:tcW w:w="1400"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郭</w:t>
            </w:r>
            <w:r>
              <w:rPr>
                <w:rFonts w:ascii="宋体" w:hAnsi="宋体" w:cs="宋体"/>
                <w:kern w:val="0"/>
                <w:sz w:val="20"/>
                <w:szCs w:val="20"/>
              </w:rPr>
              <w:t xml:space="preserve">  </w:t>
            </w:r>
            <w:r>
              <w:rPr>
                <w:rFonts w:hint="eastAsia" w:ascii="宋体" w:hAnsi="宋体" w:cs="宋体"/>
                <w:kern w:val="0"/>
                <w:sz w:val="20"/>
                <w:szCs w:val="20"/>
              </w:rPr>
              <w:t>静</w:t>
            </w:r>
          </w:p>
        </w:tc>
        <w:tc>
          <w:tcPr>
            <w:tcW w:w="213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剑阁县上寺乡上寺村</w:t>
            </w:r>
          </w:p>
        </w:tc>
        <w:tc>
          <w:tcPr>
            <w:tcW w:w="1320" w:type="dxa"/>
            <w:tcBorders>
              <w:left w:val="nil"/>
            </w:tcBorders>
            <w:vAlign w:val="center"/>
          </w:tcPr>
          <w:p>
            <w:pPr>
              <w:ind w:firstLine="210" w:firstLineChars="100"/>
              <w:jc w:val="center"/>
              <w:rPr>
                <w:rFonts w:ascii="宋体" w:cs="宋体"/>
              </w:rPr>
            </w:pPr>
          </w:p>
          <w:p>
            <w:pPr>
              <w:ind w:firstLine="200" w:firstLineChars="100"/>
              <w:jc w:val="center"/>
              <w:rPr>
                <w:rFonts w:ascii="宋体" w:cs="宋体"/>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17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电力</w:t>
            </w:r>
          </w:p>
        </w:tc>
        <w:tc>
          <w:tcPr>
            <w:tcW w:w="1936" w:type="dxa"/>
            <w:tcBorders>
              <w:left w:val="nil"/>
            </w:tcBorders>
            <w:vAlign w:val="center"/>
          </w:tcPr>
          <w:p>
            <w:pPr>
              <w:jc w:val="center"/>
              <w:rPr>
                <w:rFonts w:ascii="宋体" w:cs="宋体"/>
              </w:rPr>
            </w:pPr>
            <w:r>
              <w:rPr>
                <w:rFonts w:hint="eastAsia" w:ascii="宋体" w:hAnsi="宋体" w:cs="宋体"/>
                <w:kern w:val="0"/>
                <w:sz w:val="20"/>
                <w:szCs w:val="20"/>
              </w:rPr>
              <w:t>县食品药品和工商质监局</w:t>
            </w:r>
          </w:p>
        </w:tc>
        <w:tc>
          <w:tcPr>
            <w:tcW w:w="1275" w:type="dxa"/>
            <w:tcBorders>
              <w:left w:val="nil"/>
            </w:tcBorders>
            <w:vAlign w:val="center"/>
          </w:tcPr>
          <w:p>
            <w:pPr>
              <w:jc w:val="center"/>
              <w:rPr>
                <w:rFonts w:asci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jc w:val="center"/>
              <w:rPr>
                <w:rFonts w:ascii="宋体" w:cs="宋体"/>
              </w:rPr>
            </w:pPr>
          </w:p>
          <w:p>
            <w:pPr>
              <w:jc w:val="center"/>
              <w:rPr>
                <w:rFonts w:ascii="宋体" w:cs="宋体"/>
              </w:rPr>
            </w:pPr>
            <w:r>
              <w:rPr>
                <w:rFonts w:ascii="宋体" w:hAnsi="宋体" w:cs="宋体"/>
                <w:kern w:val="0"/>
                <w:sz w:val="20"/>
                <w:szCs w:val="20"/>
              </w:rPr>
              <w:t>2</w:t>
            </w:r>
          </w:p>
        </w:tc>
        <w:tc>
          <w:tcPr>
            <w:tcW w:w="1368" w:type="dxa"/>
            <w:tcBorders>
              <w:left w:val="nil"/>
            </w:tcBorders>
            <w:vAlign w:val="center"/>
          </w:tcPr>
          <w:p>
            <w:pPr>
              <w:jc w:val="center"/>
              <w:rPr>
                <w:rFonts w:ascii="宋体" w:cs="宋体"/>
              </w:rPr>
            </w:pPr>
          </w:p>
        </w:tc>
        <w:tc>
          <w:tcPr>
            <w:tcW w:w="235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水碾碥电站</w:t>
            </w:r>
          </w:p>
        </w:tc>
        <w:tc>
          <w:tcPr>
            <w:tcW w:w="1400"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张来坤</w:t>
            </w:r>
          </w:p>
        </w:tc>
        <w:tc>
          <w:tcPr>
            <w:tcW w:w="213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剑阁县下寺镇下寺村</w:t>
            </w:r>
          </w:p>
        </w:tc>
        <w:tc>
          <w:tcPr>
            <w:tcW w:w="1320" w:type="dxa"/>
            <w:tcBorders>
              <w:left w:val="nil"/>
            </w:tcBorders>
            <w:vAlign w:val="center"/>
          </w:tcPr>
          <w:p>
            <w:pPr>
              <w:ind w:firstLine="210" w:firstLineChars="100"/>
              <w:jc w:val="center"/>
              <w:rPr>
                <w:rFonts w:ascii="宋体" w:cs="宋体"/>
              </w:rPr>
            </w:pPr>
          </w:p>
          <w:p>
            <w:pPr>
              <w:ind w:firstLine="200" w:firstLineChars="100"/>
              <w:jc w:val="center"/>
              <w:rPr>
                <w:rFonts w:ascii="宋体" w:cs="宋体"/>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17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电力</w:t>
            </w:r>
          </w:p>
        </w:tc>
        <w:tc>
          <w:tcPr>
            <w:tcW w:w="1936" w:type="dxa"/>
            <w:tcBorders>
              <w:left w:val="nil"/>
            </w:tcBorders>
            <w:vAlign w:val="center"/>
          </w:tcPr>
          <w:p>
            <w:pPr>
              <w:jc w:val="center"/>
              <w:rPr>
                <w:rFonts w:ascii="宋体" w:cs="宋体"/>
              </w:rPr>
            </w:pPr>
            <w:r>
              <w:rPr>
                <w:rFonts w:hint="eastAsia" w:ascii="宋体" w:hAnsi="宋体" w:cs="宋体"/>
                <w:kern w:val="0"/>
                <w:sz w:val="20"/>
                <w:szCs w:val="20"/>
              </w:rPr>
              <w:t>县食品药品和工商质监局</w:t>
            </w:r>
          </w:p>
        </w:tc>
        <w:tc>
          <w:tcPr>
            <w:tcW w:w="1275" w:type="dxa"/>
            <w:tcBorders>
              <w:left w:val="nil"/>
            </w:tcBorders>
            <w:vAlign w:val="center"/>
          </w:tcPr>
          <w:p>
            <w:pPr>
              <w:jc w:val="center"/>
              <w:rPr>
                <w:rFonts w:asci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jc w:val="center"/>
              <w:rPr>
                <w:rFonts w:ascii="宋体" w:cs="宋体"/>
              </w:rPr>
            </w:pPr>
          </w:p>
          <w:p>
            <w:pPr>
              <w:jc w:val="center"/>
              <w:rPr>
                <w:rFonts w:ascii="宋体" w:cs="宋体"/>
              </w:rPr>
            </w:pPr>
            <w:r>
              <w:rPr>
                <w:rFonts w:ascii="宋体" w:hAnsi="宋体" w:cs="宋体"/>
                <w:kern w:val="0"/>
                <w:sz w:val="20"/>
                <w:szCs w:val="20"/>
              </w:rPr>
              <w:t>3</w:t>
            </w:r>
          </w:p>
        </w:tc>
        <w:tc>
          <w:tcPr>
            <w:tcW w:w="1368" w:type="dxa"/>
            <w:tcBorders>
              <w:left w:val="nil"/>
            </w:tcBorders>
            <w:vAlign w:val="center"/>
          </w:tcPr>
          <w:p>
            <w:pPr>
              <w:jc w:val="center"/>
              <w:rPr>
                <w:rFonts w:ascii="宋体" w:cs="宋体"/>
              </w:rPr>
            </w:pPr>
          </w:p>
        </w:tc>
        <w:tc>
          <w:tcPr>
            <w:tcW w:w="235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中山电站</w:t>
            </w:r>
          </w:p>
        </w:tc>
        <w:tc>
          <w:tcPr>
            <w:tcW w:w="1400"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崔</w:t>
            </w:r>
            <w:r>
              <w:rPr>
                <w:rFonts w:ascii="宋体" w:hAnsi="宋体" w:cs="宋体"/>
                <w:kern w:val="0"/>
                <w:sz w:val="20"/>
                <w:szCs w:val="20"/>
              </w:rPr>
              <w:t xml:space="preserve">  </w:t>
            </w:r>
            <w:r>
              <w:rPr>
                <w:rFonts w:hint="eastAsia" w:ascii="宋体" w:hAnsi="宋体" w:cs="宋体"/>
                <w:kern w:val="0"/>
                <w:sz w:val="20"/>
                <w:szCs w:val="20"/>
              </w:rPr>
              <w:t>杰</w:t>
            </w:r>
          </w:p>
        </w:tc>
        <w:tc>
          <w:tcPr>
            <w:tcW w:w="213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剑阁县闻溪乡中山村</w:t>
            </w:r>
          </w:p>
        </w:tc>
        <w:tc>
          <w:tcPr>
            <w:tcW w:w="1320" w:type="dxa"/>
            <w:tcBorders>
              <w:left w:val="nil"/>
            </w:tcBorders>
            <w:vAlign w:val="center"/>
          </w:tcPr>
          <w:p>
            <w:pPr>
              <w:ind w:firstLine="210" w:firstLineChars="100"/>
              <w:jc w:val="center"/>
              <w:rPr>
                <w:rFonts w:ascii="宋体" w:cs="宋体"/>
              </w:rPr>
            </w:pPr>
          </w:p>
          <w:p>
            <w:pPr>
              <w:ind w:firstLine="200" w:firstLineChars="100"/>
              <w:jc w:val="center"/>
              <w:rPr>
                <w:rFonts w:ascii="宋体" w:cs="宋体"/>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17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电力</w:t>
            </w:r>
          </w:p>
        </w:tc>
        <w:tc>
          <w:tcPr>
            <w:tcW w:w="1936" w:type="dxa"/>
            <w:tcBorders>
              <w:left w:val="nil"/>
            </w:tcBorders>
            <w:vAlign w:val="center"/>
          </w:tcPr>
          <w:p>
            <w:pPr>
              <w:jc w:val="center"/>
              <w:rPr>
                <w:rFonts w:ascii="宋体" w:cs="宋体"/>
              </w:rPr>
            </w:pPr>
            <w:r>
              <w:rPr>
                <w:rFonts w:hint="eastAsia" w:ascii="宋体" w:hAnsi="宋体" w:cs="宋体"/>
                <w:kern w:val="0"/>
                <w:sz w:val="20"/>
                <w:szCs w:val="20"/>
              </w:rPr>
              <w:t>县食品药品和工商质监局</w:t>
            </w:r>
          </w:p>
        </w:tc>
        <w:tc>
          <w:tcPr>
            <w:tcW w:w="1275" w:type="dxa"/>
            <w:tcBorders>
              <w:left w:val="nil"/>
            </w:tcBorders>
            <w:vAlign w:val="center"/>
          </w:tcPr>
          <w:p>
            <w:pPr>
              <w:jc w:val="center"/>
              <w:rPr>
                <w:rFonts w:asci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jc w:val="center"/>
              <w:rPr>
                <w:rFonts w:ascii="宋体" w:cs="宋体"/>
              </w:rPr>
            </w:pPr>
          </w:p>
          <w:p>
            <w:pPr>
              <w:jc w:val="center"/>
              <w:rPr>
                <w:rFonts w:ascii="宋体" w:cs="宋体"/>
              </w:rPr>
            </w:pPr>
            <w:r>
              <w:rPr>
                <w:rFonts w:ascii="宋体" w:hAnsi="宋体" w:cs="宋体"/>
                <w:kern w:val="0"/>
                <w:sz w:val="20"/>
                <w:szCs w:val="20"/>
              </w:rPr>
              <w:t>4</w:t>
            </w:r>
          </w:p>
        </w:tc>
        <w:tc>
          <w:tcPr>
            <w:tcW w:w="1368" w:type="dxa"/>
            <w:tcBorders>
              <w:left w:val="nil"/>
            </w:tcBorders>
            <w:vAlign w:val="center"/>
          </w:tcPr>
          <w:p>
            <w:pPr>
              <w:jc w:val="center"/>
              <w:rPr>
                <w:rFonts w:ascii="宋体" w:cs="宋体"/>
              </w:rPr>
            </w:pPr>
          </w:p>
        </w:tc>
        <w:tc>
          <w:tcPr>
            <w:tcW w:w="235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九龙电站</w:t>
            </w:r>
          </w:p>
        </w:tc>
        <w:tc>
          <w:tcPr>
            <w:tcW w:w="1400"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李会林</w:t>
            </w:r>
          </w:p>
        </w:tc>
        <w:tc>
          <w:tcPr>
            <w:tcW w:w="213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剑阁县吼狮乡石马村</w:t>
            </w:r>
          </w:p>
        </w:tc>
        <w:tc>
          <w:tcPr>
            <w:tcW w:w="1320" w:type="dxa"/>
            <w:tcBorders>
              <w:left w:val="nil"/>
            </w:tcBorders>
            <w:vAlign w:val="center"/>
          </w:tcPr>
          <w:p>
            <w:pPr>
              <w:ind w:firstLine="210" w:firstLineChars="100"/>
              <w:jc w:val="center"/>
              <w:rPr>
                <w:rFonts w:ascii="宋体" w:cs="宋体"/>
              </w:rPr>
            </w:pPr>
          </w:p>
          <w:p>
            <w:pPr>
              <w:ind w:firstLine="200" w:firstLineChars="100"/>
              <w:jc w:val="center"/>
              <w:rPr>
                <w:rFonts w:ascii="宋体" w:cs="宋体"/>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17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电力</w:t>
            </w:r>
          </w:p>
        </w:tc>
        <w:tc>
          <w:tcPr>
            <w:tcW w:w="1936" w:type="dxa"/>
            <w:tcBorders>
              <w:left w:val="nil"/>
            </w:tcBorders>
            <w:vAlign w:val="center"/>
          </w:tcPr>
          <w:p>
            <w:pPr>
              <w:jc w:val="center"/>
              <w:rPr>
                <w:rFonts w:ascii="宋体" w:cs="宋体"/>
              </w:rPr>
            </w:pPr>
            <w:r>
              <w:rPr>
                <w:rFonts w:hint="eastAsia" w:ascii="宋体" w:hAnsi="宋体" w:cs="宋体"/>
                <w:kern w:val="0"/>
                <w:sz w:val="20"/>
                <w:szCs w:val="20"/>
              </w:rPr>
              <w:t>县食品药品和工商质监局</w:t>
            </w:r>
          </w:p>
        </w:tc>
        <w:tc>
          <w:tcPr>
            <w:tcW w:w="1275" w:type="dxa"/>
            <w:tcBorders>
              <w:left w:val="nil"/>
            </w:tcBorders>
            <w:vAlign w:val="center"/>
          </w:tcPr>
          <w:p>
            <w:pPr>
              <w:jc w:val="center"/>
              <w:rPr>
                <w:rFonts w:ascii="宋体" w:cs="宋体"/>
              </w:rPr>
            </w:pPr>
          </w:p>
        </w:tc>
      </w:tr>
    </w:tbl>
    <w:p>
      <w:pPr>
        <w:rPr>
          <w:rFonts w:ascii="新宋体" w:hAnsi="新宋体" w:eastAsia="新宋体" w:cs="新宋体"/>
          <w:kern w:val="0"/>
        </w:rPr>
      </w:pPr>
      <w:r>
        <w:rPr>
          <w:rFonts w:hint="eastAsia" w:ascii="新宋体" w:hAnsi="新宋体" w:eastAsia="新宋体" w:cs="新宋体"/>
          <w:kern w:val="0"/>
        </w:rPr>
        <w:t>填报人：</w:t>
      </w:r>
      <w:r>
        <w:rPr>
          <w:rFonts w:ascii="新宋体" w:hAnsi="新宋体" w:eastAsia="新宋体" w:cs="新宋体"/>
          <w:kern w:val="0"/>
        </w:rPr>
        <w:t xml:space="preserve">     </w:t>
      </w:r>
      <w:r>
        <w:rPr>
          <w:rFonts w:hint="eastAsia" w:ascii="新宋体" w:hAnsi="新宋体" w:eastAsia="新宋体" w:cs="新宋体"/>
          <w:kern w:val="0"/>
        </w:rPr>
        <w:t>冯莉琼</w:t>
      </w:r>
      <w:r>
        <w:rPr>
          <w:rFonts w:ascii="新宋体" w:hAnsi="新宋体" w:eastAsia="新宋体" w:cs="新宋体"/>
          <w:kern w:val="0"/>
        </w:rPr>
        <w:t xml:space="preserve">                                       </w:t>
      </w:r>
      <w:r>
        <w:rPr>
          <w:rFonts w:hint="eastAsia" w:ascii="新宋体" w:hAnsi="新宋体" w:eastAsia="新宋体" w:cs="新宋体"/>
          <w:kern w:val="0"/>
        </w:rPr>
        <w:t>联系电话：</w:t>
      </w:r>
      <w:r>
        <w:rPr>
          <w:rFonts w:ascii="新宋体" w:hAnsi="新宋体" w:eastAsia="新宋体" w:cs="新宋体"/>
          <w:kern w:val="0"/>
        </w:rPr>
        <w:t>13547163533</w:t>
      </w: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tbl>
      <w:tblPr>
        <w:tblStyle w:val="4"/>
        <w:tblW w:w="1371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9"/>
        <w:gridCol w:w="1596"/>
        <w:gridCol w:w="2128"/>
        <w:gridCol w:w="1400"/>
        <w:gridCol w:w="1716"/>
        <w:gridCol w:w="1632"/>
        <w:gridCol w:w="1188"/>
        <w:gridCol w:w="2556"/>
        <w:gridCol w:w="7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序号</w:t>
            </w:r>
          </w:p>
        </w:tc>
        <w:tc>
          <w:tcPr>
            <w:tcW w:w="159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统一社会</w:t>
            </w: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信用代码</w:t>
            </w:r>
          </w:p>
        </w:tc>
        <w:tc>
          <w:tcPr>
            <w:tcW w:w="2128"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企业名称</w:t>
            </w:r>
          </w:p>
        </w:tc>
        <w:tc>
          <w:tcPr>
            <w:tcW w:w="1400"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法人代表</w:t>
            </w:r>
          </w:p>
        </w:tc>
        <w:tc>
          <w:tcPr>
            <w:tcW w:w="171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企业地址</w:t>
            </w:r>
          </w:p>
        </w:tc>
        <w:tc>
          <w:tcPr>
            <w:tcW w:w="1632"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企业类型</w:t>
            </w:r>
          </w:p>
        </w:tc>
        <w:tc>
          <w:tcPr>
            <w:tcW w:w="1188"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所属行业</w:t>
            </w:r>
          </w:p>
        </w:tc>
        <w:tc>
          <w:tcPr>
            <w:tcW w:w="255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登记机关</w:t>
            </w:r>
          </w:p>
        </w:tc>
        <w:tc>
          <w:tcPr>
            <w:tcW w:w="751"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5</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翠云湖电站</w:t>
            </w:r>
          </w:p>
        </w:tc>
        <w:tc>
          <w:tcPr>
            <w:tcW w:w="1400"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罗小兰</w:t>
            </w:r>
          </w:p>
        </w:tc>
        <w:tc>
          <w:tcPr>
            <w:tcW w:w="171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剑阁县普安镇双剑村</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私</w:t>
            </w:r>
            <w:r>
              <w:rPr>
                <w:rFonts w:ascii="新宋体" w:hAnsi="新宋体" w:eastAsia="新宋体" w:cs="新宋体"/>
                <w:kern w:val="0"/>
                <w:sz w:val="20"/>
                <w:szCs w:val="20"/>
              </w:rPr>
              <w:t xml:space="preserve"> </w:t>
            </w:r>
            <w:r>
              <w:rPr>
                <w:rFonts w:hint="eastAsia" w:ascii="新宋体" w:hAnsi="新宋体" w:eastAsia="新宋体" w:cs="新宋体"/>
                <w:kern w:val="0"/>
                <w:sz w:val="20"/>
                <w:szCs w:val="20"/>
              </w:rPr>
              <w:t>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电力</w:t>
            </w:r>
          </w:p>
        </w:tc>
        <w:tc>
          <w:tcPr>
            <w:tcW w:w="255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p>
            <w:pPr>
              <w:spacing w:line="240" w:lineRule="exact"/>
              <w:jc w:val="center"/>
              <w:rPr>
                <w:rFonts w:ascii="新宋体" w:hAnsi="新宋体" w:eastAsia="新宋体" w:cs="Times New Roman"/>
              </w:rPr>
            </w:pP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6</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中国移动剑阁分公司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张德锦</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7</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中国电信剑阁分公司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徐万勇</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8</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中国联通剑阁分公司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赵</w:t>
            </w:r>
            <w:r>
              <w:rPr>
                <w:rFonts w:ascii="新宋体" w:hAnsi="新宋体" w:eastAsia="新宋体" w:cs="新宋体"/>
                <w:kern w:val="0"/>
                <w:sz w:val="20"/>
                <w:szCs w:val="20"/>
              </w:rPr>
              <w:t xml:space="preserve">  </w:t>
            </w:r>
            <w:r>
              <w:rPr>
                <w:rFonts w:hint="eastAsia" w:ascii="新宋体" w:hAnsi="新宋体" w:eastAsia="新宋体" w:cs="新宋体"/>
                <w:kern w:val="0"/>
                <w:sz w:val="20"/>
                <w:szCs w:val="20"/>
              </w:rPr>
              <w:t>平</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9</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四川广电网络剑阁分公司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李思光</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10</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中通福剑阁分公司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孙东海</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11</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中国铁塔公司股份有限公司广元市分公司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周贤祥</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bl>
    <w:p>
      <w:pPr>
        <w:rPr>
          <w:rFonts w:ascii="新宋体" w:hAnsi="新宋体" w:eastAsia="新宋体" w:cs="Times New Roman"/>
          <w:sz w:val="32"/>
          <w:szCs w:val="32"/>
        </w:rPr>
      </w:pPr>
      <w:r>
        <w:rPr>
          <w:rFonts w:hint="eastAsia" w:ascii="新宋体" w:hAnsi="新宋体" w:eastAsia="新宋体" w:cs="新宋体"/>
          <w:kern w:val="0"/>
        </w:rPr>
        <w:t>填报人：</w:t>
      </w:r>
      <w:r>
        <w:rPr>
          <w:rFonts w:ascii="新宋体" w:hAnsi="新宋体" w:eastAsia="新宋体" w:cs="新宋体"/>
          <w:kern w:val="0"/>
        </w:rPr>
        <w:t xml:space="preserve">     </w:t>
      </w:r>
      <w:r>
        <w:rPr>
          <w:rFonts w:hint="eastAsia" w:ascii="新宋体" w:hAnsi="新宋体" w:eastAsia="新宋体" w:cs="新宋体"/>
          <w:kern w:val="0"/>
        </w:rPr>
        <w:t>冯莉琼</w:t>
      </w:r>
      <w:r>
        <w:rPr>
          <w:rFonts w:ascii="新宋体" w:hAnsi="新宋体" w:eastAsia="新宋体" w:cs="新宋体"/>
          <w:kern w:val="0"/>
        </w:rPr>
        <w:t xml:space="preserve">                                   </w:t>
      </w:r>
      <w:r>
        <w:rPr>
          <w:rFonts w:hint="eastAsia" w:ascii="新宋体" w:hAnsi="新宋体" w:eastAsia="新宋体" w:cs="新宋体"/>
          <w:kern w:val="0"/>
        </w:rPr>
        <w:t>联系电话：</w:t>
      </w:r>
    </w:p>
    <w:p>
      <w:pPr>
        <w:rPr>
          <w:rFonts w:ascii="新宋体" w:hAnsi="新宋体" w:eastAsia="新宋体" w:cs="Times New Roman"/>
          <w:sz w:val="32"/>
          <w:szCs w:val="32"/>
        </w:rPr>
      </w:pPr>
      <w:r>
        <w:rPr>
          <w:rFonts w:hint="eastAsia" w:ascii="新宋体" w:hAnsi="新宋体" w:eastAsia="新宋体" w:cs="新宋体"/>
          <w:kern w:val="0"/>
        </w:rPr>
        <w:t>填报人：</w:t>
      </w:r>
      <w:r>
        <w:rPr>
          <w:rFonts w:ascii="新宋体" w:hAnsi="新宋体" w:eastAsia="新宋体" w:cs="新宋体"/>
          <w:kern w:val="0"/>
        </w:rPr>
        <w:t xml:space="preserve">     </w:t>
      </w:r>
      <w:r>
        <w:rPr>
          <w:rFonts w:hint="eastAsia" w:ascii="新宋体" w:hAnsi="新宋体" w:eastAsia="新宋体" w:cs="新宋体"/>
          <w:kern w:val="0"/>
        </w:rPr>
        <w:t>冯莉琼</w:t>
      </w:r>
      <w:r>
        <w:rPr>
          <w:rFonts w:ascii="新宋体" w:hAnsi="新宋体" w:eastAsia="新宋体" w:cs="新宋体"/>
          <w:kern w:val="0"/>
        </w:rPr>
        <w:t xml:space="preserve">                                      </w:t>
      </w:r>
      <w:r>
        <w:rPr>
          <w:rFonts w:hint="eastAsia" w:ascii="新宋体" w:hAnsi="新宋体" w:eastAsia="新宋体" w:cs="新宋体"/>
          <w:kern w:val="0"/>
        </w:rPr>
        <w:t>联系电话：</w:t>
      </w:r>
      <w:r>
        <w:rPr>
          <w:rFonts w:ascii="新宋体" w:hAnsi="新宋体" w:eastAsia="新宋体" w:cs="新宋体"/>
          <w:kern w:val="0"/>
        </w:rPr>
        <w:t>13547163533</w:t>
      </w:r>
    </w:p>
    <w:p>
      <w:pPr>
        <w:rPr>
          <w:rFonts w:ascii="新宋体" w:hAnsi="新宋体" w:eastAsia="新宋体" w:cs="Times New Roman"/>
          <w:sz w:val="32"/>
          <w:szCs w:val="32"/>
        </w:rPr>
      </w:pPr>
    </w:p>
    <w:p>
      <w:pPr>
        <w:rPr>
          <w:rFonts w:ascii="新宋体" w:hAnsi="新宋体" w:eastAsia="新宋体" w:cs="Times New Roman"/>
          <w:sz w:val="32"/>
          <w:szCs w:val="32"/>
        </w:rPr>
      </w:pPr>
    </w:p>
    <w:p>
      <w:pPr>
        <w:ind w:firstLine="1600" w:firstLineChars="500"/>
        <w:rPr>
          <w:rFonts w:ascii="新宋体" w:hAnsi="新宋体" w:eastAsia="新宋体" w:cs="Times New Roman"/>
          <w:sz w:val="32"/>
          <w:szCs w:val="32"/>
        </w:rPr>
      </w:pPr>
      <w:r>
        <w:rPr>
          <w:rFonts w:ascii="新宋体" w:hAnsi="新宋体" w:eastAsia="新宋体" w:cs="新宋体"/>
          <w:sz w:val="32"/>
          <w:szCs w:val="32"/>
        </w:rPr>
        <w:t>3</w:t>
      </w:r>
      <w:r>
        <w:rPr>
          <w:rFonts w:hint="eastAsia" w:ascii="新宋体" w:hAnsi="新宋体" w:eastAsia="新宋体" w:cs="新宋体"/>
          <w:sz w:val="32"/>
          <w:szCs w:val="32"/>
        </w:rPr>
        <w:t>、</w:t>
      </w:r>
      <w:r>
        <w:rPr>
          <w:rFonts w:ascii="??_GB2312" w:hAnsi="??_GB2312" w:cs="??_GB2312"/>
          <w:b/>
          <w:bCs/>
          <w:sz w:val="32"/>
          <w:szCs w:val="32"/>
        </w:rPr>
        <w:t>2020</w:t>
      </w:r>
      <w:r>
        <w:rPr>
          <w:rFonts w:hint="eastAsia" w:ascii="??_GB2312" w:hAnsi="??_GB2312" w:cs="宋体"/>
          <w:b/>
          <w:bCs/>
          <w:sz w:val="32"/>
          <w:szCs w:val="32"/>
        </w:rPr>
        <w:t>年双随机抽查计划</w:t>
      </w:r>
    </w:p>
    <w:tbl>
      <w:tblPr>
        <w:tblStyle w:val="4"/>
        <w:tblW w:w="14202" w:type="dxa"/>
        <w:jc w:val="center"/>
        <w:tblLayout w:type="autofit"/>
        <w:tblCellMar>
          <w:top w:w="0" w:type="dxa"/>
          <w:left w:w="0" w:type="dxa"/>
          <w:bottom w:w="0" w:type="dxa"/>
          <w:right w:w="0" w:type="dxa"/>
        </w:tblCellMar>
      </w:tblPr>
      <w:tblGrid>
        <w:gridCol w:w="1636"/>
        <w:gridCol w:w="5302"/>
        <w:gridCol w:w="1551"/>
        <w:gridCol w:w="1505"/>
        <w:gridCol w:w="1227"/>
        <w:gridCol w:w="1703"/>
        <w:gridCol w:w="1278"/>
      </w:tblGrid>
      <w:tr>
        <w:tblPrEx>
          <w:tblCellMar>
            <w:top w:w="0" w:type="dxa"/>
            <w:left w:w="0" w:type="dxa"/>
            <w:bottom w:w="0" w:type="dxa"/>
            <w:right w:w="0" w:type="dxa"/>
          </w:tblCellMar>
        </w:tblPrEx>
        <w:trPr>
          <w:trHeight w:val="737" w:hRule="atLeast"/>
          <w:jc w:val="center"/>
        </w:trPr>
        <w:tc>
          <w:tcPr>
            <w:tcW w:w="163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检查对象</w:t>
            </w:r>
            <w:r>
              <w:rPr>
                <w:rFonts w:ascii="??_GB2312" w:hAnsi="??_GB2312" w:cs="??_GB2312"/>
                <w:kern w:val="0"/>
              </w:rPr>
              <w:t> </w:t>
            </w:r>
          </w:p>
        </w:tc>
        <w:tc>
          <w:tcPr>
            <w:tcW w:w="530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检查依据</w:t>
            </w:r>
            <w:r>
              <w:rPr>
                <w:rFonts w:ascii="??_GB2312" w:hAnsi="??_GB2312" w:cs="??_GB2312"/>
                <w:kern w:val="0"/>
              </w:rPr>
              <w:t> </w:t>
            </w:r>
          </w:p>
        </w:tc>
        <w:tc>
          <w:tcPr>
            <w:tcW w:w="155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执行科室</w:t>
            </w:r>
            <w:r>
              <w:rPr>
                <w:rFonts w:ascii="??_GB2312" w:hAnsi="??_GB2312" w:cs="??_GB2312"/>
                <w:kern w:val="0"/>
              </w:rPr>
              <w:t> </w:t>
            </w:r>
          </w:p>
        </w:tc>
        <w:tc>
          <w:tcPr>
            <w:tcW w:w="150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检查比例</w:t>
            </w:r>
            <w:r>
              <w:rPr>
                <w:rFonts w:ascii="??_GB2312" w:hAnsi="??_GB2312" w:cs="??_GB2312"/>
                <w:kern w:val="0"/>
              </w:rPr>
              <w:t> </w:t>
            </w:r>
          </w:p>
        </w:tc>
        <w:tc>
          <w:tcPr>
            <w:tcW w:w="1227"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检查频次</w:t>
            </w:r>
            <w:r>
              <w:rPr>
                <w:rFonts w:ascii="??_GB2312" w:hAnsi="??_GB2312" w:cs="??_GB2312"/>
                <w:kern w:val="0"/>
              </w:rPr>
              <w:t> </w:t>
            </w:r>
          </w:p>
        </w:tc>
        <w:tc>
          <w:tcPr>
            <w:tcW w:w="170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初步检查时间</w:t>
            </w:r>
            <w:r>
              <w:rPr>
                <w:rFonts w:ascii="??_GB2312" w:hAnsi="??_GB2312" w:cs="??_GB2312"/>
                <w:kern w:val="0"/>
              </w:rPr>
              <w:t> </w:t>
            </w:r>
          </w:p>
        </w:tc>
        <w:tc>
          <w:tcPr>
            <w:tcW w:w="1278"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备注</w:t>
            </w:r>
            <w:r>
              <w:rPr>
                <w:rFonts w:ascii="??_GB2312" w:hAnsi="??_GB2312" w:cs="??_GB2312"/>
                <w:kern w:val="0"/>
              </w:rPr>
              <w:t> </w:t>
            </w:r>
          </w:p>
        </w:tc>
      </w:tr>
      <w:tr>
        <w:tblPrEx>
          <w:tblCellMar>
            <w:top w:w="0" w:type="dxa"/>
            <w:left w:w="0" w:type="dxa"/>
            <w:bottom w:w="0" w:type="dxa"/>
            <w:right w:w="0" w:type="dxa"/>
          </w:tblCellMar>
        </w:tblPrEx>
        <w:trPr>
          <w:trHeight w:val="868" w:hRule="atLeast"/>
          <w:jc w:val="center"/>
        </w:trPr>
        <w:tc>
          <w:tcPr>
            <w:tcW w:w="163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rPr>
              <w:t>全县电力企业</w:t>
            </w:r>
          </w:p>
        </w:tc>
        <w:tc>
          <w:tcPr>
            <w:tcW w:w="530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宋体" w:hAnsi="宋体" w:cs="宋体"/>
                <w:kern w:val="0"/>
                <w:sz w:val="22"/>
                <w:szCs w:val="22"/>
              </w:rPr>
              <w:t>《中华人民共和国安全生产法》第</w:t>
            </w:r>
            <w:r>
              <w:rPr>
                <w:rFonts w:ascii="宋体" w:hAnsi="宋体" w:cs="宋体"/>
                <w:kern w:val="0"/>
                <w:sz w:val="22"/>
                <w:szCs w:val="22"/>
              </w:rPr>
              <w:t>62</w:t>
            </w:r>
            <w:r>
              <w:rPr>
                <w:rFonts w:hint="eastAsia" w:ascii="宋体" w:hAnsi="宋体" w:cs="宋体"/>
                <w:kern w:val="0"/>
                <w:sz w:val="22"/>
                <w:szCs w:val="22"/>
              </w:rPr>
              <w:t>条</w:t>
            </w:r>
          </w:p>
        </w:tc>
        <w:tc>
          <w:tcPr>
            <w:tcW w:w="155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rPr>
              <w:t>能源股</w:t>
            </w:r>
          </w:p>
        </w:tc>
        <w:tc>
          <w:tcPr>
            <w:tcW w:w="150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80%</w:t>
            </w:r>
            <w:r>
              <w:rPr>
                <w:rFonts w:ascii="??_GB2312" w:hAnsi="??_GB2312" w:cs="??_GB2312"/>
                <w:kern w:val="0"/>
                <w:sz w:val="24"/>
                <w:szCs w:val="24"/>
              </w:rPr>
              <w:t> </w:t>
            </w:r>
          </w:p>
        </w:tc>
        <w:tc>
          <w:tcPr>
            <w:tcW w:w="1227"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1</w:t>
            </w:r>
            <w:r>
              <w:rPr>
                <w:rFonts w:ascii="??_GB2312" w:hAnsi="??_GB2312" w:cs="??_GB2312"/>
                <w:kern w:val="0"/>
                <w:sz w:val="24"/>
                <w:szCs w:val="24"/>
              </w:rPr>
              <w:t> </w:t>
            </w:r>
          </w:p>
        </w:tc>
        <w:tc>
          <w:tcPr>
            <w:tcW w:w="170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2020.5-2020.12</w:t>
            </w:r>
            <w:r>
              <w:rPr>
                <w:rFonts w:ascii="??_GB2312" w:hAnsi="??_GB2312" w:cs="??_GB2312"/>
                <w:kern w:val="0"/>
                <w:sz w:val="24"/>
                <w:szCs w:val="24"/>
              </w:rPr>
              <w:t> </w:t>
            </w:r>
          </w:p>
        </w:tc>
        <w:tc>
          <w:tcPr>
            <w:tcW w:w="1278" w:type="dxa"/>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1224" w:hRule="atLeast"/>
          <w:jc w:val="center"/>
        </w:trPr>
        <w:tc>
          <w:tcPr>
            <w:tcW w:w="163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rPr>
              <w:t>全县成品油企业</w:t>
            </w:r>
          </w:p>
        </w:tc>
        <w:tc>
          <w:tcPr>
            <w:tcW w:w="530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宋体" w:hAnsi="宋体" w:cs="宋体"/>
                <w:kern w:val="0"/>
                <w:sz w:val="22"/>
                <w:szCs w:val="22"/>
              </w:rPr>
              <w:t>油气管网设施公平开放监管办法（试行）》（国能监管〔</w:t>
            </w:r>
            <w:r>
              <w:rPr>
                <w:rFonts w:ascii="宋体" w:hAnsi="宋体" w:cs="宋体"/>
                <w:kern w:val="0"/>
                <w:sz w:val="22"/>
                <w:szCs w:val="22"/>
              </w:rPr>
              <w:t>2014</w:t>
            </w:r>
            <w:r>
              <w:rPr>
                <w:rFonts w:hint="eastAsia" w:ascii="宋体" w:hAnsi="宋体" w:cs="宋体"/>
                <w:kern w:val="0"/>
                <w:sz w:val="22"/>
                <w:szCs w:val="22"/>
              </w:rPr>
              <w:t>〕</w:t>
            </w:r>
            <w:r>
              <w:rPr>
                <w:rFonts w:ascii="宋体" w:hAnsi="宋体" w:cs="宋体"/>
                <w:kern w:val="0"/>
                <w:sz w:val="22"/>
                <w:szCs w:val="22"/>
              </w:rPr>
              <w:t>84</w:t>
            </w:r>
            <w:r>
              <w:rPr>
                <w:rFonts w:hint="eastAsia" w:ascii="宋体" w:hAnsi="宋体" w:cs="宋体"/>
                <w:kern w:val="0"/>
                <w:sz w:val="22"/>
                <w:szCs w:val="22"/>
              </w:rPr>
              <w:t>号</w:t>
            </w:r>
          </w:p>
        </w:tc>
        <w:tc>
          <w:tcPr>
            <w:tcW w:w="155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sz w:val="24"/>
                <w:szCs w:val="24"/>
              </w:rPr>
              <w:t>能源股</w:t>
            </w:r>
            <w:r>
              <w:rPr>
                <w:rFonts w:ascii="??_GB2312" w:hAnsi="??_GB2312" w:cs="??_GB2312"/>
                <w:kern w:val="0"/>
                <w:sz w:val="24"/>
                <w:szCs w:val="24"/>
              </w:rPr>
              <w:t> </w:t>
            </w:r>
          </w:p>
        </w:tc>
        <w:tc>
          <w:tcPr>
            <w:tcW w:w="150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80%</w:t>
            </w:r>
            <w:r>
              <w:rPr>
                <w:rFonts w:ascii="??_GB2312" w:hAnsi="??_GB2312" w:cs="??_GB2312"/>
                <w:kern w:val="0"/>
                <w:sz w:val="24"/>
                <w:szCs w:val="24"/>
              </w:rPr>
              <w:t> </w:t>
            </w:r>
          </w:p>
        </w:tc>
        <w:tc>
          <w:tcPr>
            <w:tcW w:w="1227"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1</w:t>
            </w:r>
            <w:r>
              <w:rPr>
                <w:rFonts w:ascii="??_GB2312" w:hAnsi="??_GB2312" w:cs="??_GB2312"/>
                <w:kern w:val="0"/>
                <w:sz w:val="24"/>
                <w:szCs w:val="24"/>
              </w:rPr>
              <w:t> </w:t>
            </w:r>
          </w:p>
        </w:tc>
        <w:tc>
          <w:tcPr>
            <w:tcW w:w="170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2020.5-2020.12</w:t>
            </w:r>
            <w:r>
              <w:rPr>
                <w:rFonts w:ascii="??_GB2312" w:hAnsi="??_GB2312" w:cs="??_GB2312"/>
                <w:kern w:val="0"/>
                <w:sz w:val="24"/>
                <w:szCs w:val="24"/>
              </w:rPr>
              <w:t> </w:t>
            </w:r>
          </w:p>
        </w:tc>
        <w:tc>
          <w:tcPr>
            <w:tcW w:w="1278" w:type="dxa"/>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868" w:hRule="atLeast"/>
          <w:jc w:val="center"/>
        </w:trPr>
        <w:tc>
          <w:tcPr>
            <w:tcW w:w="163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textAlignment w:val="center"/>
              <w:rPr>
                <w:rFonts w:ascii="??_GB2312" w:hAnsi="??_GB2312" w:cs="??_GB2312"/>
              </w:rPr>
            </w:pPr>
            <w:r>
              <w:rPr>
                <w:rFonts w:hint="eastAsia" w:ascii="??_GB2312" w:hAnsi="??_GB2312" w:cs="宋体"/>
              </w:rPr>
              <w:t>全县通信企业</w:t>
            </w:r>
          </w:p>
        </w:tc>
        <w:tc>
          <w:tcPr>
            <w:tcW w:w="530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宋体" w:hAnsi="宋体" w:cs="宋体"/>
                <w:kern w:val="0"/>
                <w:sz w:val="22"/>
                <w:szCs w:val="22"/>
              </w:rPr>
              <w:t>通信网络安全防护管理办法》（工业和信息化部令第</w:t>
            </w:r>
            <w:r>
              <w:rPr>
                <w:rFonts w:ascii="宋体" w:hAnsi="宋体" w:cs="宋体"/>
                <w:kern w:val="0"/>
                <w:sz w:val="22"/>
                <w:szCs w:val="22"/>
              </w:rPr>
              <w:t>11</w:t>
            </w:r>
            <w:r>
              <w:rPr>
                <w:rFonts w:hint="eastAsia" w:ascii="宋体" w:hAnsi="宋体" w:cs="宋体"/>
                <w:kern w:val="0"/>
                <w:sz w:val="22"/>
                <w:szCs w:val="22"/>
              </w:rPr>
              <w:t>号）</w:t>
            </w:r>
            <w:r>
              <w:rPr>
                <w:rFonts w:ascii="??_GB2312" w:hAnsi="??_GB2312" w:cs="??_GB2312"/>
                <w:kern w:val="0"/>
                <w:sz w:val="24"/>
                <w:szCs w:val="24"/>
              </w:rPr>
              <w:t> </w:t>
            </w:r>
          </w:p>
        </w:tc>
        <w:tc>
          <w:tcPr>
            <w:tcW w:w="155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rPr>
              <w:t>信息化股</w:t>
            </w:r>
          </w:p>
        </w:tc>
        <w:tc>
          <w:tcPr>
            <w:tcW w:w="150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80%</w:t>
            </w:r>
            <w:r>
              <w:rPr>
                <w:rFonts w:ascii="??_GB2312" w:hAnsi="??_GB2312" w:cs="??_GB2312"/>
                <w:kern w:val="0"/>
                <w:sz w:val="24"/>
                <w:szCs w:val="24"/>
              </w:rPr>
              <w:t> </w:t>
            </w:r>
          </w:p>
        </w:tc>
        <w:tc>
          <w:tcPr>
            <w:tcW w:w="1227"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1</w:t>
            </w:r>
            <w:r>
              <w:rPr>
                <w:rFonts w:ascii="??_GB2312" w:hAnsi="??_GB2312" w:cs="??_GB2312"/>
                <w:kern w:val="0"/>
                <w:sz w:val="24"/>
                <w:szCs w:val="24"/>
              </w:rPr>
              <w:t> </w:t>
            </w:r>
          </w:p>
        </w:tc>
        <w:tc>
          <w:tcPr>
            <w:tcW w:w="170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2020.5-2020.10</w:t>
            </w:r>
            <w:r>
              <w:rPr>
                <w:rFonts w:ascii="??_GB2312" w:hAnsi="??_GB2312" w:cs="??_GB2312"/>
                <w:kern w:val="0"/>
                <w:sz w:val="24"/>
                <w:szCs w:val="24"/>
              </w:rPr>
              <w:t> </w:t>
            </w:r>
          </w:p>
        </w:tc>
        <w:tc>
          <w:tcPr>
            <w:tcW w:w="1278" w:type="dxa"/>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3411" w:hRule="atLeast"/>
          <w:jc w:val="center"/>
        </w:trPr>
        <w:tc>
          <w:tcPr>
            <w:tcW w:w="14202" w:type="dxa"/>
            <w:gridSpan w:val="7"/>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540" w:firstLineChars="200"/>
              <w:rPr>
                <w:rFonts w:ascii="??_GB2312" w:hAnsi="??_GB2312" w:cs="??_GB2312"/>
                <w:kern w:val="0"/>
              </w:rPr>
            </w:pPr>
            <w:r>
              <w:rPr>
                <w:rFonts w:hint="eastAsia" w:ascii="??_GB2312" w:hAnsi="??_GB2312" w:cs="宋体"/>
                <w:kern w:val="0"/>
                <w:sz w:val="27"/>
                <w:szCs w:val="27"/>
              </w:rPr>
              <w:t>按照县政府办</w:t>
            </w:r>
            <w:r>
              <w:rPr>
                <w:rFonts w:ascii="??_GB2312" w:hAnsi="??_GB2312" w:cs="??_GB2312"/>
                <w:kern w:val="0"/>
                <w:sz w:val="27"/>
                <w:szCs w:val="27"/>
              </w:rPr>
              <w:t>“</w:t>
            </w:r>
            <w:r>
              <w:rPr>
                <w:rFonts w:hint="eastAsia" w:ascii="??_GB2312" w:hAnsi="??_GB2312" w:cs="宋体"/>
                <w:kern w:val="0"/>
                <w:sz w:val="27"/>
                <w:szCs w:val="27"/>
              </w:rPr>
              <w:t>双随机</w:t>
            </w:r>
            <w:r>
              <w:rPr>
                <w:rFonts w:ascii="??_GB2312" w:hAnsi="??_GB2312" w:cs="??_GB2312"/>
                <w:kern w:val="0"/>
                <w:sz w:val="27"/>
                <w:szCs w:val="27"/>
              </w:rPr>
              <w:t>”</w:t>
            </w:r>
            <w:r>
              <w:rPr>
                <w:rFonts w:hint="eastAsia" w:ascii="??_GB2312" w:hAnsi="??_GB2312" w:cs="宋体"/>
                <w:kern w:val="0"/>
                <w:sz w:val="27"/>
                <w:szCs w:val="27"/>
              </w:rPr>
              <w:t>工作的有关要求，行政检查职能股室应当于当年一季度制定当年检查初步计划，汇总后公示。</w:t>
            </w:r>
            <w:r>
              <w:rPr>
                <w:rFonts w:ascii="??_GB2312" w:hAnsi="??_GB2312" w:cs="??_GB2312"/>
                <w:kern w:val="0"/>
              </w:rPr>
              <w:t> </w:t>
            </w:r>
          </w:p>
          <w:p>
            <w:pPr>
              <w:widowControl/>
              <w:autoSpaceDE w:val="0"/>
              <w:spacing w:line="520" w:lineRule="exact"/>
              <w:ind w:firstLine="540" w:firstLineChars="200"/>
              <w:rPr>
                <w:rFonts w:ascii="??_GB2312" w:hAnsi="??_GB2312" w:cs="??_GB2312"/>
              </w:rPr>
            </w:pPr>
            <w:r>
              <w:rPr>
                <w:rFonts w:hint="eastAsia" w:ascii="??_GB2312" w:hAnsi="??_GB2312" w:cs="宋体"/>
                <w:b/>
                <w:bCs/>
                <w:kern w:val="0"/>
                <w:sz w:val="27"/>
                <w:szCs w:val="27"/>
              </w:rPr>
              <w:t>抽查工作注意事项</w:t>
            </w:r>
            <w:r>
              <w:rPr>
                <w:rFonts w:hint="eastAsia" w:ascii="??_GB2312" w:hAnsi="??_GB2312" w:cs="宋体"/>
                <w:kern w:val="0"/>
                <w:sz w:val="27"/>
                <w:szCs w:val="27"/>
              </w:rPr>
              <w:t>：每年随机抽查事项不低于抽查事项总数的</w:t>
            </w:r>
            <w:r>
              <w:rPr>
                <w:rFonts w:ascii="??_GB2312" w:hAnsi="??_GB2312" w:cs="??_GB2312"/>
                <w:kern w:val="0"/>
                <w:sz w:val="27"/>
                <w:szCs w:val="27"/>
              </w:rPr>
              <w:t>50%</w:t>
            </w:r>
            <w:r>
              <w:rPr>
                <w:rFonts w:hint="eastAsia" w:ascii="??_GB2312" w:hAnsi="??_GB2312" w:cs="宋体"/>
                <w:kern w:val="0"/>
                <w:sz w:val="27"/>
                <w:szCs w:val="27"/>
              </w:rPr>
              <w:t>，抽查对象不少于全部抽查对象的</w:t>
            </w:r>
            <w:r>
              <w:rPr>
                <w:rFonts w:ascii="??_GB2312" w:hAnsi="??_GB2312" w:cs="??_GB2312"/>
                <w:kern w:val="0"/>
                <w:sz w:val="27"/>
                <w:szCs w:val="27"/>
              </w:rPr>
              <w:t>70%</w:t>
            </w:r>
            <w:r>
              <w:rPr>
                <w:rFonts w:hint="eastAsia" w:ascii="??_GB2312" w:hAnsi="??_GB2312" w:cs="宋体"/>
                <w:kern w:val="0"/>
                <w:sz w:val="27"/>
                <w:szCs w:val="27"/>
              </w:rPr>
              <w:t>。原则上同一年度对同一管理对象的抽查次数不超过</w:t>
            </w:r>
            <w:r>
              <w:rPr>
                <w:rFonts w:ascii="??_GB2312" w:hAnsi="??_GB2312" w:cs="??_GB2312"/>
                <w:kern w:val="0"/>
                <w:sz w:val="27"/>
                <w:szCs w:val="27"/>
              </w:rPr>
              <w:t>2</w:t>
            </w:r>
            <w:r>
              <w:rPr>
                <w:rFonts w:hint="eastAsia" w:ascii="??_GB2312" w:hAnsi="??_GB2312" w:cs="宋体"/>
                <w:kern w:val="0"/>
                <w:sz w:val="27"/>
                <w:szCs w:val="27"/>
              </w:rPr>
              <w:t>次。对社会关注度高、被投诉举报多、有严重违纪违规记录、失信等级高的</w:t>
            </w:r>
            <w:r>
              <w:rPr>
                <w:rFonts w:hint="eastAsia" w:ascii="??_GB2312" w:hAnsi="??_GB2312" w:cs="宋体"/>
                <w:kern w:val="0"/>
                <w:sz w:val="27"/>
                <w:szCs w:val="27"/>
                <w:lang w:eastAsia="zh-CN"/>
              </w:rPr>
              <w:t>企业</w:t>
            </w:r>
            <w:r>
              <w:rPr>
                <w:rFonts w:hint="eastAsia" w:ascii="??_GB2312" w:hAnsi="??_GB2312" w:cs="宋体"/>
                <w:kern w:val="0"/>
                <w:sz w:val="27"/>
                <w:szCs w:val="27"/>
              </w:rPr>
              <w:t>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w:t>
            </w:r>
            <w:r>
              <w:rPr>
                <w:rFonts w:ascii="??_GB2312" w:hAnsi="??_GB2312" w:cs="??_GB2312"/>
                <w:kern w:val="0"/>
                <w:sz w:val="27"/>
                <w:szCs w:val="27"/>
              </w:rPr>
              <w:t>20</w:t>
            </w:r>
            <w:r>
              <w:rPr>
                <w:rFonts w:hint="eastAsia" w:ascii="??_GB2312" w:hAnsi="??_GB2312" w:cs="宋体"/>
                <w:kern w:val="0"/>
                <w:sz w:val="27"/>
                <w:szCs w:val="27"/>
              </w:rPr>
              <w:t>日前将工作开展情况汇总，经局领导审签后报县政府办。</w:t>
            </w:r>
            <w:r>
              <w:rPr>
                <w:rFonts w:ascii="??_GB2312" w:hAnsi="??_GB2312" w:cs="??_GB2312"/>
                <w:kern w:val="0"/>
                <w:sz w:val="27"/>
                <w:szCs w:val="27"/>
              </w:rPr>
              <w:t xml:space="preserve"> </w:t>
            </w:r>
          </w:p>
        </w:tc>
      </w:tr>
    </w:tbl>
    <w:p>
      <w:pPr>
        <w:rPr>
          <w:rFonts w:ascii="??_GB2312" w:hAnsi="宋体" w:cs="Times New Roman"/>
          <w:b/>
          <w:bCs/>
          <w:kern w:val="0"/>
          <w:sz w:val="32"/>
          <w:szCs w:val="32"/>
        </w:rPr>
        <w:sectPr>
          <w:pgSz w:w="16838" w:h="11906" w:orient="landscape"/>
          <w:pgMar w:top="1701" w:right="1418" w:bottom="1701" w:left="1418" w:header="851" w:footer="1418" w:gutter="0"/>
          <w:cols w:space="425" w:num="1"/>
          <w:docGrid w:type="linesAndChars" w:linePitch="312" w:charSpace="0"/>
        </w:sectPr>
      </w:pPr>
    </w:p>
    <w:p>
      <w:pPr>
        <w:autoSpaceDE w:val="0"/>
        <w:spacing w:line="576" w:lineRule="exact"/>
        <w:ind w:firstLine="643" w:firstLineChars="200"/>
        <w:rPr>
          <w:rFonts w:cs="Times New Roman"/>
          <w:b/>
          <w:bCs/>
          <w:sz w:val="24"/>
          <w:szCs w:val="24"/>
        </w:rPr>
      </w:pPr>
      <w:r>
        <w:rPr>
          <w:rFonts w:hint="eastAsia" w:ascii="??_GB2312" w:hAnsi="??_GB2312" w:cs="宋体"/>
          <w:b/>
          <w:bCs/>
          <w:sz w:val="32"/>
          <w:szCs w:val="32"/>
        </w:rPr>
        <w:t>八、剑阁县经信科局行政执法文书样式、行政执法案卷评查制度</w:t>
      </w:r>
    </w:p>
    <w:p>
      <w:pPr>
        <w:pStyle w:val="2"/>
        <w:widowControl/>
        <w:autoSpaceDE w:val="0"/>
        <w:spacing w:before="0" w:beforeAutospacing="0" w:after="150" w:afterAutospacing="0" w:line="576" w:lineRule="exact"/>
        <w:ind w:firstLine="700" w:firstLineChars="200"/>
        <w:rPr>
          <w:rFonts w:ascii="??_GB2312" w:hAnsi="??_GB2312" w:cs="??_GB2312"/>
          <w:b w:val="0"/>
          <w:bCs w:val="0"/>
          <w:sz w:val="32"/>
          <w:szCs w:val="32"/>
          <w:shd w:val="clear" w:color="auto" w:fill="FFFFFF"/>
        </w:rPr>
      </w:pPr>
      <w:r>
        <w:rPr>
          <w:rFonts w:hint="eastAsia" w:ascii="??_GB2312" w:hAnsi="??_GB2312"/>
          <w:b w:val="0"/>
          <w:bCs w:val="0"/>
          <w:spacing w:val="15"/>
          <w:sz w:val="32"/>
          <w:szCs w:val="32"/>
          <w:shd w:val="clear" w:color="auto" w:fill="FFFFFF"/>
        </w:rPr>
        <w:t>（一）经信部关于印发《经信行政机关行政许可文书格式文本》的通知。</w:t>
      </w:r>
    </w:p>
    <w:p>
      <w:pPr>
        <w:autoSpaceDE w:val="0"/>
        <w:spacing w:line="576" w:lineRule="exact"/>
        <w:ind w:firstLine="640" w:firstLineChars="200"/>
        <w:rPr>
          <w:rFonts w:ascii="??_GB2312" w:hAnsi="??_GB2312" w:cs="??_GB2312"/>
          <w:sz w:val="32"/>
          <w:szCs w:val="32"/>
          <w:shd w:val="clear" w:color="auto" w:fill="FFFFFF"/>
        </w:rPr>
      </w:pPr>
      <w:r>
        <w:rPr>
          <w:rFonts w:hint="eastAsia" w:ascii="??_GB2312" w:hAnsi="??_GB2312" w:cs="宋体"/>
          <w:sz w:val="32"/>
          <w:szCs w:val="32"/>
        </w:rPr>
        <w:t>（二）经信部关于印发</w:t>
      </w:r>
      <w:r>
        <w:rPr>
          <w:rFonts w:hint="eastAsia" w:ascii="??_GB2312" w:hAnsi="??_GB2312" w:cs="宋体"/>
          <w:spacing w:val="15"/>
          <w:sz w:val="32"/>
          <w:szCs w:val="32"/>
          <w:shd w:val="clear" w:color="auto" w:fill="FFFFFF"/>
        </w:rPr>
        <w:t>《经信</w:t>
      </w:r>
      <w:r>
        <w:rPr>
          <w:rFonts w:hint="eastAsia" w:ascii="??_GB2312" w:hAnsi="??_GB2312" w:cs="宋体"/>
          <w:sz w:val="32"/>
          <w:szCs w:val="32"/>
        </w:rPr>
        <w:t>行政机关行政执法文书格式的通知</w:t>
      </w:r>
      <w:r>
        <w:rPr>
          <w:rFonts w:hint="eastAsia" w:ascii="??_GB2312" w:hAnsi="??_GB2312" w:cs="宋体"/>
          <w:spacing w:val="15"/>
          <w:sz w:val="32"/>
          <w:szCs w:val="32"/>
          <w:shd w:val="clear" w:color="auto" w:fill="FFFFFF"/>
        </w:rPr>
        <w:t>》。</w:t>
      </w:r>
    </w:p>
    <w:p>
      <w:pPr>
        <w:autoSpaceDE w:val="0"/>
        <w:spacing w:line="576" w:lineRule="exact"/>
        <w:ind w:firstLine="640" w:firstLineChars="200"/>
        <w:rPr>
          <w:rFonts w:ascii="宋体" w:cs="Times New Roman"/>
          <w:shd w:val="clear" w:color="auto" w:fill="FFFFFF"/>
        </w:rPr>
      </w:pPr>
      <w:r>
        <w:rPr>
          <w:rFonts w:hint="eastAsia" w:ascii="??_GB2312" w:hAnsi="??_GB2312" w:cs="宋体"/>
          <w:sz w:val="32"/>
          <w:szCs w:val="32"/>
        </w:rPr>
        <w:t>（三）剑阁县经信科局关于印发《剑阁县经济信息化和科学技术局关于行政机关行政执法案卷评查办法》及相关配套规定的通知。</w:t>
      </w:r>
    </w:p>
    <w:p>
      <w:pPr>
        <w:autoSpaceDE w:val="0"/>
        <w:spacing w:line="576" w:lineRule="exact"/>
        <w:ind w:left="420" w:leftChars="200"/>
        <w:rPr>
          <w:rFonts w:ascii="??_GB2312" w:hAnsi="??_GB2312" w:cs="??_GB2312"/>
          <w:b/>
          <w:bCs/>
          <w:sz w:val="32"/>
          <w:szCs w:val="32"/>
        </w:rPr>
      </w:pPr>
      <w:r>
        <w:rPr>
          <w:rFonts w:hint="eastAsia" w:ascii="??_GB2312" w:hAnsi="??_GB2312" w:cs="宋体"/>
          <w:b/>
          <w:bCs/>
          <w:sz w:val="32"/>
          <w:szCs w:val="32"/>
        </w:rPr>
        <w:t>九、县经信科局上年度双随机抽查结果、行政许可和处罚决定、上年度本机关行政执法数据总体情况</w:t>
      </w:r>
    </w:p>
    <w:p>
      <w:pPr>
        <w:numPr>
          <w:ilvl w:val="0"/>
          <w:numId w:val="2"/>
        </w:numPr>
        <w:autoSpaceDE w:val="0"/>
        <w:spacing w:line="576" w:lineRule="exact"/>
        <w:rPr>
          <w:rFonts w:ascii="??_GB2312" w:hAnsi="??_GB2312" w:cs="??_GB2312"/>
          <w:sz w:val="32"/>
          <w:szCs w:val="32"/>
        </w:rPr>
      </w:pPr>
      <w:r>
        <w:rPr>
          <w:rFonts w:hint="eastAsia" w:ascii="??_GB2312" w:hAnsi="??_GB2312" w:cs="宋体"/>
          <w:sz w:val="32"/>
          <w:szCs w:val="32"/>
        </w:rPr>
        <w:t>上年度本机关行政执法数据总体情况</w:t>
      </w:r>
    </w:p>
    <w:p>
      <w:pPr>
        <w:autoSpaceDE w:val="0"/>
        <w:spacing w:line="576" w:lineRule="exact"/>
        <w:ind w:left="630"/>
        <w:rPr>
          <w:rFonts w:ascii="??_GB2312" w:hAnsi="??_GB2312" w:cs="??_GB2312"/>
          <w:sz w:val="32"/>
          <w:szCs w:val="32"/>
        </w:rPr>
      </w:pPr>
      <w:r>
        <w:rPr>
          <w:rFonts w:ascii="??_GB2312" w:hAnsi="??_GB2312" w:cs="??_GB2312"/>
          <w:sz w:val="32"/>
          <w:szCs w:val="32"/>
        </w:rPr>
        <w:t>https://www.baidu.com/s?word=%E5%89%91%E9%98%81%E5%8E%BF%E7%BB%8F%E6%B5%8E%E4%BF%A1%E6%81%AF%E5%8C%96%E5%92%8C%E7%A7%91%E5%AD%A6%E6%8A%80%E6%9C%AF%E5%B1%80&amp;tn=site888_3_pg&amp;lm=-1&amp;ssl_s=1&amp;ssl_c=ssl1_17258ca3c30</w:t>
      </w:r>
    </w:p>
    <w:p>
      <w:pPr>
        <w:autoSpaceDE w:val="0"/>
        <w:spacing w:line="576" w:lineRule="exact"/>
        <w:ind w:left="630"/>
        <w:rPr>
          <w:rFonts w:ascii="??_GB2312" w:hAnsi="??_GB2312" w:cs="??_GB2312"/>
          <w:sz w:val="32"/>
          <w:szCs w:val="32"/>
        </w:rPr>
      </w:pPr>
    </w:p>
    <w:p>
      <w:pPr>
        <w:numPr>
          <w:ilvl w:val="0"/>
          <w:numId w:val="2"/>
        </w:numPr>
        <w:autoSpaceDE w:val="0"/>
        <w:spacing w:line="576" w:lineRule="exact"/>
        <w:rPr>
          <w:rFonts w:ascii="??_GB2312" w:hAnsi="??_GB2312" w:cs="??_GB2312"/>
          <w:sz w:val="32"/>
          <w:szCs w:val="32"/>
        </w:rPr>
      </w:pPr>
      <w:r>
        <w:rPr>
          <w:rFonts w:hint="eastAsia" w:ascii="??_GB2312" w:hAnsi="??_GB2312" w:cs="宋体"/>
          <w:sz w:val="32"/>
          <w:szCs w:val="32"/>
        </w:rPr>
        <w:t>行政许可和行政处罚决定公示</w:t>
      </w:r>
    </w:p>
    <w:p>
      <w:pPr>
        <w:autoSpaceDE w:val="0"/>
        <w:spacing w:line="576" w:lineRule="exact"/>
        <w:ind w:left="630"/>
        <w:rPr>
          <w:rFonts w:ascii="??_GB2312" w:hAnsi="??_GB2312" w:cs="??_GB2312"/>
          <w:sz w:val="32"/>
          <w:szCs w:val="32"/>
        </w:rPr>
      </w:pPr>
      <w:r>
        <w:rPr>
          <w:rFonts w:ascii="??_GB2312" w:hAnsi="??_GB2312" w:cs="??_GB2312"/>
          <w:sz w:val="32"/>
          <w:szCs w:val="32"/>
        </w:rPr>
        <w:t>https://www.baidu.com/s?word=%E5%89%91%E9%98%81%E5%8E%BF%E7%BB%8F%E6%B5%8E%E4%BF%A1%E6%81%AF%E5%8C%96%E5%92%8C%E7%A7%91%E5%AD%A6%E6%8A%80%E6%9C%AF%E5%B1%80&amp;tn=site888_3_pg&amp;lm=-1&amp;ssl_s=1&amp;ssl_c=ssl1_17258ca3c30</w:t>
      </w:r>
    </w:p>
    <w:p>
      <w:pPr>
        <w:numPr>
          <w:ilvl w:val="0"/>
          <w:numId w:val="3"/>
        </w:numPr>
        <w:autoSpaceDE w:val="0"/>
        <w:spacing w:line="576" w:lineRule="exact"/>
        <w:ind w:firstLine="643" w:firstLineChars="200"/>
        <w:rPr>
          <w:rFonts w:ascii="??_GB2312" w:hAnsi="??_GB2312" w:cs="??_GB2312"/>
          <w:b/>
          <w:bCs/>
          <w:sz w:val="32"/>
          <w:szCs w:val="32"/>
        </w:rPr>
      </w:pPr>
      <w:r>
        <w:rPr>
          <w:rFonts w:hint="eastAsia" w:ascii="??_GB2312" w:hAnsi="??_GB2312" w:cs="宋体"/>
          <w:b/>
          <w:bCs/>
          <w:sz w:val="32"/>
          <w:szCs w:val="32"/>
        </w:rPr>
        <w:t>县经信科局实行</w:t>
      </w:r>
      <w:r>
        <w:rPr>
          <w:rFonts w:hint="eastAsia" w:ascii="??_GB2312" w:hAnsi="??_GB2312" w:cs="宋体"/>
          <w:b/>
          <w:bCs/>
          <w:sz w:val="32"/>
          <w:szCs w:val="32"/>
          <w:lang w:eastAsia="zh-CN"/>
        </w:rPr>
        <w:t>行</w:t>
      </w:r>
      <w:r>
        <w:rPr>
          <w:rFonts w:hint="eastAsia" w:ascii="??_GB2312" w:hAnsi="??_GB2312" w:cs="宋体"/>
          <w:b/>
          <w:bCs/>
          <w:sz w:val="32"/>
          <w:szCs w:val="32"/>
        </w:rPr>
        <w:t>政执法三项制度方案</w:t>
      </w:r>
    </w:p>
    <w:p>
      <w:pPr>
        <w:autoSpaceDE w:val="0"/>
        <w:spacing w:line="576" w:lineRule="exact"/>
        <w:ind w:firstLine="640" w:firstLineChars="200"/>
        <w:rPr>
          <w:rFonts w:ascii="??_GB2312" w:hAnsi="??_GB2312" w:cs="??_GB2312"/>
          <w:sz w:val="32"/>
          <w:szCs w:val="32"/>
        </w:rPr>
      </w:pPr>
      <w:r>
        <w:rPr>
          <w:rFonts w:hint="eastAsia" w:ascii="??_GB2312" w:hAnsi="??_GB2312" w:cs="宋体"/>
          <w:sz w:val="32"/>
          <w:szCs w:val="32"/>
        </w:rPr>
        <w:t>比照县三项制度关于印发《剑阁县经信科局全面推行行政执法公示制度执法全过程记录制度重大执法决定法制审核制度实施办法》的通知</w:t>
      </w:r>
    </w:p>
    <w:sectPr>
      <w:pgSz w:w="11906" w:h="16838"/>
      <w:pgMar w:top="2098" w:right="1474" w:bottom="1814" w:left="1588"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15</w:t>
    </w:r>
    <w:r>
      <w:rPr>
        <w:rStyle w:val="7"/>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1FD4DE"/>
    <w:multiLevelType w:val="singleLevel"/>
    <w:tmpl w:val="AE1FD4DE"/>
    <w:lvl w:ilvl="0" w:tentative="0">
      <w:start w:val="4"/>
      <w:numFmt w:val="chineseCounting"/>
      <w:suff w:val="nothing"/>
      <w:lvlText w:val="%1、"/>
      <w:lvlJc w:val="left"/>
      <w:rPr>
        <w:rFonts w:hint="eastAsia"/>
      </w:rPr>
    </w:lvl>
  </w:abstractNum>
  <w:abstractNum w:abstractNumId="1">
    <w:nsid w:val="79406D14"/>
    <w:multiLevelType w:val="multilevel"/>
    <w:tmpl w:val="79406D14"/>
    <w:lvl w:ilvl="0" w:tentative="0">
      <w:start w:val="1"/>
      <w:numFmt w:val="chineseCounting"/>
      <w:suff w:val="nothing"/>
      <w:lvlText w:val="（%1）"/>
      <w:lvlJc w:val="left"/>
      <w:pPr>
        <w:ind w:left="63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799C1B66"/>
    <w:multiLevelType w:val="multilevel"/>
    <w:tmpl w:val="799C1B66"/>
    <w:lvl w:ilvl="0" w:tentative="0">
      <w:start w:val="9"/>
      <w:numFmt w:val="chineseCounting"/>
      <w:suff w:val="nothing"/>
      <w:lvlText w:val="%1、"/>
      <w:lvlJc w:val="left"/>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78"/>
    <w:rsid w:val="0000748B"/>
    <w:rsid w:val="000876A9"/>
    <w:rsid w:val="000C5578"/>
    <w:rsid w:val="00292C79"/>
    <w:rsid w:val="003C4D35"/>
    <w:rsid w:val="0053234A"/>
    <w:rsid w:val="00701931"/>
    <w:rsid w:val="008A10C7"/>
    <w:rsid w:val="008C60A4"/>
    <w:rsid w:val="00940E78"/>
    <w:rsid w:val="009A4077"/>
    <w:rsid w:val="009E3903"/>
    <w:rsid w:val="00AC007B"/>
    <w:rsid w:val="00CC57BE"/>
    <w:rsid w:val="019C7942"/>
    <w:rsid w:val="15525B2A"/>
    <w:rsid w:val="159054AB"/>
    <w:rsid w:val="16112EB8"/>
    <w:rsid w:val="1D550E0E"/>
    <w:rsid w:val="2E8B4BD0"/>
    <w:rsid w:val="2FAB79C0"/>
    <w:rsid w:val="31FB07E1"/>
    <w:rsid w:val="38925333"/>
    <w:rsid w:val="45885F05"/>
    <w:rsid w:val="548242F7"/>
    <w:rsid w:val="58EF599D"/>
    <w:rsid w:val="5B886E47"/>
    <w:rsid w:val="7BC8581E"/>
    <w:rsid w:val="7CED5A22"/>
    <w:rsid w:val="7F7A60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9"/>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6">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8"/>
    <w:qFormat/>
    <w:uiPriority w:val="99"/>
    <w:pPr>
      <w:tabs>
        <w:tab w:val="center" w:pos="4153"/>
        <w:tab w:val="right" w:pos="8306"/>
      </w:tabs>
      <w:snapToGrid w:val="0"/>
      <w:jc w:val="left"/>
    </w:pPr>
    <w:rPr>
      <w:sz w:val="18"/>
      <w:szCs w:val="18"/>
    </w:rPr>
  </w:style>
  <w:style w:type="table" w:styleId="5">
    <w:name w:val="Table Grid"/>
    <w:basedOn w:val="4"/>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7">
    <w:name w:val="page number"/>
    <w:basedOn w:val="6"/>
    <w:qFormat/>
    <w:uiPriority w:val="99"/>
  </w:style>
  <w:style w:type="character" w:styleId="8">
    <w:name w:val="Hyperlink"/>
    <w:basedOn w:val="6"/>
    <w:qFormat/>
    <w:uiPriority w:val="99"/>
    <w:rPr>
      <w:color w:val="0000FF"/>
      <w:u w:val="single"/>
    </w:rPr>
  </w:style>
  <w:style w:type="character" w:customStyle="1" w:styleId="9">
    <w:name w:val="Heading 1 Char"/>
    <w:basedOn w:val="6"/>
    <w:link w:val="2"/>
    <w:qFormat/>
    <w:locked/>
    <w:uiPriority w:val="99"/>
    <w:rPr>
      <w:rFonts w:ascii="宋体" w:hAnsi="宋体" w:eastAsia="宋体" w:cs="宋体"/>
      <w:b/>
      <w:bCs/>
      <w:kern w:val="44"/>
      <w:sz w:val="48"/>
      <w:szCs w:val="48"/>
    </w:rPr>
  </w:style>
  <w:style w:type="paragraph" w:customStyle="1" w:styleId="10">
    <w:name w:val="_Style 19"/>
    <w:basedOn w:val="1"/>
    <w:next w:val="1"/>
    <w:qFormat/>
    <w:uiPriority w:val="99"/>
    <w:pPr>
      <w:pBdr>
        <w:top w:val="single" w:color="auto" w:sz="6" w:space="1"/>
      </w:pBdr>
      <w:jc w:val="center"/>
    </w:pPr>
    <w:rPr>
      <w:rFonts w:ascii="Arial" w:cs="Arial"/>
      <w:vanish/>
      <w:sz w:val="16"/>
      <w:szCs w:val="16"/>
    </w:rPr>
  </w:style>
  <w:style w:type="paragraph" w:customStyle="1" w:styleId="11">
    <w:name w:val="_Style 18"/>
    <w:basedOn w:val="1"/>
    <w:next w:val="1"/>
    <w:qFormat/>
    <w:uiPriority w:val="99"/>
    <w:pPr>
      <w:pBdr>
        <w:bottom w:val="single" w:color="auto" w:sz="6" w:space="1"/>
      </w:pBdr>
      <w:jc w:val="center"/>
    </w:pPr>
    <w:rPr>
      <w:rFonts w:ascii="Arial" w:cs="Arial"/>
      <w:vanish/>
      <w:sz w:val="16"/>
      <w:szCs w:val="16"/>
    </w:rPr>
  </w:style>
  <w:style w:type="character" w:customStyle="1" w:styleId="12">
    <w:name w:val="15"/>
    <w:basedOn w:val="6"/>
    <w:qFormat/>
    <w:uiPriority w:val="99"/>
    <w:rPr>
      <w:rFonts w:ascii="Calibri" w:hAnsi="Calibri" w:cs="Calibri"/>
      <w:color w:val="0000FF"/>
    </w:rPr>
  </w:style>
  <w:style w:type="character" w:customStyle="1" w:styleId="13">
    <w:name w:val="wenda-abstract-listnum"/>
    <w:basedOn w:val="6"/>
    <w:qFormat/>
    <w:uiPriority w:val="99"/>
  </w:style>
  <w:style w:type="character" w:customStyle="1" w:styleId="14">
    <w:name w:val="font81"/>
    <w:basedOn w:val="6"/>
    <w:qFormat/>
    <w:uiPriority w:val="99"/>
    <w:rPr>
      <w:rFonts w:ascii="宋体" w:hAnsi="宋体" w:eastAsia="宋体" w:cs="宋体"/>
      <w:color w:val="auto"/>
      <w:sz w:val="20"/>
      <w:szCs w:val="20"/>
      <w:u w:val="none"/>
    </w:rPr>
  </w:style>
  <w:style w:type="character" w:customStyle="1" w:styleId="15">
    <w:name w:val="font51"/>
    <w:basedOn w:val="6"/>
    <w:qFormat/>
    <w:uiPriority w:val="99"/>
    <w:rPr>
      <w:rFonts w:ascii="宋体" w:hAnsi="宋体" w:eastAsia="宋体" w:cs="宋体"/>
      <w:color w:val="000000"/>
      <w:sz w:val="20"/>
      <w:szCs w:val="20"/>
      <w:u w:val="none"/>
    </w:rPr>
  </w:style>
  <w:style w:type="character" w:customStyle="1" w:styleId="16">
    <w:name w:val="font41"/>
    <w:basedOn w:val="6"/>
    <w:qFormat/>
    <w:uiPriority w:val="99"/>
    <w:rPr>
      <w:rFonts w:ascii="宋体" w:hAnsi="宋体" w:eastAsia="宋体" w:cs="宋体"/>
      <w:color w:val="000000"/>
      <w:sz w:val="20"/>
      <w:szCs w:val="20"/>
      <w:u w:val="none"/>
    </w:rPr>
  </w:style>
  <w:style w:type="character" w:customStyle="1" w:styleId="17">
    <w:name w:val="font31"/>
    <w:basedOn w:val="6"/>
    <w:qFormat/>
    <w:uiPriority w:val="99"/>
    <w:rPr>
      <w:rFonts w:ascii="宋体" w:hAnsi="宋体" w:eastAsia="宋体" w:cs="宋体"/>
      <w:b/>
      <w:bCs/>
      <w:color w:val="000000"/>
      <w:sz w:val="20"/>
      <w:szCs w:val="20"/>
      <w:u w:val="none"/>
    </w:rPr>
  </w:style>
  <w:style w:type="character" w:customStyle="1" w:styleId="18">
    <w:name w:val="Footer Char"/>
    <w:basedOn w:val="6"/>
    <w:link w:val="3"/>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15</Pages>
  <Words>1440</Words>
  <Characters>8209</Characters>
  <Lines>0</Lines>
  <Paragraphs>0</Paragraphs>
  <TotalTime>14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2020-05-26T01:34:00Z</dcterms:created>
  <dc:creator>Sky123.Org</dc:creator>
  <cp:lastModifiedBy>沉淀</cp:lastModifiedBy>
  <dcterms:modified xsi:type="dcterms:W3CDTF">2020-06-08T01:44:40Z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