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475"/>
      <w:bookmarkStart w:id="3" w:name="_Toc15378441"/>
      <w:bookmarkStart w:id="4" w:name="_Toc15396597"/>
      <w:bookmarkStart w:id="5" w:name="_Toc1537742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val="en-US" w:eastAsia="zh-CN"/>
        </w:rPr>
      </w:pPr>
      <w:bookmarkStart w:id="6" w:name="_Toc15377426"/>
      <w:bookmarkStart w:id="7" w:name="_Toc15378442"/>
      <w:bookmarkStart w:id="8" w:name="_Toc15396598"/>
      <w:bookmarkStart w:id="9" w:name="_Toc15377194"/>
      <w:bookmarkStart w:id="10" w:name="_Toc15396476"/>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盐店小学校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56"/>
          <w:szCs w:val="56"/>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cs="仿宋"/>
          <w:sz w:val="32"/>
          <w:szCs w:val="32"/>
          <w:lang w:val="en-US" w:eastAsia="zh-CN"/>
        </w:rPr>
        <w:t>11</w:t>
      </w:r>
      <w:r>
        <w:rPr>
          <w:rFonts w:hint="eastAsia" w:ascii="仿宋" w:hAnsi="仿宋" w:eastAsia="仿宋" w:cs="仿宋"/>
          <w:sz w:val="32"/>
          <w:szCs w:val="32"/>
        </w:rPr>
        <w:t>月</w:t>
      </w:r>
      <w:r>
        <w:rPr>
          <w:rFonts w:hint="eastAsia" w:cs="仿宋"/>
          <w:sz w:val="32"/>
          <w:szCs w:val="32"/>
          <w:lang w:val="en-US" w:eastAsia="zh-CN"/>
        </w:rPr>
        <w:t>28</w:t>
      </w:r>
      <w:r>
        <w:rPr>
          <w:rFonts w:hint="eastAsia" w:ascii="仿宋" w:hAnsi="仿宋" w:eastAsia="仿宋" w:cs="仿宋"/>
          <w:sz w:val="32"/>
          <w:szCs w:val="32"/>
        </w:rPr>
        <w:t>日</w:t>
      </w:r>
    </w:p>
    <w:p>
      <w:pPr>
        <w:rPr>
          <w:rFonts w:hint="eastAsia" w:ascii="仿宋" w:hAnsi="仿宋" w:eastAsia="仿宋" w:cs="仿宋"/>
          <w:sz w:val="32"/>
          <w:szCs w:val="32"/>
        </w:rPr>
      </w:pP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（一）单位职责</w:t>
      </w:r>
    </w:p>
    <w:p>
      <w:pPr>
        <w:pStyle w:val="15"/>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6"/>
        <w:numPr>
          <w:ilvl w:val="0"/>
          <w:numId w:val="1"/>
        </w:numPr>
        <w:jc w:val="center"/>
        <w:rPr>
          <w:rStyle w:val="28"/>
          <w:rFonts w:hint="eastAsia" w:ascii="黑体" w:hAnsi="黑体" w:eastAsia="黑体"/>
          <w:b w:val="0"/>
          <w:bCs w:val="0"/>
        </w:rPr>
      </w:pPr>
      <w:bookmarkStart w:id="12" w:name="_Toc15377196"/>
      <w:bookmarkStart w:id="13" w:name="_Toc15396599"/>
      <w:r>
        <w:rPr>
          <w:rFonts w:hint="eastAsia" w:ascii="黑体" w:hAnsi="黑体" w:eastAsia="黑体"/>
          <w:b w:val="0"/>
        </w:rPr>
        <w:t>单位</w:t>
      </w:r>
      <w:r>
        <w:rPr>
          <w:rStyle w:val="28"/>
          <w:rFonts w:hint="eastAsia" w:ascii="黑体" w:hAnsi="黑体" w:eastAsia="黑体"/>
          <w:b w:val="0"/>
          <w:bCs w:val="0"/>
        </w:rPr>
        <w:t>概况</w:t>
      </w:r>
      <w:bookmarkEnd w:id="12"/>
      <w:bookmarkEnd w:id="13"/>
    </w:p>
    <w:p>
      <w:pPr>
        <w:rPr>
          <w:rFonts w:hint="eastAsia"/>
        </w:rPr>
      </w:pPr>
    </w:p>
    <w:p>
      <w:pPr>
        <w:pStyle w:val="15"/>
        <w:adjustRightInd w:val="0"/>
        <w:snapToGrid w:val="0"/>
        <w:spacing w:line="440" w:lineRule="exact"/>
        <w:jc w:val="left"/>
      </w:pPr>
      <w:r>
        <w:rPr>
          <w:rFonts w:hint="eastAsia" w:ascii="黑体" w:hAnsi="黑体" w:eastAsia="黑体" w:cs="黑体"/>
          <w:b/>
          <w:bCs/>
          <w:sz w:val="32"/>
          <w:szCs w:val="32"/>
        </w:rPr>
        <w:t>一、主要职责及重点工作</w:t>
      </w:r>
    </w:p>
    <w:p>
      <w:pPr>
        <w:pStyle w:val="7"/>
        <w:numPr>
          <w:ilvl w:val="0"/>
          <w:numId w:val="0"/>
        </w:numPr>
        <w:ind w:left="420" w:leftChars="0"/>
        <w:rPr>
          <w:rStyle w:val="29"/>
          <w:rFonts w:ascii="黑体" w:hAnsi="黑体" w:eastAsia="黑体"/>
          <w:b w:val="0"/>
          <w:bCs w:val="0"/>
        </w:rPr>
      </w:pPr>
      <w:bookmarkStart w:id="14" w:name="_Toc15377197"/>
      <w:bookmarkStart w:id="15" w:name="_Toc15396600"/>
      <w:r>
        <w:rPr>
          <w:rStyle w:val="29"/>
          <w:rFonts w:hint="eastAsia" w:ascii="黑体" w:hAnsi="黑体" w:eastAsia="黑体"/>
          <w:b w:val="0"/>
          <w:bCs w:val="0"/>
          <w:lang w:eastAsia="zh-CN"/>
        </w:rPr>
        <w:t>（</w:t>
      </w:r>
      <w:r>
        <w:rPr>
          <w:rStyle w:val="29"/>
          <w:rFonts w:hint="eastAsia" w:ascii="黑体" w:hAnsi="黑体" w:eastAsia="黑体"/>
          <w:b w:val="0"/>
          <w:bCs w:val="0"/>
          <w:lang w:val="en-US" w:eastAsia="zh-CN"/>
        </w:rPr>
        <w:t>一</w:t>
      </w:r>
      <w:r>
        <w:rPr>
          <w:rStyle w:val="29"/>
          <w:rFonts w:hint="eastAsia" w:ascii="黑体" w:hAnsi="黑体" w:eastAsia="黑体"/>
          <w:b w:val="0"/>
          <w:bCs w:val="0"/>
          <w:lang w:eastAsia="zh-CN"/>
        </w:rPr>
        <w:t>）</w:t>
      </w:r>
      <w:r>
        <w:rPr>
          <w:rStyle w:val="29"/>
          <w:rFonts w:hint="eastAsia" w:ascii="黑体" w:hAnsi="黑体" w:eastAsia="黑体"/>
          <w:b w:val="0"/>
          <w:bCs w:val="0"/>
        </w:rPr>
        <w:t>主要职责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本单位主要职能职责是实施小学义务教育，促进基础教育均衡发展。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1、贯彻执行党和国家的教育方针、政策、法规。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2、维护学校的教学秩序，为学生创造良好的学习、成长环境。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3、积极稳妥地推进教育改革，按教育规律办事，不断提高教育质量。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4、根据学校规模，设置学校管理机构，建立健全各项规章制度和岗位责任制。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5、坚持教书育人、服务育人、环境育人方针，加强对学生的思想品德教育，使学生的德智体美全面发展。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6、抓好教师队伍建设，使每个教师都热心于教育事业。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7、做好安全防范，保证学生的人身安全。</w:t>
      </w:r>
    </w:p>
    <w:p>
      <w:pPr>
        <w:pStyle w:val="2"/>
        <w:ind w:left="0" w:leftChars="0" w:firstLine="320" w:firstLineChars="100"/>
        <w:rPr>
          <w:rStyle w:val="29"/>
          <w:rFonts w:hint="eastAsia" w:ascii="黑体" w:hAnsi="黑体" w:eastAsia="黑体"/>
          <w:b w:val="0"/>
          <w:bCs w:val="0"/>
          <w:lang w:val="en-US" w:eastAsia="zh-CN" w:bidi="ar-SA"/>
        </w:rPr>
      </w:pPr>
      <w:r>
        <w:rPr>
          <w:rStyle w:val="29"/>
          <w:rFonts w:hint="eastAsia" w:ascii="黑体" w:hAnsi="黑体" w:eastAsia="黑体"/>
          <w:b w:val="0"/>
          <w:bCs w:val="0"/>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1、依法治校，依法执教。加强学校党风廉政建设，树立良好的社会形象，办好人民满意的教育。</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 xml:space="preserve">2、继续做好乡村振兴工作。充分发挥义务教育作用，坚持教育振兴。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3、夯实教学过程管理，全力推进信息技术与学科教学深度融合，全面提升教育教学质量。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kern w:val="2"/>
          <w:sz w:val="32"/>
          <w:szCs w:val="32"/>
          <w:highlight w:val="none"/>
          <w:lang w:val="en-US" w:eastAsia="zh-CN" w:bidi="ar-SA"/>
        </w:rPr>
        <w:t>4、认真做好学生资助工作，落实好党的惠民政策。</w:t>
      </w:r>
    </w:p>
    <w:p>
      <w:pPr>
        <w:pStyle w:val="7"/>
        <w:numPr>
          <w:ilvl w:val="0"/>
          <w:numId w:val="0"/>
        </w:numPr>
        <w:ind w:left="420" w:leftChars="0"/>
        <w:rPr>
          <w:rStyle w:val="29"/>
          <w:rFonts w:hint="eastAsia" w:ascii="黑体" w:hAnsi="黑体" w:eastAsia="黑体"/>
          <w:b w:val="0"/>
          <w:bCs w:val="0"/>
          <w:lang w:eastAsia="zh-CN"/>
        </w:rPr>
      </w:pPr>
      <w:r>
        <w:rPr>
          <w:rFonts w:hint="eastAsia" w:ascii="黑体" w:hAnsi="黑体" w:eastAsia="黑体" w:cs="黑体"/>
          <w:b/>
          <w:bCs/>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剑阁县盐店小学校无下属二级单位，无纳入2022年度部门预算编制范围的二级预算单位。</w:t>
      </w:r>
    </w:p>
    <w:p>
      <w:pPr>
        <w:numPr>
          <w:ilvl w:val="0"/>
          <w:numId w:val="0"/>
        </w:numPr>
        <w:rPr>
          <w:rFonts w:hint="eastAsia" w:ascii="仿宋" w:hAnsi="仿宋" w:eastAsia="仿宋" w:cs="仿宋"/>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6"/>
        <w:ind w:right="440" w:firstLine="440" w:firstLineChars="100"/>
        <w:jc w:val="both"/>
        <w:rPr>
          <w:rStyle w:val="28"/>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Pr>
        <w:pStyle w:val="7"/>
        <w:numPr>
          <w:ilvl w:val="0"/>
          <w:numId w:val="0"/>
        </w:numPr>
        <w:rPr>
          <w:rFonts w:hint="eastAsia" w:ascii="黑体" w:hAnsi="黑体" w:eastAsia="黑体" w:cs="黑体"/>
          <w:b/>
          <w:bCs/>
          <w:kern w:val="2"/>
          <w:sz w:val="32"/>
          <w:szCs w:val="32"/>
          <w:lang w:val="en-US" w:eastAsia="zh-CN" w:bidi="ar-SA"/>
        </w:rPr>
      </w:pPr>
      <w:bookmarkStart w:id="18" w:name="_Toc15377205"/>
      <w:bookmarkStart w:id="19" w:name="_Toc15396603"/>
    </w:p>
    <w:p>
      <w:pPr>
        <w:pStyle w:val="7"/>
        <w:numPr>
          <w:ilvl w:val="0"/>
          <w:numId w:val="0"/>
        </w:numPr>
        <w:ind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一、收入支出决算总体情况说明</w:t>
      </w:r>
      <w:bookmarkEnd w:id="18"/>
      <w:bookmarkEnd w:id="19"/>
    </w:p>
    <w:p>
      <w:pPr>
        <w:spacing w:line="600" w:lineRule="exact"/>
        <w:ind w:firstLine="640" w:firstLineChars="200"/>
      </w:pPr>
      <w:r>
        <w:rPr>
          <w:rFonts w:hint="eastAsia" w:ascii="仿宋" w:hAnsi="仿宋" w:eastAsia="仿宋"/>
          <w:sz w:val="32"/>
          <w:szCs w:val="32"/>
        </w:rPr>
        <w:t>2022年度收、支总计</w:t>
      </w:r>
      <w:r>
        <w:rPr>
          <w:rFonts w:hint="eastAsia" w:ascii="仿宋" w:hAnsi="仿宋" w:eastAsia="仿宋"/>
          <w:sz w:val="32"/>
          <w:szCs w:val="32"/>
          <w:lang w:val="en-US" w:eastAsia="zh-CN"/>
        </w:rPr>
        <w:t>744.02</w:t>
      </w:r>
      <w:r>
        <w:rPr>
          <w:rFonts w:hint="eastAsia" w:ascii="仿宋" w:hAnsi="仿宋" w:eastAsia="仿宋"/>
          <w:sz w:val="32"/>
          <w:szCs w:val="32"/>
        </w:rPr>
        <w:t>万元。与2021年相比，收、支总计各减少</w:t>
      </w:r>
      <w:r>
        <w:rPr>
          <w:rFonts w:hint="eastAsia" w:ascii="仿宋" w:hAnsi="仿宋" w:eastAsia="仿宋"/>
          <w:sz w:val="32"/>
          <w:szCs w:val="32"/>
          <w:lang w:val="en-US" w:eastAsia="zh-CN"/>
        </w:rPr>
        <w:t>46.24</w:t>
      </w:r>
      <w:r>
        <w:rPr>
          <w:rFonts w:hint="eastAsia" w:ascii="仿宋" w:hAnsi="仿宋" w:eastAsia="仿宋"/>
          <w:sz w:val="32"/>
          <w:szCs w:val="32"/>
        </w:rPr>
        <w:t>万元，下降</w:t>
      </w:r>
      <w:r>
        <w:rPr>
          <w:rFonts w:hint="eastAsia" w:ascii="仿宋" w:hAnsi="仿宋" w:eastAsia="仿宋"/>
          <w:sz w:val="32"/>
          <w:szCs w:val="32"/>
          <w:lang w:val="en-US" w:eastAsia="zh-CN"/>
        </w:rPr>
        <w:t>5.85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学生、教职工人数减少，财政预算项目资金减少</w:t>
      </w:r>
      <w:r>
        <w:rPr>
          <w:rFonts w:hint="eastAsia" w:ascii="仿宋" w:hAnsi="仿宋" w:eastAsia="仿宋"/>
          <w:sz w:val="32"/>
          <w:szCs w:val="32"/>
        </w:rPr>
        <w:t>。</w:t>
      </w:r>
    </w:p>
    <w:p>
      <w:pPr>
        <w:pStyle w:val="2"/>
      </w:pPr>
    </w:p>
    <w:p>
      <w:pPr>
        <w:pStyle w:val="4"/>
        <w:rPr>
          <w:rFonts w:hint="eastAsia" w:eastAsia="仿宋_GB2312"/>
          <w:lang w:eastAsia="zh-CN"/>
        </w:rPr>
      </w:pPr>
      <w:r>
        <w:rPr>
          <w:rFonts w:hint="eastAsia" w:eastAsia="仿宋_GB2312"/>
          <w:lang w:eastAsia="zh-CN"/>
        </w:rPr>
        <w:drawing>
          <wp:inline distT="0" distB="0" distL="114300" distR="114300">
            <wp:extent cx="5000625" cy="3238500"/>
            <wp:effectExtent l="0" t="0" r="9525" b="0"/>
            <wp:docPr id="11" name="图片 11" descr="收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收支"/>
                    <pic:cNvPicPr>
                      <a:picLocks noChangeAspect="1"/>
                    </pic:cNvPicPr>
                  </pic:nvPicPr>
                  <pic:blipFill>
                    <a:blip r:embed="rId6"/>
                    <a:stretch>
                      <a:fillRect/>
                    </a:stretch>
                  </pic:blipFill>
                  <pic:spPr>
                    <a:xfrm>
                      <a:off x="0" y="0"/>
                      <a:ext cx="5000625" cy="3238500"/>
                    </a:xfrm>
                    <a:prstGeom prst="rect">
                      <a:avLst/>
                    </a:prstGeom>
                  </pic:spPr>
                </pic:pic>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7"/>
        <w:numPr>
          <w:ilvl w:val="0"/>
          <w:numId w:val="0"/>
        </w:numPr>
        <w:ind w:firstLine="643" w:firstLineChars="200"/>
        <w:rPr>
          <w:rFonts w:hint="eastAsia" w:ascii="黑体" w:hAnsi="黑体" w:eastAsia="黑体" w:cs="黑体"/>
          <w:b/>
          <w:bCs/>
          <w:kern w:val="2"/>
          <w:sz w:val="32"/>
          <w:szCs w:val="32"/>
          <w:lang w:val="en-US" w:eastAsia="zh-CN" w:bidi="ar-SA"/>
        </w:rPr>
      </w:pPr>
      <w:bookmarkStart w:id="20" w:name="_Toc15377206"/>
      <w:bookmarkStart w:id="21" w:name="_Toc15396604"/>
      <w:r>
        <w:rPr>
          <w:rFonts w:hint="eastAsia" w:ascii="黑体" w:hAnsi="黑体" w:eastAsia="黑体" w:cs="黑体"/>
          <w:b/>
          <w:bCs/>
          <w:kern w:val="2"/>
          <w:sz w:val="32"/>
          <w:szCs w:val="32"/>
          <w:lang w:val="en-US" w:eastAsia="zh-CN" w:bidi="ar-SA"/>
        </w:rPr>
        <w:t>二、收入决算情况说明</w:t>
      </w:r>
      <w:bookmarkEnd w:id="20"/>
      <w:bookmarkEnd w:id="21"/>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744.02</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743.02</w:t>
      </w:r>
      <w:r>
        <w:rPr>
          <w:rFonts w:hint="eastAsia" w:ascii="仿宋" w:hAnsi="仿宋" w:eastAsia="仿宋"/>
          <w:sz w:val="32"/>
          <w:szCs w:val="32"/>
        </w:rPr>
        <w:t>万元，占</w:t>
      </w:r>
      <w:r>
        <w:rPr>
          <w:rFonts w:hint="eastAsia" w:ascii="仿宋" w:hAnsi="仿宋" w:eastAsia="仿宋"/>
          <w:sz w:val="32"/>
          <w:szCs w:val="32"/>
          <w:lang w:val="en-US" w:eastAsia="zh-CN"/>
        </w:rPr>
        <w:t>99.87</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0.13</w:t>
      </w:r>
      <w:r>
        <w:rPr>
          <w:rFonts w:ascii="仿宋" w:hAnsi="仿宋" w:eastAsia="仿宋"/>
          <w:sz w:val="32"/>
          <w:szCs w:val="32"/>
        </w:rPr>
        <w:t>%</w:t>
      </w:r>
      <w:r>
        <w:rPr>
          <w:rFonts w:hint="eastAsia" w:ascii="仿宋" w:hAnsi="仿宋" w:eastAsia="仿宋"/>
          <w:sz w:val="32"/>
          <w:szCs w:val="32"/>
          <w:lang w:eastAsia="zh-CN"/>
        </w:rPr>
        <w:t>。</w:t>
      </w:r>
    </w:p>
    <w:p>
      <w:pPr>
        <w:spacing w:line="600" w:lineRule="exact"/>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4"/>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10125" cy="3082925"/>
            <wp:effectExtent l="0" t="0" r="9525" b="3175"/>
            <wp:docPr id="12" name="图片 12" descr="收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收入"/>
                    <pic:cNvPicPr>
                      <a:picLocks noChangeAspect="1"/>
                    </pic:cNvPicPr>
                  </pic:nvPicPr>
                  <pic:blipFill>
                    <a:blip r:embed="rId7"/>
                    <a:stretch>
                      <a:fillRect/>
                    </a:stretch>
                  </pic:blipFill>
                  <pic:spPr>
                    <a:xfrm>
                      <a:off x="0" y="0"/>
                      <a:ext cx="4810125" cy="3082925"/>
                    </a:xfrm>
                    <a:prstGeom prst="rect">
                      <a:avLst/>
                    </a:prstGeom>
                  </pic:spPr>
                </pic:pic>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
      </w:pPr>
    </w:p>
    <w:p>
      <w:pPr>
        <w:pStyle w:val="27"/>
        <w:numPr>
          <w:ilvl w:val="0"/>
          <w:numId w:val="0"/>
        </w:numPr>
        <w:spacing w:line="600" w:lineRule="exact"/>
        <w:ind w:left="640" w:leftChars="0"/>
        <w:outlineLvl w:val="1"/>
        <w:rPr>
          <w:rFonts w:hint="eastAsia" w:ascii="黑体" w:hAnsi="黑体" w:eastAsia="黑体" w:cs="黑体"/>
          <w:b/>
          <w:bCs/>
          <w:kern w:val="2"/>
          <w:sz w:val="32"/>
          <w:szCs w:val="32"/>
          <w:lang w:val="en-US" w:eastAsia="zh-CN" w:bidi="ar-SA"/>
        </w:rPr>
      </w:pPr>
      <w:bookmarkStart w:id="22" w:name="_Toc15377207"/>
      <w:bookmarkStart w:id="23" w:name="_Toc15396605"/>
      <w:r>
        <w:rPr>
          <w:rFonts w:hint="eastAsia" w:ascii="黑体" w:hAnsi="黑体" w:eastAsia="黑体" w:cs="黑体"/>
          <w:b/>
          <w:bCs/>
          <w:kern w:val="2"/>
          <w:sz w:val="32"/>
          <w:szCs w:val="32"/>
          <w:lang w:val="en-US" w:eastAsia="zh-CN" w:bidi="ar-SA"/>
        </w:rPr>
        <w:t>三、支出决算情况说明</w:t>
      </w:r>
      <w:bookmarkEnd w:id="22"/>
      <w:bookmarkEnd w:id="23"/>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744.02</w:t>
      </w:r>
      <w:r>
        <w:rPr>
          <w:rFonts w:hint="eastAsia" w:ascii="仿宋" w:hAnsi="仿宋" w:eastAsia="仿宋"/>
          <w:sz w:val="32"/>
          <w:szCs w:val="32"/>
        </w:rPr>
        <w:t>万元，其中：基本支出</w:t>
      </w:r>
      <w:r>
        <w:rPr>
          <w:rFonts w:hint="eastAsia" w:ascii="仿宋" w:hAnsi="仿宋" w:eastAsia="仿宋"/>
          <w:sz w:val="32"/>
          <w:szCs w:val="32"/>
          <w:lang w:val="en-US" w:eastAsia="zh-CN"/>
        </w:rPr>
        <w:t>742.72</w:t>
      </w:r>
      <w:r>
        <w:rPr>
          <w:rFonts w:hint="eastAsia" w:ascii="仿宋" w:hAnsi="仿宋" w:eastAsia="仿宋"/>
          <w:sz w:val="32"/>
          <w:szCs w:val="32"/>
        </w:rPr>
        <w:t>万元，占</w:t>
      </w:r>
      <w:r>
        <w:rPr>
          <w:rFonts w:hint="eastAsia" w:ascii="仿宋" w:hAnsi="仿宋" w:eastAsia="仿宋"/>
          <w:sz w:val="32"/>
          <w:szCs w:val="32"/>
          <w:lang w:val="en-US" w:eastAsia="zh-CN"/>
        </w:rPr>
        <w:t>99.83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1.3</w:t>
      </w:r>
      <w:r>
        <w:rPr>
          <w:rFonts w:hint="eastAsia" w:ascii="仿宋" w:hAnsi="仿宋" w:eastAsia="仿宋"/>
          <w:sz w:val="32"/>
          <w:szCs w:val="32"/>
        </w:rPr>
        <w:t>万元，占</w:t>
      </w:r>
      <w:r>
        <w:rPr>
          <w:rFonts w:hint="eastAsia" w:ascii="仿宋" w:hAnsi="仿宋" w:eastAsia="仿宋"/>
          <w:sz w:val="32"/>
          <w:szCs w:val="32"/>
          <w:lang w:val="en-US" w:eastAsia="zh-CN"/>
        </w:rPr>
        <w:t>0.17</w:t>
      </w:r>
      <w:r>
        <w:rPr>
          <w:rFonts w:ascii="仿宋" w:hAnsi="仿宋" w:eastAsia="仿宋"/>
          <w:sz w:val="32"/>
          <w:szCs w:val="32"/>
        </w:rPr>
        <w:t>%</w:t>
      </w:r>
      <w:r>
        <w:rPr>
          <w:rFonts w:hint="eastAsia" w:ascii="仿宋" w:hAnsi="仿宋" w:eastAsia="仿宋"/>
          <w:sz w:val="32"/>
          <w:szCs w:val="32"/>
          <w:lang w:eastAsia="zh-CN"/>
        </w:rPr>
        <w:t>。</w:t>
      </w:r>
    </w:p>
    <w:p>
      <w:pPr>
        <w:spacing w:line="600" w:lineRule="exact"/>
        <w:ind w:firstLine="643" w:firstLineChars="200"/>
        <w:outlineLvl w:val="1"/>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pStyle w:val="4"/>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inline distT="0" distB="0" distL="114300" distR="114300">
            <wp:extent cx="5269865" cy="3096260"/>
            <wp:effectExtent l="0" t="0" r="6985" b="8890"/>
            <wp:docPr id="23" name="图片 23" descr="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3"/>
                    <pic:cNvPicPr>
                      <a:picLocks noChangeAspect="1"/>
                    </pic:cNvPicPr>
                  </pic:nvPicPr>
                  <pic:blipFill>
                    <a:blip r:embed="rId8"/>
                    <a:stretch>
                      <a:fillRect/>
                    </a:stretch>
                  </pic:blipFill>
                  <pic:spPr>
                    <a:xfrm>
                      <a:off x="0" y="0"/>
                      <a:ext cx="5269865" cy="3096260"/>
                    </a:xfrm>
                    <a:prstGeom prst="rect">
                      <a:avLst/>
                    </a:prstGeom>
                  </pic:spPr>
                </pic:pic>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pPr>
        <w:pStyle w:val="2"/>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4" w:name="_Toc15377208"/>
      <w:bookmarkStart w:id="25" w:name="_Toc15396606"/>
      <w:r>
        <w:rPr>
          <w:rFonts w:hint="eastAsia" w:ascii="黑体" w:hAnsi="黑体" w:eastAsia="黑体" w:cs="黑体"/>
          <w:b/>
          <w:bCs/>
          <w:kern w:val="2"/>
          <w:sz w:val="32"/>
          <w:szCs w:val="32"/>
          <w:lang w:val="en-US" w:eastAsia="zh-CN" w:bidi="ar-SA"/>
        </w:rPr>
        <w:t>四、财政拨款收入支出决算总体情况说明</w:t>
      </w:r>
      <w:bookmarkEnd w:id="24"/>
      <w:bookmarkEnd w:id="25"/>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744.02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46.24</w:t>
      </w:r>
      <w:r>
        <w:rPr>
          <w:rFonts w:hint="eastAsia" w:ascii="仿宋" w:hAnsi="仿宋" w:eastAsia="仿宋"/>
          <w:sz w:val="32"/>
          <w:szCs w:val="32"/>
        </w:rPr>
        <w:t>万元，下降</w:t>
      </w:r>
      <w:r>
        <w:rPr>
          <w:rFonts w:hint="eastAsia" w:ascii="仿宋" w:hAnsi="仿宋" w:eastAsia="仿宋"/>
          <w:sz w:val="32"/>
          <w:szCs w:val="32"/>
          <w:lang w:val="en-US" w:eastAsia="zh-CN"/>
        </w:rPr>
        <w:t>5.85</w:t>
      </w:r>
      <w:r>
        <w:rPr>
          <w:rFonts w:ascii="仿宋" w:hAnsi="仿宋" w:eastAsia="仿宋"/>
          <w:sz w:val="32"/>
          <w:szCs w:val="32"/>
        </w:rPr>
        <w:t>%</w:t>
      </w:r>
      <w:r>
        <w:rPr>
          <w:rFonts w:hint="eastAsia" w:ascii="仿宋" w:hAnsi="仿宋" w:eastAsia="仿宋"/>
          <w:sz w:val="32"/>
          <w:szCs w:val="32"/>
        </w:rPr>
        <w:t>。主要变动</w:t>
      </w:r>
      <w:r>
        <w:rPr>
          <w:rFonts w:hint="eastAsia" w:ascii="仿宋" w:hAnsi="仿宋" w:eastAsia="仿宋"/>
          <w:sz w:val="32"/>
          <w:szCs w:val="32"/>
          <w:lang w:eastAsia="zh-CN"/>
        </w:rPr>
        <w:t>原因是</w:t>
      </w:r>
      <w:bookmarkStart w:id="67" w:name="_GoBack"/>
      <w:bookmarkEnd w:id="67"/>
      <w:r>
        <w:rPr>
          <w:rFonts w:hint="eastAsia" w:ascii="仿宋" w:hAnsi="仿宋" w:eastAsia="仿宋"/>
          <w:sz w:val="32"/>
          <w:szCs w:val="32"/>
          <w:lang w:val="en-US" w:eastAsia="zh-CN"/>
        </w:rPr>
        <w:t>学生、教职工人数减少，财政预算项目资金减少</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4"/>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162550" cy="3305175"/>
            <wp:effectExtent l="0" t="0" r="0" b="9525"/>
            <wp:docPr id="17" name="图片 17" descr="收支总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收支总计"/>
                    <pic:cNvPicPr>
                      <a:picLocks noChangeAspect="1"/>
                    </pic:cNvPicPr>
                  </pic:nvPicPr>
                  <pic:blipFill>
                    <a:blip r:embed="rId9"/>
                    <a:stretch>
                      <a:fillRect/>
                    </a:stretch>
                  </pic:blipFill>
                  <pic:spPr>
                    <a:xfrm>
                      <a:off x="0" y="0"/>
                      <a:ext cx="5162550" cy="3305175"/>
                    </a:xfrm>
                    <a:prstGeom prst="rect">
                      <a:avLst/>
                    </a:prstGeom>
                  </pic:spPr>
                </pic:pic>
              </a:graphicData>
            </a:graphic>
          </wp:inline>
        </w:drawing>
      </w:r>
    </w:p>
    <w:p>
      <w:pPr>
        <w:spacing w:line="600" w:lineRule="exact"/>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2"/>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6" w:name="_Toc15396607"/>
      <w:bookmarkStart w:id="27" w:name="_Toc15377209"/>
      <w:r>
        <w:rPr>
          <w:rFonts w:hint="eastAsia" w:ascii="黑体" w:hAnsi="黑体" w:eastAsia="黑体" w:cs="黑体"/>
          <w:b/>
          <w:bCs/>
          <w:kern w:val="2"/>
          <w:sz w:val="32"/>
          <w:szCs w:val="32"/>
          <w:lang w:val="en-US" w:eastAsia="zh-CN" w:bidi="ar-SA"/>
        </w:rPr>
        <w:t>五、一般公共预算财政拨款支出决算情况说明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743.02</w:t>
      </w:r>
      <w:r>
        <w:rPr>
          <w:rFonts w:hint="eastAsia" w:ascii="仿宋" w:hAnsi="仿宋" w:eastAsia="仿宋"/>
          <w:sz w:val="32"/>
          <w:szCs w:val="32"/>
        </w:rPr>
        <w:t>万元，占本年支出合计的</w:t>
      </w:r>
      <w:r>
        <w:rPr>
          <w:rFonts w:hint="eastAsia" w:ascii="仿宋" w:hAnsi="仿宋" w:eastAsia="仿宋"/>
          <w:sz w:val="32"/>
          <w:szCs w:val="32"/>
          <w:lang w:val="en-US" w:eastAsia="zh-CN"/>
        </w:rPr>
        <w:t>99.87</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43.04</w:t>
      </w:r>
      <w:r>
        <w:rPr>
          <w:rFonts w:hint="eastAsia" w:ascii="仿宋" w:hAnsi="仿宋" w:eastAsia="仿宋"/>
          <w:sz w:val="32"/>
          <w:szCs w:val="32"/>
        </w:rPr>
        <w:t>万元，下降</w:t>
      </w:r>
      <w:r>
        <w:rPr>
          <w:rFonts w:hint="eastAsia" w:ascii="仿宋" w:hAnsi="仿宋" w:eastAsia="仿宋"/>
          <w:sz w:val="32"/>
          <w:szCs w:val="32"/>
          <w:lang w:val="en-US" w:eastAsia="zh-CN"/>
        </w:rPr>
        <w:t>5.48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学生、教职工人数减少。</w:t>
      </w:r>
    </w:p>
    <w:p>
      <w:pPr>
        <w:pStyle w:val="4"/>
        <w:rPr>
          <w:rFonts w:hint="default" w:ascii="仿宋" w:hAnsi="仿宋" w:eastAsia="仿宋"/>
          <w:sz w:val="32"/>
          <w:szCs w:val="32"/>
          <w:lang w:val="en-US" w:eastAsia="zh-CN"/>
        </w:rPr>
      </w:pPr>
      <w:r>
        <w:rPr>
          <w:rFonts w:hint="default" w:ascii="仿宋" w:hAnsi="仿宋" w:eastAsia="仿宋"/>
          <w:sz w:val="32"/>
          <w:szCs w:val="32"/>
          <w:lang w:val="en-US" w:eastAsia="zh-CN"/>
        </w:rPr>
        <w:drawing>
          <wp:inline distT="0" distB="0" distL="114300" distR="114300">
            <wp:extent cx="4800600" cy="3228975"/>
            <wp:effectExtent l="0" t="0" r="0" b="9525"/>
            <wp:docPr id="21" name="图片 21" descr="公共预算支出变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公共预算支出变化"/>
                    <pic:cNvPicPr>
                      <a:picLocks noChangeAspect="1"/>
                    </pic:cNvPicPr>
                  </pic:nvPicPr>
                  <pic:blipFill>
                    <a:blip r:embed="rId10"/>
                    <a:stretch>
                      <a:fillRect/>
                    </a:stretch>
                  </pic:blipFill>
                  <pic:spPr>
                    <a:xfrm>
                      <a:off x="0" y="0"/>
                      <a:ext cx="4800600" cy="3228975"/>
                    </a:xfrm>
                    <a:prstGeom prst="rect">
                      <a:avLst/>
                    </a:prstGeom>
                  </pic:spPr>
                </pic:pic>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743.02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627.43</w:t>
      </w:r>
      <w:r>
        <w:rPr>
          <w:rFonts w:hint="eastAsia" w:ascii="仿宋" w:hAnsi="仿宋" w:eastAsia="仿宋"/>
          <w:sz w:val="32"/>
          <w:szCs w:val="32"/>
        </w:rPr>
        <w:t>万元，占</w:t>
      </w:r>
      <w:r>
        <w:rPr>
          <w:rFonts w:hint="eastAsia" w:ascii="仿宋" w:hAnsi="仿宋" w:eastAsia="仿宋"/>
          <w:sz w:val="32"/>
          <w:szCs w:val="32"/>
          <w:lang w:val="en-US" w:eastAsia="zh-CN"/>
        </w:rPr>
        <w:t>84.44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51.37</w:t>
      </w:r>
      <w:r>
        <w:rPr>
          <w:rFonts w:hint="eastAsia" w:ascii="仿宋" w:hAnsi="仿宋" w:eastAsia="仿宋"/>
          <w:sz w:val="32"/>
          <w:szCs w:val="32"/>
        </w:rPr>
        <w:t>万元，占</w:t>
      </w:r>
      <w:r>
        <w:rPr>
          <w:rFonts w:hint="eastAsia" w:ascii="仿宋" w:hAnsi="仿宋" w:eastAsia="仿宋"/>
          <w:sz w:val="32"/>
          <w:szCs w:val="32"/>
          <w:lang w:val="en-US" w:eastAsia="zh-CN"/>
        </w:rPr>
        <w:t>6.91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25.69</w:t>
      </w:r>
      <w:r>
        <w:rPr>
          <w:rFonts w:hint="eastAsia" w:ascii="仿宋" w:hAnsi="仿宋" w:eastAsia="仿宋"/>
          <w:sz w:val="32"/>
          <w:szCs w:val="32"/>
        </w:rPr>
        <w:t>万元，占</w:t>
      </w:r>
      <w:r>
        <w:rPr>
          <w:rFonts w:hint="eastAsia" w:ascii="仿宋" w:hAnsi="仿宋" w:eastAsia="仿宋"/>
          <w:sz w:val="32"/>
          <w:szCs w:val="32"/>
          <w:lang w:val="en-US" w:eastAsia="zh-CN"/>
        </w:rPr>
        <w:t>3.46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38.53</w:t>
      </w:r>
      <w:r>
        <w:rPr>
          <w:rFonts w:hint="eastAsia" w:ascii="仿宋" w:hAnsi="仿宋" w:eastAsia="仿宋"/>
          <w:sz w:val="32"/>
          <w:szCs w:val="32"/>
        </w:rPr>
        <w:t>万元，占</w:t>
      </w:r>
      <w:r>
        <w:rPr>
          <w:rFonts w:hint="eastAsia" w:ascii="仿宋" w:hAnsi="仿宋" w:eastAsia="仿宋"/>
          <w:sz w:val="32"/>
          <w:szCs w:val="32"/>
          <w:lang w:val="en-US" w:eastAsia="zh-CN"/>
        </w:rPr>
        <w:t>5.19</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pStyle w:val="4"/>
        <w:ind w:left="0" w:leftChars="0" w:firstLine="0" w:firstLineChars="0"/>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981575" cy="3352800"/>
            <wp:effectExtent l="0" t="0" r="9525" b="0"/>
            <wp:docPr id="22" name="图片 22" descr="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6"/>
                    <pic:cNvPicPr>
                      <a:picLocks noChangeAspect="1"/>
                    </pic:cNvPicPr>
                  </pic:nvPicPr>
                  <pic:blipFill>
                    <a:blip r:embed="rId11"/>
                    <a:stretch>
                      <a:fillRect/>
                    </a:stretch>
                  </pic:blipFill>
                  <pic:spPr>
                    <a:xfrm>
                      <a:off x="0" y="0"/>
                      <a:ext cx="4981575" cy="3352800"/>
                    </a:xfrm>
                    <a:prstGeom prst="rect">
                      <a:avLst/>
                    </a:prstGeom>
                  </pic:spPr>
                </pic:pic>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8460"/>
      <w:bookmarkStart w:id="32" w:name="_Toc15377444"/>
      <w:bookmarkStart w:id="33" w:name="_Toc15377213"/>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743.02万元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学前教育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27.52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小学教育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335.53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初中教育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264.38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4、</w:t>
      </w:r>
      <w:r>
        <w:rPr>
          <w:rStyle w:val="18"/>
          <w:rFonts w:hint="eastAsia" w:ascii="仿宋" w:hAnsi="仿宋" w:eastAsia="仿宋"/>
          <w:bCs/>
          <w:sz w:val="32"/>
          <w:szCs w:val="32"/>
        </w:rPr>
        <w:t>社会保障和就业（类）行政事业单位养老支出（款）机关事业单位基本养老保险缴费支出（项）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51.37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25.69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6.</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38.53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4" w:name="_Toc15396608"/>
      <w:bookmarkStart w:id="35" w:name="_Toc15377214"/>
      <w:r>
        <w:rPr>
          <w:rFonts w:hint="eastAsia" w:ascii="黑体" w:hAnsi="黑体" w:eastAsia="黑体" w:cs="黑体"/>
          <w:b/>
          <w:bCs/>
          <w:kern w:val="2"/>
          <w:sz w:val="32"/>
          <w:szCs w:val="32"/>
          <w:lang w:val="en-US" w:eastAsia="zh-CN" w:bidi="ar-SA"/>
        </w:rPr>
        <w:t>六、一般公共预算财政拨款基本支出决算情况说明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742.72</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680.37</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、职工基本医疗缴费、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其他工资福利支出、生活补助等。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62.35</w:t>
      </w:r>
      <w:r>
        <w:rPr>
          <w:rFonts w:hint="eastAsia" w:ascii="仿宋" w:hAnsi="仿宋" w:eastAsia="仿宋"/>
          <w:sz w:val="32"/>
          <w:szCs w:val="32"/>
        </w:rPr>
        <w:t>万元，主要包括：办公费、印刷费、水费、电费、邮电费、物业管理费、差旅费、维修（护）费、培训费、公务接待费、劳务费、福利费、其他商品和服务支</w:t>
      </w:r>
      <w:r>
        <w:rPr>
          <w:rFonts w:hint="eastAsia" w:ascii="仿宋" w:hAnsi="仿宋" w:eastAsia="仿宋"/>
          <w:sz w:val="32"/>
          <w:szCs w:val="32"/>
          <w:lang w:eastAsia="zh-CN"/>
        </w:rPr>
        <w:t>出</w:t>
      </w:r>
      <w:r>
        <w:rPr>
          <w:rFonts w:hint="eastAsia" w:ascii="仿宋" w:hAnsi="仿宋" w:eastAsia="仿宋"/>
          <w:sz w:val="32"/>
          <w:szCs w:val="32"/>
        </w:rPr>
        <w:t>等。</w:t>
      </w:r>
    </w:p>
    <w:p>
      <w:pPr>
        <w:spacing w:line="600" w:lineRule="exact"/>
        <w:ind w:firstLine="645"/>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pStyle w:val="2"/>
      </w:pP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hAnsi="黑体" w:eastAsia="黑体" w:cs="黑体"/>
          <w:b/>
          <w:bCs/>
          <w:kern w:val="2"/>
          <w:sz w:val="32"/>
          <w:szCs w:val="32"/>
          <w:lang w:val="en-US" w:eastAsia="zh-CN" w:bidi="ar-SA"/>
        </w:rPr>
        <w:t>七、财政拨款“三公”经费支出决算情况说明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21.05</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ind w:left="0" w:leftChars="0" w:firstLine="0" w:firstLineChars="0"/>
        <w:jc w:val="left"/>
        <w:rPr>
          <w:rFonts w:hint="eastAsia" w:eastAsia="宋体"/>
          <w:lang w:eastAsia="zh-CN"/>
        </w:rPr>
      </w:pPr>
      <w:r>
        <w:rPr>
          <w:rFonts w:hint="eastAsia" w:eastAsia="宋体"/>
          <w:lang w:eastAsia="zh-CN"/>
        </w:rPr>
        <w:drawing>
          <wp:inline distT="0" distB="0" distL="114300" distR="114300">
            <wp:extent cx="5273675" cy="3314065"/>
            <wp:effectExtent l="0" t="0" r="3175" b="635"/>
            <wp:docPr id="25" name="图片 25"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7"/>
                    <pic:cNvPicPr>
                      <a:picLocks noChangeAspect="1"/>
                    </pic:cNvPicPr>
                  </pic:nvPicPr>
                  <pic:blipFill>
                    <a:blip r:embed="rId12"/>
                    <a:stretch>
                      <a:fillRect/>
                    </a:stretch>
                  </pic:blipFill>
                  <pic:spPr>
                    <a:xfrm>
                      <a:off x="0" y="0"/>
                      <a:ext cx="5273675" cy="3314065"/>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21.05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单位严格管理，减少公务接待支出</w:t>
      </w:r>
      <w:r>
        <w:rPr>
          <w:rFonts w:hint="eastAsia" w:ascii="仿宋_GB2312" w:eastAsia="仿宋_GB2312"/>
          <w:sz w:val="32"/>
          <w:szCs w:val="32"/>
        </w:rPr>
        <w:t>。其中：</w:t>
      </w:r>
    </w:p>
    <w:p>
      <w:pPr>
        <w:spacing w:line="600" w:lineRule="exact"/>
        <w:ind w:firstLine="640"/>
        <w:rPr>
          <w:rFonts w:hint="default" w:ascii="仿宋_GB2312" w:eastAsia="仿宋_GB2312"/>
          <w:sz w:val="32"/>
          <w:szCs w:val="32"/>
          <w:lang w:val="en-US"/>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sz w:val="32"/>
          <w:szCs w:val="32"/>
          <w:lang w:val="en-US" w:eastAsia="zh-CN"/>
        </w:rPr>
        <w:t>教育教学</w:t>
      </w:r>
      <w:r>
        <w:rPr>
          <w:rFonts w:hint="eastAsia" w:ascii="仿宋_GB2312" w:eastAsia="仿宋_GB2312"/>
          <w:sz w:val="32"/>
          <w:szCs w:val="32"/>
        </w:rPr>
        <w:t>开展业务活动开支的交通费、住宿费、用餐费等。国内公务接待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105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校际间业务交流12批次，105人次餐饮费共计金额3800.00元。</w:t>
      </w:r>
    </w:p>
    <w:p>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0" w:name="_Toc15396610"/>
      <w:bookmarkStart w:id="41" w:name="_Toc15377218"/>
      <w:r>
        <w:rPr>
          <w:rFonts w:hint="eastAsia" w:ascii="黑体" w:hAnsi="黑体" w:eastAsia="黑体" w:cs="黑体"/>
          <w:b/>
          <w:bCs/>
          <w:kern w:val="2"/>
          <w:sz w:val="32"/>
          <w:szCs w:val="32"/>
          <w:lang w:val="en-US" w:eastAsia="zh-CN" w:bidi="ar-SA"/>
        </w:rPr>
        <w:t>八、政府性基金预算支出决算情况说明</w:t>
      </w:r>
      <w:bookmarkEnd w:id="40"/>
      <w:bookmarkEnd w:id="41"/>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2" w:name="_Toc15396611"/>
      <w:bookmarkStart w:id="43" w:name="_Toc15377219"/>
      <w:r>
        <w:rPr>
          <w:rFonts w:hint="eastAsia" w:ascii="黑体" w:hAnsi="黑体" w:eastAsia="黑体" w:cs="黑体"/>
          <w:b/>
          <w:bCs/>
          <w:kern w:val="2"/>
          <w:sz w:val="32"/>
          <w:szCs w:val="32"/>
          <w:lang w:val="en-US" w:eastAsia="zh-CN" w:bidi="ar-SA"/>
        </w:rPr>
        <w:t>九、国有资本经营预算支出决算情况说明</w:t>
      </w:r>
      <w:bookmarkEnd w:id="42"/>
      <w:bookmarkEnd w:id="43"/>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4" w:name="_Toc15396612"/>
      <w:bookmarkStart w:id="45" w:name="_Toc15377221"/>
      <w:r>
        <w:rPr>
          <w:rFonts w:hint="eastAsia" w:ascii="黑体" w:hAnsi="黑体" w:eastAsia="黑体" w:cs="黑体"/>
          <w:b/>
          <w:bCs/>
          <w:kern w:val="2"/>
          <w:sz w:val="32"/>
          <w:szCs w:val="32"/>
          <w:lang w:val="en-US" w:eastAsia="zh-CN" w:bidi="ar-SA"/>
        </w:rPr>
        <w:t>十、其他重要事项的情况说明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剑阁县盐店小学校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剑阁县盐店小学校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剑阁县盐店小学校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贫困寄宿生生活补助</w:t>
      </w:r>
      <w:r>
        <w:rPr>
          <w:rFonts w:hint="eastAsia" w:hAnsi="仿宋_GB2312" w:cs="仿宋_GB2312"/>
          <w:sz w:val="32"/>
          <w:szCs w:val="32"/>
        </w:rPr>
        <w:t>项目等</w:t>
      </w:r>
      <w:r>
        <w:rPr>
          <w:rFonts w:hint="eastAsia" w:hAnsi="仿宋_GB2312" w:cs="仿宋_GB2312"/>
          <w:sz w:val="32"/>
          <w:szCs w:val="32"/>
          <w:lang w:val="en-US" w:eastAsia="zh-CN"/>
        </w:rPr>
        <w:t>17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17</w:t>
      </w:r>
      <w:r>
        <w:rPr>
          <w:rFonts w:hint="eastAsia" w:hAnsi="仿宋_GB2312" w:cs="仿宋_GB2312"/>
          <w:sz w:val="32"/>
          <w:szCs w:val="32"/>
        </w:rPr>
        <w:t>个项目开展绩效监控，组织对</w:t>
      </w:r>
      <w:r>
        <w:rPr>
          <w:rFonts w:hint="eastAsia" w:hAnsi="仿宋_GB2312" w:cs="仿宋_GB2312"/>
          <w:sz w:val="32"/>
          <w:szCs w:val="32"/>
          <w:lang w:val="en-US" w:eastAsia="zh-CN"/>
        </w:rPr>
        <w:t>7</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28"/>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2.事业收入：指事业单位开展专业业务活动及辅助活动取得的收入等。</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.其他收入：指单位取得的除上述收入以外的各项收入。  </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.年初结转和结余：指以前年度尚未完成、结转到本年按有关规定继续使用的资金。 </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.教育（类）普通教育（款）学前教育（项）：指本单位学前教育支出。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.教育（类）普通教育（款）小学教育（项）：指本单位小学教育支出。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.社会保障和就业（类）行政事业单位离退休（款）机关事业单位基本养老保险缴费支出（项）：指机关事业单位实施养老保险制度由单位缴纳的基本养老保险费的支出。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.医疗卫生与计划生育（类）行政事业单位医疗（款）事业单位医疗（项）：指财政部门集中安排的行政单位基本医疗保险缴费经费</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.住房保障（类）住房改革支出（款）住房公积金（项）：指本单位按人力资源和社会保障部、财政部规定的基本工资和津贴补贴以及规定比例为职工缴纳的住房公积金。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8"/>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8"/>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420"/>
        <w:gridCol w:w="420"/>
        <w:gridCol w:w="1180"/>
        <w:gridCol w:w="1472"/>
        <w:gridCol w:w="537"/>
        <w:gridCol w:w="835"/>
        <w:gridCol w:w="835"/>
        <w:gridCol w:w="564"/>
        <w:gridCol w:w="624"/>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51082322T000005306788</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贫困寄宿生生活补助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蒲天骄13981233632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剑阁县盐店小学校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17.56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13.48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13.48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4.08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4.08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惠及农村义务教育贫困学生人次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义务教育贫困学生入学率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完成时间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义务教育贫困寄宿生生活补助资金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义务教育贫困学生家庭经济情况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ind w:left="0" w:leftChars="0" w:firstLine="0" w:firstLineChars="0"/>
        <w:rPr>
          <w:rFonts w:hint="eastAsia"/>
          <w:lang w:eastAsia="zh-CN"/>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63"/>
        <w:gridCol w:w="816"/>
        <w:gridCol w:w="954"/>
        <w:gridCol w:w="1004"/>
        <w:gridCol w:w="849"/>
        <w:gridCol w:w="849"/>
        <w:gridCol w:w="536"/>
        <w:gridCol w:w="1023"/>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51082322T000005304589</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学生营养改善计划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蒲天骄13981233632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剑阁县盐店小学校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72.21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72.21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47.34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47.34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24.86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24.86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惠及农村义务教育学生人次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营养餐供餐合格率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完成时间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营养改善计划资金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青少年身体素质改善情况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ind w:left="0" w:leftChars="0" w:firstLine="0" w:firstLineChars="0"/>
        <w:rPr>
          <w:rFonts w:hint="eastAsia"/>
          <w:lang w:eastAsia="zh-CN"/>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872"/>
        <w:gridCol w:w="827"/>
        <w:gridCol w:w="968"/>
        <w:gridCol w:w="1011"/>
        <w:gridCol w:w="773"/>
        <w:gridCol w:w="854"/>
        <w:gridCol w:w="540"/>
        <w:gridCol w:w="1026"/>
        <w:gridCol w:w="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51082322T000005306045</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免作业本费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蒲天骄13981233632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剑阁县盐店小学校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1.73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0.85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0.85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惠及农村义务教育学生人次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防近视作业本合格率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完成时间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免作业本资金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numPr>
          <w:ilvl w:val="0"/>
          <w:numId w:val="0"/>
        </w:numPr>
        <w:spacing w:line="600" w:lineRule="exact"/>
        <w:jc w:val="center"/>
        <w:outlineLvl w:val="0"/>
        <w:rPr>
          <w:rStyle w:val="28"/>
          <w:rFonts w:hint="eastAsia" w:ascii="黑体" w:hAnsi="黑体" w:eastAsia="黑体"/>
          <w:b w:val="0"/>
        </w:rPr>
      </w:pPr>
      <w:r>
        <w:rPr>
          <w:rStyle w:val="28"/>
          <w:rFonts w:hint="eastAsia" w:ascii="黑体" w:hAnsi="黑体" w:eastAsia="黑体"/>
          <w:b w:val="0"/>
          <w:lang w:val="en-US" w:eastAsia="zh-CN"/>
        </w:rPr>
        <w:t xml:space="preserve">五部分 </w:t>
      </w:r>
      <w:r>
        <w:rPr>
          <w:rStyle w:val="28"/>
          <w:rFonts w:hint="eastAsia" w:ascii="黑体" w:hAnsi="黑体" w:eastAsia="黑体"/>
          <w:b w:val="0"/>
        </w:rPr>
        <w:t>附表</w:t>
      </w:r>
      <w:bookmarkEnd w:id="52"/>
      <w:bookmarkEnd w:id="53"/>
      <w:bookmarkStart w:id="54" w:name="_Toc15396619"/>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jc w:val="both"/>
        <w:outlineLvl w:val="0"/>
        <w:rPr>
          <w:rFonts w:ascii="仿宋" w:hAnsi="仿宋" w:eastAsia="仿宋"/>
          <w:sz w:val="32"/>
          <w:szCs w:val="32"/>
        </w:rPr>
      </w:pPr>
      <w:r>
        <w:rPr>
          <w:rFonts w:hint="eastAsia" w:ascii="仿宋" w:hAnsi="仿宋" w:eastAsia="仿宋"/>
          <w:b w:val="0"/>
          <w:sz w:val="32"/>
          <w:szCs w:val="32"/>
        </w:rPr>
        <w:t>一、收</w:t>
      </w:r>
      <w:r>
        <w:rPr>
          <w:rStyle w:val="29"/>
          <w:rFonts w:hint="eastAsia" w:ascii="仿宋" w:hAnsi="仿宋" w:eastAsia="仿宋"/>
          <w:b w:val="0"/>
          <w:bCs w:val="0"/>
          <w:sz w:val="32"/>
          <w:szCs w:val="32"/>
        </w:rPr>
        <w:t>入支出决算总表</w:t>
      </w:r>
      <w:bookmarkEnd w:id="54"/>
    </w:p>
    <w:p>
      <w:pPr>
        <w:pStyle w:val="7"/>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7"/>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7"/>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7"/>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7"/>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7"/>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7"/>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7"/>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7"/>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7"/>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7"/>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7"/>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A80C6D-063F-4F9C-AE02-101063F85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4B550A06-880D-4326-ABC7-6CBD692F09EE}"/>
  </w:font>
  <w:font w:name="仿宋_GB2312">
    <w:altName w:val="仿宋"/>
    <w:panose1 w:val="02010609030101010101"/>
    <w:charset w:val="86"/>
    <w:family w:val="modern"/>
    <w:pitch w:val="default"/>
    <w:sig w:usb0="00000000" w:usb1="00000000" w:usb2="00000000" w:usb3="00000000" w:csb0="00040000" w:csb1="00000000"/>
    <w:embedRegular r:id="rId3" w:fontKey="{77D4C354-1940-4500-92D8-E9A98F85804C}"/>
  </w:font>
  <w:font w:name="仿宋">
    <w:panose1 w:val="02010609060101010101"/>
    <w:charset w:val="86"/>
    <w:family w:val="modern"/>
    <w:pitch w:val="default"/>
    <w:sig w:usb0="800002BF" w:usb1="38CF7CFA" w:usb2="00000016" w:usb3="00000000" w:csb0="00040001" w:csb1="00000000"/>
    <w:embedRegular r:id="rId4" w:fontKey="{8322FE47-6F67-4D41-8E0A-0470343BF678}"/>
  </w:font>
  <w:font w:name="方正小标宋简体">
    <w:panose1 w:val="02000000000000000000"/>
    <w:charset w:val="86"/>
    <w:family w:val="script"/>
    <w:pitch w:val="default"/>
    <w:sig w:usb0="00000001" w:usb1="08000000" w:usb2="00000000" w:usb3="00000000" w:csb0="00040000" w:csb1="00000000"/>
    <w:embedRegular r:id="rId5" w:fontKey="{AE83CAD9-019A-4E0A-8DE9-C1AF33D02E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D1453A9"/>
    <w:multiLevelType w:val="singleLevel"/>
    <w:tmpl w:val="1D1453A9"/>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086EE8"/>
    <w:rsid w:val="053A62B5"/>
    <w:rsid w:val="06774D6D"/>
    <w:rsid w:val="0A2032A3"/>
    <w:rsid w:val="0A341AB2"/>
    <w:rsid w:val="0B8A37D8"/>
    <w:rsid w:val="0E167B54"/>
    <w:rsid w:val="0E9555AF"/>
    <w:rsid w:val="105B274B"/>
    <w:rsid w:val="10C055FF"/>
    <w:rsid w:val="11807FE3"/>
    <w:rsid w:val="118107EC"/>
    <w:rsid w:val="11D817F1"/>
    <w:rsid w:val="11DD6519"/>
    <w:rsid w:val="16A34F08"/>
    <w:rsid w:val="16BB723D"/>
    <w:rsid w:val="16DF048E"/>
    <w:rsid w:val="18015F3F"/>
    <w:rsid w:val="18354B0F"/>
    <w:rsid w:val="18753074"/>
    <w:rsid w:val="1BE8440E"/>
    <w:rsid w:val="1D155CEE"/>
    <w:rsid w:val="20F57F95"/>
    <w:rsid w:val="240371BF"/>
    <w:rsid w:val="25711CC6"/>
    <w:rsid w:val="25C741E6"/>
    <w:rsid w:val="26930518"/>
    <w:rsid w:val="275814FC"/>
    <w:rsid w:val="27842671"/>
    <w:rsid w:val="29FD04D3"/>
    <w:rsid w:val="2ABE7A3E"/>
    <w:rsid w:val="2CA234A8"/>
    <w:rsid w:val="2EFA178C"/>
    <w:rsid w:val="30043BCB"/>
    <w:rsid w:val="30B46D73"/>
    <w:rsid w:val="319F7F4E"/>
    <w:rsid w:val="32333292"/>
    <w:rsid w:val="383D272C"/>
    <w:rsid w:val="39AE70AB"/>
    <w:rsid w:val="3C0C0783"/>
    <w:rsid w:val="3F9F3A96"/>
    <w:rsid w:val="46691DFD"/>
    <w:rsid w:val="48BF60AB"/>
    <w:rsid w:val="493C27E9"/>
    <w:rsid w:val="496F39ED"/>
    <w:rsid w:val="49FF41D3"/>
    <w:rsid w:val="4A995804"/>
    <w:rsid w:val="4BE068DB"/>
    <w:rsid w:val="4BF6002B"/>
    <w:rsid w:val="4C701250"/>
    <w:rsid w:val="4D9B32D9"/>
    <w:rsid w:val="4ECE2238"/>
    <w:rsid w:val="4F80439A"/>
    <w:rsid w:val="51DB4B86"/>
    <w:rsid w:val="54190135"/>
    <w:rsid w:val="54335B48"/>
    <w:rsid w:val="55333C3E"/>
    <w:rsid w:val="56AF4637"/>
    <w:rsid w:val="582B0AE5"/>
    <w:rsid w:val="59071068"/>
    <w:rsid w:val="59AA17DC"/>
    <w:rsid w:val="5AF95A53"/>
    <w:rsid w:val="5ED05841"/>
    <w:rsid w:val="60625CD8"/>
    <w:rsid w:val="62760098"/>
    <w:rsid w:val="64CA39A1"/>
    <w:rsid w:val="64E8140A"/>
    <w:rsid w:val="652A553B"/>
    <w:rsid w:val="69630ADE"/>
    <w:rsid w:val="6C4A05C8"/>
    <w:rsid w:val="6CF959D6"/>
    <w:rsid w:val="6D3B1A89"/>
    <w:rsid w:val="70AE51AD"/>
    <w:rsid w:val="71BF4EC2"/>
    <w:rsid w:val="72734D90"/>
    <w:rsid w:val="7412278C"/>
    <w:rsid w:val="75261D1B"/>
    <w:rsid w:val="77301A29"/>
    <w:rsid w:val="77F51D1A"/>
    <w:rsid w:val="79822907"/>
    <w:rsid w:val="79E7B28D"/>
    <w:rsid w:val="7BED7855"/>
    <w:rsid w:val="7D920553"/>
    <w:rsid w:val="7E0212A8"/>
    <w:rsid w:val="7E3920B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eastAsia="仿宋_GB2312" w:cs="Courier New"/>
      <w:b/>
      <w:sz w:val="32"/>
      <w:szCs w:val="21"/>
    </w:rPr>
  </w:style>
  <w:style w:type="paragraph" w:styleId="11">
    <w:name w:val="Balloon Text"/>
    <w:basedOn w:val="1"/>
    <w:link w:val="31"/>
    <w:semiHidden/>
    <w:unhideWhenUsed/>
    <w:qFormat/>
    <w:uiPriority w:val="99"/>
    <w:rPr>
      <w:sz w:val="18"/>
      <w:szCs w:val="18"/>
    </w:rPr>
  </w:style>
  <w:style w:type="paragraph" w:styleId="1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6"/>
    <w:qFormat/>
    <w:uiPriority w:val="9"/>
    <w:rPr>
      <w:rFonts w:ascii="Times New Roman" w:hAnsi="Times New Roman"/>
      <w:b/>
      <w:bCs/>
      <w:kern w:val="44"/>
      <w:sz w:val="44"/>
      <w:szCs w:val="44"/>
    </w:rPr>
  </w:style>
  <w:style w:type="character" w:customStyle="1" w:styleId="29">
    <w:name w:val="标题 2 字符"/>
    <w:basedOn w:val="17"/>
    <w:link w:val="7"/>
    <w:qFormat/>
    <w:uiPriority w:val="9"/>
    <w:rPr>
      <w:rFonts w:asciiTheme="majorHAnsi" w:hAnsiTheme="majorHAnsi" w:eastAsiaTheme="majorEastAsia" w:cstheme="majorBidi"/>
      <w:b/>
      <w:bCs/>
      <w:kern w:val="2"/>
      <w:sz w:val="32"/>
      <w:szCs w:val="32"/>
    </w:rPr>
  </w:style>
  <w:style w:type="paragraph" w:customStyle="1" w:styleId="30">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1"/>
    <w:semiHidden/>
    <w:qFormat/>
    <w:uiPriority w:val="99"/>
    <w:rPr>
      <w:rFonts w:ascii="Times New Roman" w:hAnsi="Times New Roman"/>
      <w:kern w:val="2"/>
      <w:sz w:val="18"/>
      <w:szCs w:val="18"/>
    </w:rPr>
  </w:style>
  <w:style w:type="character" w:customStyle="1" w:styleId="32">
    <w:name w:val="标题 3 字符"/>
    <w:basedOn w:val="17"/>
    <w:link w:val="8"/>
    <w:qFormat/>
    <w:uiPriority w:val="9"/>
    <w:rPr>
      <w:rFonts w:ascii="Times New Roman" w:hAnsi="Times New Roman"/>
      <w:b/>
      <w:bCs/>
      <w:kern w:val="2"/>
      <w:sz w:val="32"/>
      <w:szCs w:val="32"/>
    </w:rPr>
  </w:style>
  <w:style w:type="paragraph" w:customStyle="1" w:styleId="33">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21"/>
    <w:basedOn w:val="17"/>
    <w:uiPriority w:val="0"/>
    <w:rPr>
      <w:rFonts w:hint="eastAsia" w:ascii="宋体" w:hAnsi="宋体" w:eastAsia="宋体" w:cs="宋体"/>
      <w:color w:val="000000"/>
      <w:sz w:val="20"/>
      <w:szCs w:val="20"/>
      <w:u w:val="none"/>
    </w:rPr>
  </w:style>
  <w:style w:type="character" w:customStyle="1" w:styleId="35">
    <w:name w:val="font31"/>
    <w:basedOn w:val="17"/>
    <w:uiPriority w:val="0"/>
    <w:rPr>
      <w:rFonts w:hint="eastAsia" w:ascii="宋体" w:hAnsi="宋体" w:eastAsia="宋体" w:cs="宋体"/>
      <w:color w:val="000000"/>
      <w:sz w:val="16"/>
      <w:szCs w:val="16"/>
      <w:u w:val="none"/>
    </w:rPr>
  </w:style>
  <w:style w:type="character" w:customStyle="1" w:styleId="36">
    <w:name w:val="font1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54</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2023-10-24T04:25:00Z</cp:lastPrinted>
  <dcterms:modified xsi:type="dcterms:W3CDTF">2023-11-28T03:09:52Z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2CB065CF9381450788AC3568A1C453F5_13</vt:lpwstr>
  </property>
</Properties>
</file>