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193"/>
      <w:bookmarkStart w:id="3" w:name="_Toc15377425"/>
      <w:bookmarkStart w:id="4" w:name="_Toc15396597"/>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194"/>
      <w:bookmarkStart w:id="8" w:name="_Toc15396598"/>
      <w:bookmarkStart w:id="9" w:name="_Toc15378442"/>
      <w:bookmarkStart w:id="10" w:name="_Toc1537742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姚家小学校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adjustRightInd w:val="0"/>
        <w:snapToGrid w:val="0"/>
        <w:spacing w:line="360" w:lineRule="auto"/>
        <w:jc w:val="center"/>
        <w:outlineLvl w:val="0"/>
        <w:rPr>
          <w:rFonts w:hint="eastAsia" w:ascii="方正小标宋简体" w:hAnsi="宋体" w:eastAsia="方正小标宋简体"/>
          <w:sz w:val="52"/>
          <w:szCs w:val="52"/>
          <w:lang w:eastAsia="zh-CN"/>
        </w:rPr>
      </w:pPr>
      <w:r>
        <w:rPr>
          <w:rFonts w:hint="eastAsia" w:ascii="方正小标宋简体" w:hAnsi="方正小标宋简体" w:eastAsia="方正小标宋简体" w:cs="方正小标宋简体"/>
          <w:sz w:val="72"/>
          <w:szCs w:val="72"/>
          <w:lang w:eastAsia="zh-CN"/>
        </w:rPr>
        <w:t>编制说明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sz w:val="24"/>
        </w:rPr>
      </w:pPr>
      <w:r>
        <w:rPr>
          <w:rFonts w:hint="eastAsia"/>
          <w:sz w:val="24"/>
        </w:rPr>
        <w:t>（一）单位</w:t>
      </w:r>
      <w:r>
        <w:rPr>
          <w:sz w:val="24"/>
        </w:rPr>
        <w:t>职责</w:t>
      </w:r>
    </w:p>
    <w:p>
      <w:pPr>
        <w:pStyle w:val="11"/>
        <w:adjustRightInd w:val="0"/>
        <w:snapToGrid w:val="0"/>
        <w:spacing w:line="440" w:lineRule="exact"/>
        <w:jc w:val="left"/>
        <w:rPr>
          <w:rFonts w:hint="eastAsia"/>
          <w:b/>
          <w:bCs/>
          <w:sz w:val="24"/>
        </w:rPr>
      </w:pPr>
      <w:r>
        <w:rPr>
          <w:rFonts w:hint="eastAsia"/>
          <w:sz w:val="24"/>
        </w:rPr>
        <w:t>（二）2022年重点工作完成情况</w:t>
      </w:r>
    </w:p>
    <w:p>
      <w:pPr>
        <w:pStyle w:val="11"/>
        <w:adjustRightInd w:val="0"/>
        <w:snapToGrid w:val="0"/>
        <w:spacing w:line="440" w:lineRule="exact"/>
        <w:jc w:val="left"/>
        <w:rPr>
          <w:rFonts w:hint="eastAsia"/>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4"/>
        <w:pageBreakBefore w:val="0"/>
        <w:numPr>
          <w:ilvl w:val="0"/>
          <w:numId w:val="0"/>
        </w:numPr>
        <w:kinsoku/>
        <w:wordWrap/>
        <w:overflowPunct/>
        <w:topLinePunct w:val="0"/>
        <w:bidi w:val="0"/>
        <w:snapToGrid/>
        <w:spacing w:before="0" w:after="0" w:line="240" w:lineRule="auto"/>
        <w:ind w:left="0" w:right="0" w:firstLine="640" w:firstLineChars="200"/>
        <w:textAlignment w:val="auto"/>
        <w:rPr>
          <w:rStyle w:val="25"/>
          <w:rFonts w:ascii="黑体" w:hAnsi="黑体" w:eastAsia="黑体"/>
          <w:b w:val="0"/>
          <w:bCs w:val="0"/>
        </w:rPr>
      </w:pPr>
      <w:bookmarkStart w:id="14" w:name="_Toc15396600"/>
      <w:bookmarkStart w:id="15" w:name="_Toc15377197"/>
      <w:r>
        <w:rPr>
          <w:rFonts w:hint="eastAsia" w:ascii="黑体" w:hAnsi="黑体" w:eastAsia="黑体" w:cstheme="majorBidi"/>
          <w:b w:val="0"/>
          <w:bCs w:val="0"/>
          <w:kern w:val="2"/>
          <w:sz w:val="32"/>
          <w:szCs w:val="32"/>
          <w:lang w:val="en-US" w:eastAsia="zh-CN" w:bidi="ar-SA"/>
        </w:rPr>
        <w:t>一、</w:t>
      </w:r>
      <w:r>
        <w:rPr>
          <w:rStyle w:val="25"/>
          <w:rFonts w:hint="eastAsia" w:ascii="黑体" w:hAnsi="黑体" w:eastAsia="黑体"/>
          <w:b w:val="0"/>
          <w:bCs w:val="0"/>
        </w:rPr>
        <w:t>主要职责及重点工作</w:t>
      </w:r>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（一）单位职责</w:t>
      </w:r>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剑阁县姚家小学属财政预算一级单位，执行政府会计制度，宗旨和业务范围：实施小学义务教育，促进基础教育发展。</w:t>
      </w:r>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（二）2022年重点工作完成情况</w:t>
      </w:r>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2022年，我支部在县教育工委、教育局党组的正确领导下，全体教职工同心共谋，锐意进取，学校党建工作、德育工作、教育教学、课后服务等方面取得突出成绩，得到了家长、社会的认可和上级领导的充分肯定。这些成绩的取得归功于上级领导的支持与全体师生的努力。 </w:t>
      </w:r>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加强师德建设，增强教师技能，建设卓越师资队伍。 落实党建主体责任，认真组织学习，努力提高政治思想认识，全面加强党员队伍建设。 加强作风建设，全面推进党风廉政教育。加强意识形态教育宣传，增强党员干部师生爱党爱国情怀 。安全德育常抓不懈，教育环境安全稳定。常态开展防疫工作，保证环境安全稳定。 加强德育引领导向，抓好习惯养成教育。落实安全教育管控，保障学生身心健康。 安全始终是学校管理的重中之重，所以凡是涉及安全方面的教育活动丝毫不敢懈怠。本学期学校安全围绕宣传教育、活动引领、考核管理等方面展开。加大安全管控力度，家校共育不留安全空档。抓好学校常规管理，保障教学有序化。</w:t>
      </w:r>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加强教学常规管理，扎实开展教研活动，努力提升教学质量。严格执行国家标准，规范办学行为。强化过程管理，抓实教学常规。加大队伍建设力度，持续稳定投入资金，学前教育实现高质量发展。提升课后服务水平，为学生全面发展赋能。加强学籍管理，规范档案管理。</w:t>
      </w:r>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教育扶贫落实到位，精准实施资助工作。 2022年秋，我镇义务教育阶段建档立卡贫困家庭学生无一人辍学。全部按政策规定享受各类资助救助资金，无一人错助漏助，无一人因贫失学，无一户因学致贫。</w:t>
      </w:r>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保障权利，情暖会员，工会工作扎实开展。强化工会监督职能，严格落实校务公开制度，增强学校管理透明度。回顾过去的一年，我们团结一致，为姚家小学的发展创造出新的历史机遇，谱写出新的篇章；展望来年，只要全校师生同心协力、攻坚克难，姚家小学的明天将更加美好。</w:t>
      </w:r>
    </w:p>
    <w:p>
      <w:pPr>
        <w:pStyle w:val="4"/>
        <w:pageBreakBefore w:val="0"/>
        <w:kinsoku/>
        <w:wordWrap/>
        <w:overflowPunct/>
        <w:topLinePunct w:val="0"/>
        <w:bidi w:val="0"/>
        <w:snapToGrid/>
        <w:spacing w:before="0" w:after="0" w:line="240" w:lineRule="auto"/>
        <w:ind w:left="0" w:right="0" w:firstLine="640" w:firstLineChars="200"/>
        <w:textAlignment w:val="auto"/>
        <w:rPr>
          <w:rFonts w:ascii="黑体" w:hAnsi="黑体" w:eastAsia="黑体"/>
          <w:b w:val="0"/>
        </w:rPr>
      </w:pPr>
      <w:r>
        <w:rPr>
          <w:rFonts w:hint="eastAsia" w:ascii="黑体" w:hAnsi="黑体" w:eastAsia="黑体"/>
          <w:b w:val="0"/>
        </w:rPr>
        <w:t>二、机构设置</w:t>
      </w:r>
    </w:p>
    <w:bookmarkEnd w:id="14"/>
    <w:bookmarkEnd w:id="15"/>
    <w:p>
      <w:pPr>
        <w:pageBreakBefore w:val="0"/>
        <w:widowControl/>
        <w:kinsoku/>
        <w:wordWrap/>
        <w:overflowPunct/>
        <w:topLinePunct w:val="0"/>
        <w:bidi w:val="0"/>
        <w:snapToGrid/>
        <w:spacing w:line="240" w:lineRule="auto"/>
        <w:ind w:left="0" w:right="0" w:firstLine="640" w:firstLineChars="200"/>
        <w:jc w:val="left"/>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剑阁县姚家小学校无下属二级单位，无纳入2022年度部门决算编制范围的二级预算单位。</w:t>
      </w:r>
    </w:p>
    <w:p>
      <w:pPr>
        <w:pStyle w:val="3"/>
        <w:pageBreakBefore w:val="0"/>
        <w:kinsoku/>
        <w:wordWrap/>
        <w:overflowPunct/>
        <w:topLinePunct w:val="0"/>
        <w:bidi w:val="0"/>
        <w:snapToGrid/>
        <w:spacing w:before="0" w:after="0" w:line="240" w:lineRule="auto"/>
        <w:ind w:right="0"/>
        <w:jc w:val="center"/>
        <w:textAlignment w:val="auto"/>
        <w:rPr>
          <w:rStyle w:val="24"/>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Pr>
        <w:pStyle w:val="23"/>
        <w:pageBreakBefore w:val="0"/>
        <w:numPr>
          <w:ilvl w:val="0"/>
          <w:numId w:val="0"/>
        </w:numPr>
        <w:kinsoku/>
        <w:wordWrap/>
        <w:overflowPunct/>
        <w:topLinePunct w:val="0"/>
        <w:bidi w:val="0"/>
        <w:snapToGrid/>
        <w:spacing w:line="240" w:lineRule="auto"/>
        <w:ind w:left="0" w:leftChars="0" w:right="0" w:rightChars="0" w:firstLine="640" w:firstLineChars="200"/>
        <w:textAlignment w:val="auto"/>
        <w:outlineLvl w:val="1"/>
        <w:rPr>
          <w:rStyle w:val="25"/>
          <w:rFonts w:ascii="黑体" w:hAnsi="黑体" w:eastAsia="黑体"/>
          <w:b w:val="0"/>
        </w:rPr>
      </w:pPr>
      <w:bookmarkStart w:id="18" w:name="_Toc15396603"/>
      <w:bookmarkStart w:id="19" w:name="_Toc15377205"/>
      <w:r>
        <w:rPr>
          <w:rFonts w:hint="default" w:ascii="黑体" w:hAnsi="黑体" w:eastAsia="黑体" w:cstheme="majorBidi"/>
          <w:b w:val="0"/>
          <w:bCs/>
          <w:kern w:val="2"/>
          <w:sz w:val="32"/>
          <w:szCs w:val="32"/>
          <w:lang w:val="en-US" w:eastAsia="zh-CN" w:bidi="ar-SA"/>
        </w:rPr>
        <w:t>一、</w:t>
      </w:r>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sz w:val="32"/>
          <w:szCs w:val="32"/>
        </w:rPr>
      </w:pPr>
      <w:r>
        <w:rPr>
          <w:rFonts w:hint="eastAsia" w:ascii="仿宋" w:hAnsi="仿宋" w:eastAsia="仿宋"/>
          <w:sz w:val="32"/>
          <w:szCs w:val="32"/>
        </w:rPr>
        <w:t>2022年度收、支总计876.42万元。与</w:t>
      </w:r>
      <w:bookmarkStart w:id="67" w:name="_GoBack"/>
      <w:bookmarkEnd w:id="67"/>
      <w:r>
        <w:rPr>
          <w:rFonts w:hint="eastAsia" w:ascii="仿宋" w:hAnsi="仿宋" w:eastAsia="仿宋"/>
          <w:sz w:val="32"/>
          <w:szCs w:val="32"/>
        </w:rPr>
        <w:t>2021年相比，收、支总计各减少158.12 万元，下降</w:t>
      </w:r>
      <w:r>
        <w:rPr>
          <w:rFonts w:hint="eastAsia" w:ascii="仿宋" w:hAnsi="仿宋" w:eastAsia="仿宋"/>
          <w:sz w:val="32"/>
          <w:szCs w:val="32"/>
          <w:lang w:val="en-US" w:eastAsia="zh-CN"/>
        </w:rPr>
        <w:t>15.28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本年度上年结转收入减少、项目经费减少</w:t>
      </w:r>
      <w:r>
        <w:rPr>
          <w:rFonts w:hint="eastAsia" w:ascii="仿宋" w:hAnsi="仿宋" w:eastAsia="仿宋"/>
          <w:sz w:val="32"/>
          <w:szCs w:val="32"/>
        </w:rPr>
        <w:t>。</w:t>
      </w:r>
    </w:p>
    <w:p>
      <w:pPr>
        <w:pageBreakBefore w:val="0"/>
        <w:kinsoku/>
        <w:wordWrap/>
        <w:overflowPunct/>
        <w:topLinePunct w:val="0"/>
        <w:bidi w:val="0"/>
        <w:snapToGrid/>
        <w:spacing w:line="240" w:lineRule="auto"/>
        <w:ind w:right="0"/>
        <w:jc w:val="center"/>
        <w:textAlignment w:val="auto"/>
        <w:rPr>
          <w:rFonts w:ascii="仿宋" w:hAnsi="仿宋" w:eastAsia="仿宋"/>
          <w:sz w:val="32"/>
          <w:szCs w:val="32"/>
        </w:rPr>
      </w:pPr>
      <w:r>
        <w:drawing>
          <wp:inline distT="0" distB="0" distL="114300" distR="114300">
            <wp:extent cx="4580890" cy="2851785"/>
            <wp:effectExtent l="4445" t="4445" r="5715" b="203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ageBreakBefore w:val="0"/>
        <w:kinsoku/>
        <w:wordWrap/>
        <w:overflowPunct/>
        <w:topLinePunct w:val="0"/>
        <w:bidi w:val="0"/>
        <w:snapToGrid/>
        <w:spacing w:line="240" w:lineRule="auto"/>
        <w:ind w:right="0"/>
        <w:jc w:val="center"/>
        <w:textAlignment w:val="auto"/>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3"/>
        <w:pageBreakBefore w:val="0"/>
        <w:numPr>
          <w:ilvl w:val="0"/>
          <w:numId w:val="0"/>
        </w:numPr>
        <w:kinsoku/>
        <w:wordWrap/>
        <w:overflowPunct/>
        <w:topLinePunct w:val="0"/>
        <w:bidi w:val="0"/>
        <w:snapToGrid/>
        <w:spacing w:line="240" w:lineRule="auto"/>
        <w:ind w:left="0" w:leftChars="0" w:right="0" w:rightChars="0" w:firstLine="640" w:firstLineChars="200"/>
        <w:textAlignment w:val="auto"/>
        <w:outlineLvl w:val="1"/>
        <w:rPr>
          <w:rStyle w:val="25"/>
          <w:rFonts w:ascii="黑体" w:hAnsi="黑体" w:eastAsia="黑体"/>
          <w:b w:val="0"/>
        </w:rPr>
      </w:pPr>
      <w:bookmarkStart w:id="20" w:name="_Toc15396604"/>
      <w:bookmarkStart w:id="21" w:name="_Toc15377206"/>
      <w:r>
        <w:rPr>
          <w:rFonts w:hint="default" w:ascii="黑体" w:hAnsi="黑体" w:eastAsia="黑体" w:cstheme="majorBidi"/>
          <w:b w:val="0"/>
          <w:bCs/>
          <w:kern w:val="2"/>
          <w:sz w:val="32"/>
          <w:szCs w:val="32"/>
          <w:lang w:val="en-US" w:eastAsia="zh-CN" w:bidi="ar-SA"/>
        </w:rPr>
        <w:t>二、</w:t>
      </w:r>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pageBreakBefore w:val="0"/>
        <w:kinsoku/>
        <w:wordWrap/>
        <w:overflowPunct/>
        <w:topLinePunct w:val="0"/>
        <w:bidi w:val="0"/>
        <w:snapToGrid/>
        <w:spacing w:line="240" w:lineRule="auto"/>
        <w:ind w:left="0" w:right="0"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22年本年收入合计876.42万元，其中：一般公共预算财政拨款收入87</w:t>
      </w:r>
      <w:r>
        <w:rPr>
          <w:rFonts w:hint="eastAsia" w:ascii="仿宋" w:hAnsi="仿宋" w:eastAsia="仿宋"/>
          <w:sz w:val="32"/>
          <w:szCs w:val="32"/>
          <w:lang w:val="en-US" w:eastAsia="zh-CN"/>
        </w:rPr>
        <w:t>5</w:t>
      </w:r>
      <w:r>
        <w:rPr>
          <w:rFonts w:hint="eastAsia" w:ascii="仿宋" w:hAnsi="仿宋" w:eastAsia="仿宋"/>
          <w:sz w:val="32"/>
          <w:szCs w:val="32"/>
        </w:rPr>
        <w:t>.42万元，占</w:t>
      </w:r>
      <w:r>
        <w:rPr>
          <w:rFonts w:hint="eastAsia" w:ascii="仿宋" w:hAnsi="仿宋" w:eastAsia="仿宋"/>
          <w:sz w:val="32"/>
          <w:szCs w:val="32"/>
          <w:lang w:val="en-US" w:eastAsia="zh-CN"/>
        </w:rPr>
        <w:t>99.89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0.11</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napToGrid/>
        <w:spacing w:line="240" w:lineRule="auto"/>
        <w:ind w:left="0" w:right="0" w:firstLine="420" w:firstLineChars="200"/>
        <w:jc w:val="center"/>
        <w:textAlignment w:val="auto"/>
        <w:rPr>
          <w:rFonts w:hint="eastAsia" w:ascii="仿宋" w:hAnsi="仿宋" w:eastAsia="仿宋"/>
          <w:sz w:val="32"/>
          <w:szCs w:val="32"/>
        </w:rPr>
      </w:pPr>
      <w:r>
        <w:drawing>
          <wp:inline distT="0" distB="0" distL="114300" distR="114300">
            <wp:extent cx="4314825" cy="2513965"/>
            <wp:effectExtent l="4445" t="4445" r="5080" b="1524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napToGrid/>
        <w:spacing w:line="240" w:lineRule="auto"/>
        <w:ind w:left="0" w:right="0" w:firstLine="640" w:firstLineChars="200"/>
        <w:jc w:val="center"/>
        <w:textAlignment w:val="auto"/>
        <w:rPr>
          <w:rFonts w:ascii="仿宋" w:hAnsi="仿宋" w:eastAsia="仿宋"/>
          <w:sz w:val="32"/>
          <w:szCs w:val="32"/>
        </w:rPr>
      </w:pPr>
      <w:r>
        <w:rPr>
          <w:rFonts w:hint="eastAsia" w:ascii="仿宋" w:hAnsi="仿宋" w:eastAsia="仿宋"/>
          <w:sz w:val="32"/>
          <w:szCs w:val="32"/>
        </w:rPr>
        <w:t>图2：收入决算结构图</w:t>
      </w:r>
    </w:p>
    <w:p>
      <w:pPr>
        <w:pStyle w:val="23"/>
        <w:pageBreakBefore w:val="0"/>
        <w:numPr>
          <w:ilvl w:val="0"/>
          <w:numId w:val="0"/>
        </w:numPr>
        <w:kinsoku/>
        <w:wordWrap/>
        <w:overflowPunct/>
        <w:topLinePunct w:val="0"/>
        <w:bidi w:val="0"/>
        <w:snapToGrid/>
        <w:spacing w:line="240" w:lineRule="auto"/>
        <w:ind w:left="0" w:leftChars="0" w:right="0" w:rightChars="0" w:firstLine="640" w:firstLineChars="200"/>
        <w:textAlignment w:val="auto"/>
        <w:outlineLvl w:val="1"/>
        <w:rPr>
          <w:rStyle w:val="25"/>
          <w:rFonts w:ascii="黑体" w:hAnsi="黑体" w:eastAsia="黑体"/>
          <w:b w:val="0"/>
        </w:rPr>
      </w:pPr>
      <w:bookmarkStart w:id="22" w:name="_Toc15396605"/>
      <w:bookmarkStart w:id="23" w:name="_Toc15377207"/>
      <w:r>
        <w:rPr>
          <w:rFonts w:hint="default" w:ascii="黑体" w:hAnsi="黑体" w:eastAsia="黑体" w:cstheme="majorBidi"/>
          <w:b w:val="0"/>
          <w:bCs/>
          <w:kern w:val="2"/>
          <w:sz w:val="32"/>
          <w:szCs w:val="32"/>
          <w:lang w:val="en-US" w:eastAsia="zh-CN" w:bidi="ar-SA"/>
        </w:rPr>
        <w:t>三、</w:t>
      </w:r>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pageBreakBefore w:val="0"/>
        <w:kinsoku/>
        <w:wordWrap/>
        <w:overflowPunct/>
        <w:topLinePunct w:val="0"/>
        <w:bidi w:val="0"/>
        <w:snapToGrid/>
        <w:spacing w:line="240" w:lineRule="auto"/>
        <w:ind w:left="0" w:right="0"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22年本年支出合计876.42万元，其中：基本支出865.42万元，占</w:t>
      </w:r>
      <w:r>
        <w:rPr>
          <w:rFonts w:hint="eastAsia" w:ascii="仿宋" w:hAnsi="仿宋" w:eastAsia="仿宋"/>
          <w:sz w:val="32"/>
          <w:szCs w:val="32"/>
          <w:lang w:val="en-US" w:eastAsia="zh-CN"/>
        </w:rPr>
        <w:t>98.74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11.00</w:t>
      </w:r>
      <w:r>
        <w:rPr>
          <w:rFonts w:hint="eastAsia" w:ascii="仿宋" w:hAnsi="仿宋" w:eastAsia="仿宋"/>
          <w:sz w:val="32"/>
          <w:szCs w:val="32"/>
        </w:rPr>
        <w:t>万元，占</w:t>
      </w:r>
      <w:r>
        <w:rPr>
          <w:rFonts w:hint="eastAsia" w:ascii="仿宋" w:hAnsi="仿宋" w:eastAsia="仿宋"/>
          <w:sz w:val="32"/>
          <w:szCs w:val="32"/>
          <w:lang w:val="en-US" w:eastAsia="zh-CN"/>
        </w:rPr>
        <w:t>1.26</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napToGrid/>
        <w:spacing w:line="240" w:lineRule="auto"/>
        <w:ind w:left="0" w:right="0" w:firstLine="420" w:firstLineChars="200"/>
        <w:jc w:val="center"/>
        <w:textAlignment w:val="auto"/>
        <w:rPr>
          <w:rFonts w:ascii="仿宋" w:hAnsi="仿宋" w:eastAsia="仿宋"/>
          <w:sz w:val="32"/>
          <w:szCs w:val="32"/>
          <w:shd w:val="pct10" w:color="auto" w:fill="FFFFFF"/>
        </w:rPr>
      </w:pPr>
      <w:r>
        <w:drawing>
          <wp:inline distT="0" distB="0" distL="114300" distR="114300">
            <wp:extent cx="4067810" cy="2390140"/>
            <wp:effectExtent l="5080" t="4445" r="22860" b="571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napToGrid/>
        <w:spacing w:line="240" w:lineRule="auto"/>
        <w:ind w:left="0" w:right="0" w:firstLine="640" w:firstLineChars="200"/>
        <w:jc w:val="center"/>
        <w:textAlignment w:val="auto"/>
        <w:rPr>
          <w:rFonts w:ascii="仿宋_GB2312" w:eastAsia="仿宋_GB2312"/>
          <w:sz w:val="32"/>
          <w:szCs w:val="32"/>
        </w:rPr>
      </w:pPr>
      <w:r>
        <w:rPr>
          <w:rFonts w:hint="eastAsia" w:ascii="仿宋" w:hAnsi="仿宋" w:eastAsia="仿宋"/>
          <w:sz w:val="32"/>
          <w:szCs w:val="32"/>
        </w:rPr>
        <w:t>图3：支出决算结构图</w:t>
      </w:r>
    </w:p>
    <w:p>
      <w:pPr>
        <w:pageBreakBefore w:val="0"/>
        <w:kinsoku/>
        <w:wordWrap/>
        <w:overflowPunct/>
        <w:topLinePunct w:val="0"/>
        <w:bidi w:val="0"/>
        <w:snapToGrid/>
        <w:spacing w:line="240" w:lineRule="auto"/>
        <w:ind w:left="0" w:right="0" w:firstLine="640" w:firstLineChars="200"/>
        <w:textAlignment w:val="auto"/>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22年财政拨款收、支总计876.42万元。与</w:t>
      </w:r>
      <w:r>
        <w:rPr>
          <w:rFonts w:ascii="仿宋" w:hAnsi="仿宋" w:eastAsia="仿宋"/>
          <w:sz w:val="32"/>
          <w:szCs w:val="32"/>
        </w:rPr>
        <w:t>20</w:t>
      </w:r>
      <w:r>
        <w:rPr>
          <w:rFonts w:hint="eastAsia" w:ascii="仿宋" w:hAnsi="仿宋" w:eastAsia="仿宋"/>
          <w:sz w:val="32"/>
          <w:szCs w:val="32"/>
        </w:rPr>
        <w:t>21年相比，财政拨款收、支总计各减少158.12 万元，下降</w:t>
      </w:r>
      <w:r>
        <w:rPr>
          <w:rFonts w:hint="eastAsia" w:ascii="仿宋" w:hAnsi="仿宋" w:eastAsia="仿宋"/>
          <w:sz w:val="32"/>
          <w:szCs w:val="32"/>
          <w:lang w:val="en-US" w:eastAsia="zh-CN"/>
        </w:rPr>
        <w:t>15.28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本年度上年结转收入减少、项目经费减少。</w:t>
      </w:r>
    </w:p>
    <w:p>
      <w:pPr>
        <w:pStyle w:val="2"/>
        <w:jc w:val="center"/>
      </w:pPr>
      <w:r>
        <w:drawing>
          <wp:inline distT="0" distB="0" distL="114300" distR="114300">
            <wp:extent cx="4580890" cy="2851785"/>
            <wp:effectExtent l="4445" t="4445" r="5715" b="203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napToGrid/>
        <w:spacing w:line="240" w:lineRule="auto"/>
        <w:ind w:right="0"/>
        <w:jc w:val="center"/>
        <w:textAlignment w:val="auto"/>
        <w:rPr>
          <w:rFonts w:ascii="仿宋" w:hAnsi="仿宋" w:eastAsia="仿宋"/>
          <w:b/>
          <w:sz w:val="32"/>
          <w:szCs w:val="32"/>
        </w:rPr>
      </w:pPr>
      <w:r>
        <w:rPr>
          <w:rFonts w:hint="eastAsia" w:ascii="仿宋" w:hAnsi="仿宋" w:eastAsia="仿宋"/>
          <w:sz w:val="32"/>
          <w:szCs w:val="32"/>
        </w:rPr>
        <w:t>图4：财政拨款收、支决算总计变动情况</w:t>
      </w:r>
    </w:p>
    <w:p>
      <w:pPr>
        <w:pageBreakBefore w:val="0"/>
        <w:kinsoku/>
        <w:wordWrap/>
        <w:overflowPunct/>
        <w:topLinePunct w:val="0"/>
        <w:bidi w:val="0"/>
        <w:snapToGrid/>
        <w:spacing w:line="240" w:lineRule="auto"/>
        <w:ind w:left="0" w:right="0" w:firstLine="640" w:firstLineChars="200"/>
        <w:textAlignment w:val="auto"/>
        <w:outlineLvl w:val="1"/>
        <w:rPr>
          <w:rStyle w:val="25"/>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pageBreakBefore w:val="0"/>
        <w:kinsoku/>
        <w:wordWrap/>
        <w:overflowPunct/>
        <w:topLinePunct w:val="0"/>
        <w:bidi w:val="0"/>
        <w:snapToGrid/>
        <w:spacing w:line="240" w:lineRule="auto"/>
        <w:ind w:left="0" w:right="0" w:firstLine="643" w:firstLineChars="200"/>
        <w:textAlignment w:val="auto"/>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pageBreakBefore w:val="0"/>
        <w:kinsoku/>
        <w:wordWrap/>
        <w:overflowPunct/>
        <w:topLinePunct w:val="0"/>
        <w:bidi w:val="0"/>
        <w:snapToGrid/>
        <w:spacing w:line="240" w:lineRule="auto"/>
        <w:ind w:left="0" w:right="0" w:firstLine="640" w:firstLineChars="200"/>
        <w:jc w:val="left"/>
        <w:textAlignment w:val="auto"/>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22年一般公共预算财政拨款支出87</w:t>
      </w:r>
      <w:r>
        <w:rPr>
          <w:rFonts w:hint="eastAsia" w:ascii="仿宋" w:hAnsi="仿宋" w:eastAsia="仿宋"/>
          <w:sz w:val="32"/>
          <w:szCs w:val="32"/>
          <w:lang w:val="en-US" w:eastAsia="zh-CN"/>
        </w:rPr>
        <w:t>5</w:t>
      </w:r>
      <w:r>
        <w:rPr>
          <w:rFonts w:hint="eastAsia" w:ascii="仿宋" w:hAnsi="仿宋" w:eastAsia="仿宋"/>
          <w:sz w:val="32"/>
          <w:szCs w:val="32"/>
        </w:rPr>
        <w:t>.42万元，占本年支出合计的</w:t>
      </w:r>
      <w:r>
        <w:rPr>
          <w:rFonts w:hint="eastAsia" w:ascii="仿宋" w:hAnsi="仿宋" w:eastAsia="仿宋"/>
          <w:sz w:val="32"/>
          <w:szCs w:val="32"/>
          <w:lang w:val="en-US" w:eastAsia="zh-CN"/>
        </w:rPr>
        <w:t>99.89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21年相比，一般公共预算财政拨款支出减少151.62 万元，下降14.76%。主要变动原因是</w:t>
      </w:r>
      <w:r>
        <w:rPr>
          <w:rFonts w:hint="eastAsia" w:ascii="仿宋" w:hAnsi="仿宋" w:eastAsia="仿宋"/>
          <w:sz w:val="32"/>
          <w:szCs w:val="32"/>
          <w:lang w:eastAsia="zh-CN"/>
        </w:rPr>
        <w:t>本年度上年结转收入减少、项目经费减少。</w:t>
      </w:r>
    </w:p>
    <w:p>
      <w:pPr>
        <w:pageBreakBefore w:val="0"/>
        <w:kinsoku/>
        <w:wordWrap/>
        <w:overflowPunct/>
        <w:topLinePunct w:val="0"/>
        <w:bidi w:val="0"/>
        <w:snapToGrid/>
        <w:spacing w:line="240" w:lineRule="auto"/>
        <w:ind w:right="0"/>
        <w:jc w:val="center"/>
        <w:textAlignment w:val="auto"/>
        <w:rPr>
          <w:rFonts w:ascii="仿宋" w:hAnsi="仿宋" w:eastAsia="仿宋"/>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napToGrid/>
        <w:spacing w:line="240" w:lineRule="auto"/>
        <w:ind w:left="0" w:right="0"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w:t>
      </w:r>
    </w:p>
    <w:p>
      <w:pPr>
        <w:pageBreakBefore w:val="0"/>
        <w:kinsoku/>
        <w:wordWrap/>
        <w:overflowPunct/>
        <w:topLinePunct w:val="0"/>
        <w:bidi w:val="0"/>
        <w:snapToGrid/>
        <w:spacing w:line="240" w:lineRule="auto"/>
        <w:ind w:left="0" w:right="0" w:firstLine="643" w:firstLineChars="200"/>
        <w:textAlignment w:val="auto"/>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pageBreakBefore w:val="0"/>
        <w:kinsoku/>
        <w:wordWrap/>
        <w:overflowPunct/>
        <w:topLinePunct w:val="0"/>
        <w:bidi w:val="0"/>
        <w:snapToGrid/>
        <w:spacing w:line="240" w:lineRule="auto"/>
        <w:ind w:left="0" w:right="0" w:firstLine="640" w:firstLineChars="200"/>
        <w:textAlignment w:val="auto"/>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22年一般公共预算财政拨款支出875.42万元，主要用于以下方面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rPr>
        <w:t>729.68万元，占83.35%；</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63.89万元，占7.30%；</w:t>
      </w:r>
      <w:r>
        <w:rPr>
          <w:rFonts w:hint="eastAsia" w:ascii="仿宋" w:hAnsi="仿宋" w:eastAsia="仿宋"/>
          <w:b/>
          <w:bCs/>
          <w:sz w:val="32"/>
          <w:szCs w:val="32"/>
        </w:rPr>
        <w:t>卫生健康支出</w:t>
      </w:r>
      <w:r>
        <w:rPr>
          <w:rFonts w:hint="eastAsia" w:ascii="仿宋" w:hAnsi="仿宋" w:eastAsia="仿宋"/>
          <w:sz w:val="32"/>
          <w:szCs w:val="32"/>
        </w:rPr>
        <w:t>31.94万元，占3.65%；</w:t>
      </w:r>
      <w:r>
        <w:rPr>
          <w:rFonts w:hint="eastAsia" w:ascii="仿宋" w:hAnsi="仿宋" w:eastAsia="仿宋"/>
          <w:sz w:val="32"/>
          <w:szCs w:val="32"/>
          <w:lang w:eastAsia="zh-CN"/>
        </w:rPr>
        <w:t>农林水支出</w:t>
      </w:r>
      <w:r>
        <w:rPr>
          <w:rFonts w:hint="eastAsia" w:ascii="仿宋" w:hAnsi="仿宋" w:eastAsia="仿宋"/>
          <w:sz w:val="32"/>
          <w:szCs w:val="32"/>
          <w:lang w:val="en-US" w:eastAsia="zh-CN"/>
        </w:rPr>
        <w:t>2万元，占0.23%；</w:t>
      </w:r>
      <w:r>
        <w:rPr>
          <w:rFonts w:hint="eastAsia" w:ascii="仿宋" w:hAnsi="仿宋" w:eastAsia="仿宋"/>
          <w:b/>
          <w:bCs/>
          <w:sz w:val="32"/>
          <w:szCs w:val="32"/>
        </w:rPr>
        <w:t>住房保障支出</w:t>
      </w:r>
      <w:r>
        <w:rPr>
          <w:rFonts w:hint="eastAsia" w:ascii="仿宋" w:hAnsi="仿宋" w:eastAsia="仿宋"/>
          <w:sz w:val="32"/>
          <w:szCs w:val="32"/>
        </w:rPr>
        <w:t>47.91万元，占5.47%。</w:t>
      </w:r>
    </w:p>
    <w:p>
      <w:pPr>
        <w:pageBreakBefore w:val="0"/>
        <w:kinsoku/>
        <w:wordWrap/>
        <w:overflowPunct/>
        <w:topLinePunct w:val="0"/>
        <w:bidi w:val="0"/>
        <w:snapToGrid/>
        <w:spacing w:line="240" w:lineRule="auto"/>
        <w:ind w:left="0" w:right="0" w:firstLine="420" w:firstLineChars="200"/>
        <w:textAlignment w:val="auto"/>
        <w:rPr>
          <w:rFonts w:ascii="仿宋" w:hAnsi="仿宋" w:eastAsia="仿宋"/>
          <w:b/>
          <w:sz w:val="32"/>
          <w:szCs w:val="32"/>
        </w:rPr>
      </w:pPr>
      <w:r>
        <w:drawing>
          <wp:inline distT="0" distB="0" distL="114300" distR="114300">
            <wp:extent cx="4848225" cy="2743200"/>
            <wp:effectExtent l="4445" t="4445" r="5080"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napToGrid/>
        <w:spacing w:line="240" w:lineRule="auto"/>
        <w:ind w:right="0"/>
        <w:jc w:val="center"/>
        <w:textAlignment w:val="auto"/>
        <w:rPr>
          <w:rFonts w:ascii="仿宋" w:hAnsi="仿宋" w:eastAsia="仿宋"/>
          <w:sz w:val="32"/>
          <w:szCs w:val="32"/>
        </w:rPr>
      </w:pPr>
      <w:r>
        <w:rPr>
          <w:rFonts w:hint="eastAsia" w:ascii="仿宋" w:hAnsi="仿宋" w:eastAsia="仿宋"/>
          <w:sz w:val="32"/>
          <w:szCs w:val="32"/>
        </w:rPr>
        <w:t>图6：一般公共预算财政拨款支出决算结构</w:t>
      </w:r>
    </w:p>
    <w:p>
      <w:pPr>
        <w:pageBreakBefore w:val="0"/>
        <w:kinsoku/>
        <w:wordWrap/>
        <w:overflowPunct/>
        <w:topLinePunct w:val="0"/>
        <w:bidi w:val="0"/>
        <w:snapToGrid/>
        <w:spacing w:line="240" w:lineRule="auto"/>
        <w:ind w:left="0" w:right="0" w:firstLine="643" w:firstLineChars="200"/>
        <w:textAlignment w:val="auto"/>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pageBreakBefore w:val="0"/>
        <w:kinsoku/>
        <w:wordWrap/>
        <w:overflowPunct/>
        <w:topLinePunct w:val="0"/>
        <w:bidi w:val="0"/>
        <w:snapToGrid/>
        <w:spacing w:line="240" w:lineRule="auto"/>
        <w:ind w:left="0" w:right="0" w:firstLine="643" w:firstLineChars="200"/>
        <w:textAlignment w:val="auto"/>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w:t>
      </w:r>
      <w:r>
        <w:rPr>
          <w:rFonts w:hint="eastAsia" w:ascii="仿宋" w:hAnsi="仿宋" w:eastAsia="仿宋"/>
          <w:sz w:val="32"/>
          <w:szCs w:val="32"/>
        </w:rPr>
        <w:t>875.42，</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133.15</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pageBreakBefore w:val="0"/>
        <w:widowControl w:val="0"/>
        <w:kinsoku/>
        <w:wordWrap/>
        <w:overflowPunct/>
        <w:topLinePunct w:val="0"/>
        <w:bidi w:val="0"/>
        <w:adjustRightInd w:val="0"/>
        <w:snapToGrid w:val="0"/>
        <w:spacing w:line="480" w:lineRule="exact"/>
        <w:ind w:right="0" w:firstLine="643" w:firstLineChars="200"/>
        <w:textAlignment w:val="auto"/>
        <w:outlineLvl w:val="1"/>
        <w:rPr>
          <w:rFonts w:hint="eastAsia" w:ascii="仿宋" w:hAnsi="仿宋" w:eastAsia="仿宋" w:cs="Times New Roman"/>
          <w:color w:val="000000"/>
          <w:sz w:val="32"/>
          <w:szCs w:val="32"/>
        </w:rPr>
      </w:pPr>
      <w:bookmarkStart w:id="34" w:name="_Toc15396608"/>
      <w:bookmarkStart w:id="35" w:name="_Toc15377214"/>
      <w:r>
        <w:rPr>
          <w:rFonts w:hint="eastAsia" w:ascii="仿宋" w:hAnsi="仿宋" w:eastAsia="仿宋" w:cs="Times New Roman"/>
          <w:b/>
          <w:bCs/>
          <w:color w:val="000000"/>
          <w:sz w:val="32"/>
          <w:szCs w:val="32"/>
        </w:rPr>
        <w:t>1.教育（类）普通教育（款）学前教育（项）</w:t>
      </w:r>
      <w:r>
        <w:rPr>
          <w:rFonts w:hint="eastAsia" w:ascii="仿宋" w:hAnsi="仿宋" w:eastAsia="仿宋" w:cs="Times New Roman"/>
          <w:b/>
          <w:bCs/>
          <w:color w:val="000000"/>
          <w:sz w:val="32"/>
          <w:szCs w:val="32"/>
          <w:lang w:eastAsia="zh-CN"/>
        </w:rPr>
        <w:t>：</w:t>
      </w:r>
      <w:r>
        <w:rPr>
          <w:rFonts w:hint="eastAsia" w:ascii="仿宋" w:hAnsi="仿宋" w:eastAsia="仿宋" w:cs="Times New Roman"/>
          <w:b/>
          <w:bCs/>
          <w:color w:val="000000"/>
          <w:sz w:val="32"/>
          <w:szCs w:val="32"/>
        </w:rPr>
        <w:t xml:space="preserve"> </w:t>
      </w:r>
      <w:r>
        <w:rPr>
          <w:rFonts w:hint="eastAsia" w:ascii="仿宋" w:hAnsi="仿宋" w:eastAsia="仿宋" w:cs="Times New Roman"/>
          <w:color w:val="000000"/>
          <w:sz w:val="32"/>
          <w:szCs w:val="32"/>
        </w:rPr>
        <w:t>支出决算为</w:t>
      </w:r>
      <w:r>
        <w:rPr>
          <w:rFonts w:hint="eastAsia" w:ascii="仿宋" w:hAnsi="仿宋" w:eastAsia="仿宋" w:cs="Times New Roman"/>
          <w:color w:val="000000"/>
          <w:sz w:val="32"/>
          <w:szCs w:val="32"/>
          <w:lang w:val="en-US" w:eastAsia="zh-CN"/>
        </w:rPr>
        <w:t>28.59</w:t>
      </w:r>
      <w:r>
        <w:rPr>
          <w:rFonts w:hint="eastAsia" w:ascii="仿宋" w:hAnsi="仿宋" w:eastAsia="仿宋" w:cs="Times New Roman"/>
          <w:color w:val="000000"/>
          <w:sz w:val="32"/>
          <w:szCs w:val="32"/>
        </w:rPr>
        <w:t>万元，完成预算</w:t>
      </w:r>
      <w:r>
        <w:rPr>
          <w:rFonts w:hint="eastAsia" w:ascii="仿宋" w:hAnsi="仿宋" w:eastAsia="仿宋" w:cs="Times New Roman"/>
          <w:color w:val="000000"/>
          <w:sz w:val="32"/>
          <w:szCs w:val="32"/>
          <w:lang w:val="en-US" w:eastAsia="zh-CN"/>
        </w:rPr>
        <w:t>119.32%</w:t>
      </w:r>
      <w:r>
        <w:rPr>
          <w:rFonts w:hint="eastAsia" w:ascii="仿宋" w:hAnsi="仿宋" w:eastAsia="仿宋" w:cs="Times New Roman"/>
          <w:color w:val="000000"/>
          <w:sz w:val="32"/>
          <w:szCs w:val="32"/>
          <w:lang w:eastAsia="zh-CN"/>
        </w:rPr>
        <w:t>。决算数大于预算数是学生资助支出未预算</w:t>
      </w:r>
      <w:r>
        <w:rPr>
          <w:rFonts w:hint="eastAsia" w:ascii="仿宋" w:hAnsi="仿宋" w:eastAsia="仿宋" w:cs="Times New Roman"/>
          <w:color w:val="000000"/>
          <w:sz w:val="32"/>
          <w:szCs w:val="32"/>
        </w:rPr>
        <w:t>。</w:t>
      </w:r>
    </w:p>
    <w:p>
      <w:pPr>
        <w:pageBreakBefore w:val="0"/>
        <w:widowControl w:val="0"/>
        <w:kinsoku/>
        <w:wordWrap/>
        <w:overflowPunct/>
        <w:topLinePunct w:val="0"/>
        <w:bidi w:val="0"/>
        <w:adjustRightInd w:val="0"/>
        <w:snapToGrid w:val="0"/>
        <w:spacing w:line="480" w:lineRule="exact"/>
        <w:ind w:right="0" w:firstLine="643" w:firstLineChars="200"/>
        <w:textAlignment w:val="auto"/>
        <w:outlineLvl w:val="1"/>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2.教育（类）普通教育（款）小学教育（项）</w:t>
      </w:r>
      <w:r>
        <w:rPr>
          <w:rFonts w:hint="eastAsia" w:ascii="仿宋" w:hAnsi="仿宋" w:eastAsia="仿宋" w:cs="Times New Roman"/>
          <w:b/>
          <w:bCs/>
          <w:color w:val="000000"/>
          <w:sz w:val="32"/>
          <w:szCs w:val="32"/>
          <w:lang w:eastAsia="zh-CN"/>
        </w:rPr>
        <w:t>：</w:t>
      </w:r>
      <w:r>
        <w:rPr>
          <w:rFonts w:hint="eastAsia" w:ascii="仿宋" w:hAnsi="仿宋" w:eastAsia="仿宋" w:cs="Times New Roman"/>
          <w:color w:val="000000"/>
          <w:sz w:val="32"/>
          <w:szCs w:val="32"/>
        </w:rPr>
        <w:t xml:space="preserve"> 支出决算为</w:t>
      </w:r>
      <w:r>
        <w:rPr>
          <w:rFonts w:hint="eastAsia" w:ascii="仿宋" w:hAnsi="仿宋" w:eastAsia="仿宋" w:cs="Times New Roman"/>
          <w:color w:val="000000"/>
          <w:sz w:val="32"/>
          <w:szCs w:val="32"/>
          <w:lang w:val="en-US" w:eastAsia="zh-CN"/>
        </w:rPr>
        <w:t>425.39</w:t>
      </w:r>
      <w:r>
        <w:rPr>
          <w:rFonts w:hint="eastAsia" w:ascii="仿宋" w:hAnsi="仿宋" w:eastAsia="仿宋" w:cs="Times New Roman"/>
          <w:color w:val="000000"/>
          <w:sz w:val="32"/>
          <w:szCs w:val="32"/>
        </w:rPr>
        <w:t>万元，完成预算</w:t>
      </w:r>
      <w:r>
        <w:rPr>
          <w:rFonts w:hint="eastAsia" w:ascii="仿宋" w:hAnsi="仿宋" w:eastAsia="仿宋" w:cs="Times New Roman"/>
          <w:color w:val="000000"/>
          <w:sz w:val="32"/>
          <w:szCs w:val="32"/>
          <w:lang w:val="en-US" w:eastAsia="zh-CN"/>
        </w:rPr>
        <w:t>90.80%</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决算数小于预算数是因为部分初中教育的支出预算到小学教育支出</w:t>
      </w:r>
      <w:r>
        <w:rPr>
          <w:rFonts w:hint="eastAsia" w:ascii="仿宋" w:hAnsi="仿宋" w:eastAsia="仿宋" w:cs="Times New Roman"/>
          <w:color w:val="000000"/>
          <w:sz w:val="32"/>
          <w:szCs w:val="32"/>
        </w:rPr>
        <w:t>。</w:t>
      </w:r>
    </w:p>
    <w:p>
      <w:pPr>
        <w:pageBreakBefore w:val="0"/>
        <w:widowControl w:val="0"/>
        <w:kinsoku/>
        <w:wordWrap/>
        <w:overflowPunct/>
        <w:topLinePunct w:val="0"/>
        <w:bidi w:val="0"/>
        <w:adjustRightInd w:val="0"/>
        <w:snapToGrid w:val="0"/>
        <w:spacing w:line="480" w:lineRule="exact"/>
        <w:ind w:right="0" w:firstLine="643" w:firstLineChars="200"/>
        <w:textAlignment w:val="auto"/>
        <w:outlineLvl w:val="1"/>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3.教育（类）普通教育（款）初中教育（项）</w:t>
      </w:r>
      <w:r>
        <w:rPr>
          <w:rFonts w:hint="eastAsia" w:ascii="仿宋" w:hAnsi="仿宋" w:eastAsia="仿宋" w:cs="Times New Roman"/>
          <w:b/>
          <w:bCs/>
          <w:color w:val="000000"/>
          <w:sz w:val="32"/>
          <w:szCs w:val="32"/>
          <w:lang w:eastAsia="zh-CN"/>
        </w:rPr>
        <w:t>：</w:t>
      </w:r>
      <w:r>
        <w:rPr>
          <w:rFonts w:hint="eastAsia" w:ascii="仿宋" w:hAnsi="仿宋" w:eastAsia="仿宋" w:cs="Times New Roman"/>
          <w:color w:val="000000"/>
          <w:sz w:val="32"/>
          <w:szCs w:val="32"/>
        </w:rPr>
        <w:t xml:space="preserve"> 支出决算为</w:t>
      </w:r>
      <w:r>
        <w:rPr>
          <w:rFonts w:hint="eastAsia" w:ascii="仿宋" w:hAnsi="仿宋" w:eastAsia="仿宋" w:cs="Times New Roman"/>
          <w:color w:val="000000"/>
          <w:sz w:val="32"/>
          <w:szCs w:val="32"/>
          <w:lang w:val="en-US" w:eastAsia="zh-CN"/>
        </w:rPr>
        <w:t>275.69</w:t>
      </w:r>
      <w:r>
        <w:rPr>
          <w:rFonts w:hint="eastAsia" w:ascii="仿宋" w:hAnsi="仿宋" w:eastAsia="仿宋" w:cs="Times New Roman"/>
          <w:color w:val="000000"/>
          <w:sz w:val="32"/>
          <w:szCs w:val="32"/>
        </w:rPr>
        <w:t>万元，完成预算</w:t>
      </w:r>
      <w:r>
        <w:rPr>
          <w:rFonts w:hint="eastAsia" w:ascii="仿宋" w:hAnsi="仿宋" w:eastAsia="仿宋" w:cs="Times New Roman"/>
          <w:color w:val="000000"/>
          <w:sz w:val="32"/>
          <w:szCs w:val="32"/>
          <w:lang w:val="en-US" w:eastAsia="zh-CN"/>
        </w:rPr>
        <w:t>1297.36%</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决算数大于预算数是因为部分初中教育的支出预算到小学教育支出。</w:t>
      </w:r>
    </w:p>
    <w:p>
      <w:pPr>
        <w:pageBreakBefore w:val="0"/>
        <w:widowControl w:val="0"/>
        <w:kinsoku/>
        <w:wordWrap/>
        <w:overflowPunct/>
        <w:topLinePunct w:val="0"/>
        <w:bidi w:val="0"/>
        <w:adjustRightInd w:val="0"/>
        <w:snapToGrid w:val="0"/>
        <w:spacing w:line="480" w:lineRule="exact"/>
        <w:ind w:right="0" w:firstLine="643" w:firstLineChars="200"/>
        <w:textAlignment w:val="auto"/>
        <w:outlineLvl w:val="1"/>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4.社会保障和就业（类）行政事业单位养老（款）机关事业单位基本养老保险缴费（项）</w:t>
      </w:r>
      <w:r>
        <w:rPr>
          <w:rFonts w:hint="eastAsia" w:ascii="仿宋" w:hAnsi="仿宋" w:eastAsia="仿宋" w:cs="Times New Roman"/>
          <w:b/>
          <w:bCs/>
          <w:color w:val="000000"/>
          <w:sz w:val="32"/>
          <w:szCs w:val="32"/>
          <w:lang w:eastAsia="zh-CN"/>
        </w:rPr>
        <w:t>：</w:t>
      </w:r>
      <w:r>
        <w:rPr>
          <w:rFonts w:hint="eastAsia" w:ascii="仿宋" w:hAnsi="仿宋" w:eastAsia="仿宋" w:cs="Times New Roman"/>
          <w:color w:val="000000"/>
          <w:sz w:val="32"/>
          <w:szCs w:val="32"/>
        </w:rPr>
        <w:t xml:space="preserve"> 支出决算为</w:t>
      </w:r>
      <w:r>
        <w:rPr>
          <w:rFonts w:hint="eastAsia" w:ascii="仿宋" w:hAnsi="仿宋" w:eastAsia="仿宋"/>
          <w:sz w:val="32"/>
          <w:szCs w:val="32"/>
        </w:rPr>
        <w:t>63.89</w:t>
      </w:r>
      <w:r>
        <w:rPr>
          <w:rFonts w:hint="eastAsia" w:ascii="仿宋" w:hAnsi="仿宋" w:eastAsia="仿宋" w:cs="Times New Roman"/>
          <w:color w:val="000000"/>
          <w:sz w:val="32"/>
          <w:szCs w:val="32"/>
        </w:rPr>
        <w:t>万元，完成预算</w:t>
      </w:r>
      <w:r>
        <w:rPr>
          <w:rFonts w:hint="eastAsia" w:ascii="仿宋" w:hAnsi="仿宋" w:eastAsia="仿宋" w:cs="Times New Roman"/>
          <w:color w:val="000000"/>
          <w:sz w:val="32"/>
          <w:szCs w:val="32"/>
          <w:lang w:val="en-US" w:eastAsia="zh-CN"/>
        </w:rPr>
        <w:t>100%</w:t>
      </w:r>
      <w:r>
        <w:rPr>
          <w:rFonts w:hint="eastAsia" w:ascii="仿宋" w:hAnsi="仿宋" w:eastAsia="仿宋" w:cs="Times New Roman"/>
          <w:color w:val="000000"/>
          <w:sz w:val="32"/>
          <w:szCs w:val="32"/>
        </w:rPr>
        <w:t>。</w:t>
      </w:r>
    </w:p>
    <w:p>
      <w:pPr>
        <w:pageBreakBefore w:val="0"/>
        <w:widowControl w:val="0"/>
        <w:kinsoku/>
        <w:wordWrap/>
        <w:overflowPunct/>
        <w:topLinePunct w:val="0"/>
        <w:bidi w:val="0"/>
        <w:adjustRightInd w:val="0"/>
        <w:snapToGrid w:val="0"/>
        <w:spacing w:line="480" w:lineRule="exact"/>
        <w:ind w:right="0" w:firstLine="643" w:firstLineChars="200"/>
        <w:textAlignment w:val="auto"/>
        <w:outlineLvl w:val="1"/>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5.卫生健康（类）行政事业单位医疗（款） 事业单位医疗（项）</w:t>
      </w:r>
      <w:r>
        <w:rPr>
          <w:rFonts w:hint="eastAsia" w:ascii="仿宋" w:hAnsi="仿宋" w:eastAsia="仿宋" w:cs="Times New Roman"/>
          <w:b/>
          <w:bCs/>
          <w:color w:val="000000"/>
          <w:sz w:val="32"/>
          <w:szCs w:val="32"/>
          <w:lang w:eastAsia="zh-CN"/>
        </w:rPr>
        <w:t>：</w:t>
      </w:r>
      <w:r>
        <w:rPr>
          <w:rFonts w:hint="eastAsia" w:ascii="仿宋" w:hAnsi="仿宋" w:eastAsia="仿宋" w:cs="Times New Roman"/>
          <w:color w:val="000000"/>
          <w:sz w:val="32"/>
          <w:szCs w:val="32"/>
        </w:rPr>
        <w:t>支出决算为</w:t>
      </w:r>
      <w:r>
        <w:rPr>
          <w:rFonts w:hint="eastAsia" w:ascii="仿宋" w:hAnsi="仿宋" w:eastAsia="仿宋"/>
          <w:sz w:val="32"/>
          <w:szCs w:val="32"/>
        </w:rPr>
        <w:t>31.94</w:t>
      </w:r>
      <w:r>
        <w:rPr>
          <w:rFonts w:hint="eastAsia" w:ascii="仿宋" w:hAnsi="仿宋" w:eastAsia="仿宋" w:cs="Times New Roman"/>
          <w:color w:val="000000"/>
          <w:sz w:val="32"/>
          <w:szCs w:val="32"/>
        </w:rPr>
        <w:t>万元，完成预算</w:t>
      </w:r>
      <w:r>
        <w:rPr>
          <w:rFonts w:hint="eastAsia" w:ascii="仿宋" w:hAnsi="仿宋" w:eastAsia="仿宋" w:cs="Times New Roman"/>
          <w:color w:val="000000"/>
          <w:sz w:val="32"/>
          <w:szCs w:val="32"/>
          <w:lang w:val="en-US" w:eastAsia="zh-CN"/>
        </w:rPr>
        <w:t>100%</w:t>
      </w:r>
      <w:r>
        <w:rPr>
          <w:rFonts w:hint="eastAsia" w:ascii="仿宋" w:hAnsi="仿宋" w:eastAsia="仿宋" w:cs="Times New Roman"/>
          <w:color w:val="000000"/>
          <w:sz w:val="32"/>
          <w:szCs w:val="32"/>
        </w:rPr>
        <w:t>。</w:t>
      </w:r>
    </w:p>
    <w:p>
      <w:pPr>
        <w:pageBreakBefore w:val="0"/>
        <w:tabs>
          <w:tab w:val="right" w:pos="8306"/>
        </w:tabs>
        <w:kinsoku/>
        <w:wordWrap/>
        <w:overflowPunct/>
        <w:topLinePunct w:val="0"/>
        <w:bidi w:val="0"/>
        <w:snapToGrid/>
        <w:spacing w:line="240" w:lineRule="auto"/>
        <w:ind w:left="0" w:right="0" w:firstLine="643" w:firstLineChars="200"/>
        <w:textAlignment w:val="auto"/>
        <w:outlineLvl w:val="1"/>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6.住房保障（类）住房改革（款）住房公积金（项）</w:t>
      </w:r>
      <w:r>
        <w:rPr>
          <w:rFonts w:hint="eastAsia" w:ascii="仿宋" w:hAnsi="仿宋" w:eastAsia="仿宋" w:cs="Times New Roman"/>
          <w:b/>
          <w:bCs/>
          <w:color w:val="000000"/>
          <w:sz w:val="32"/>
          <w:szCs w:val="32"/>
          <w:lang w:eastAsia="zh-CN"/>
        </w:rPr>
        <w:t>：</w:t>
      </w:r>
      <w:r>
        <w:rPr>
          <w:rFonts w:hint="eastAsia" w:ascii="仿宋" w:hAnsi="仿宋" w:eastAsia="仿宋" w:cs="Times New Roman"/>
          <w:color w:val="000000"/>
          <w:sz w:val="32"/>
          <w:szCs w:val="32"/>
        </w:rPr>
        <w:t>支出决算为</w:t>
      </w:r>
      <w:r>
        <w:rPr>
          <w:rFonts w:hint="eastAsia" w:ascii="仿宋" w:hAnsi="仿宋" w:eastAsia="仿宋"/>
          <w:sz w:val="32"/>
          <w:szCs w:val="32"/>
        </w:rPr>
        <w:t>47.91</w:t>
      </w:r>
      <w:r>
        <w:rPr>
          <w:rFonts w:hint="eastAsia" w:ascii="仿宋" w:hAnsi="仿宋" w:eastAsia="仿宋" w:cs="Times New Roman"/>
          <w:color w:val="000000"/>
          <w:sz w:val="32"/>
          <w:szCs w:val="32"/>
        </w:rPr>
        <w:t>万元，完成预算</w:t>
      </w:r>
      <w:r>
        <w:rPr>
          <w:rFonts w:hint="eastAsia" w:ascii="仿宋" w:hAnsi="仿宋" w:eastAsia="仿宋" w:cs="Times New Roman"/>
          <w:color w:val="000000"/>
          <w:sz w:val="32"/>
          <w:szCs w:val="32"/>
          <w:lang w:val="en-US" w:eastAsia="zh-CN"/>
        </w:rPr>
        <w:t>100%</w:t>
      </w:r>
      <w:r>
        <w:rPr>
          <w:rFonts w:hint="eastAsia" w:ascii="仿宋" w:hAnsi="仿宋" w:eastAsia="仿宋" w:cs="Times New Roman"/>
          <w:color w:val="000000"/>
          <w:sz w:val="32"/>
          <w:szCs w:val="32"/>
        </w:rPr>
        <w:t>。</w:t>
      </w:r>
    </w:p>
    <w:p>
      <w:pPr>
        <w:pageBreakBefore w:val="0"/>
        <w:tabs>
          <w:tab w:val="right" w:pos="8306"/>
        </w:tabs>
        <w:kinsoku/>
        <w:wordWrap/>
        <w:overflowPunct/>
        <w:topLinePunct w:val="0"/>
        <w:bidi w:val="0"/>
        <w:snapToGrid/>
        <w:spacing w:line="240" w:lineRule="auto"/>
        <w:ind w:left="0" w:right="0" w:firstLine="640" w:firstLineChars="200"/>
        <w:textAlignment w:val="auto"/>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pageBreakBefore w:val="0"/>
        <w:kinsoku/>
        <w:wordWrap/>
        <w:overflowPunct/>
        <w:topLinePunct w:val="0"/>
        <w:bidi w:val="0"/>
        <w:snapToGrid/>
        <w:spacing w:line="240" w:lineRule="auto"/>
        <w:ind w:left="0" w:right="0"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22年一般公共预算财政拨款基本支出865.42万元，其中：</w:t>
      </w:r>
    </w:p>
    <w:p>
      <w:pPr>
        <w:pageBreakBefore w:val="0"/>
        <w:kinsoku/>
        <w:wordWrap/>
        <w:overflowPunct/>
        <w:topLinePunct w:val="0"/>
        <w:bidi w:val="0"/>
        <w:snapToGrid/>
        <w:spacing w:line="240" w:lineRule="auto"/>
        <w:ind w:left="0" w:right="0" w:firstLine="640" w:firstLineChars="200"/>
        <w:textAlignment w:val="auto"/>
        <w:rPr>
          <w:rFonts w:ascii="仿宋" w:hAnsi="仿宋" w:eastAsia="仿宋"/>
          <w:sz w:val="32"/>
          <w:szCs w:val="32"/>
        </w:rPr>
      </w:pPr>
      <w:r>
        <w:rPr>
          <w:rFonts w:hint="eastAsia" w:ascii="仿宋" w:hAnsi="仿宋" w:eastAsia="仿宋"/>
          <w:sz w:val="32"/>
          <w:szCs w:val="32"/>
        </w:rPr>
        <w:t>人员经费798.36万元，主要包括：基本工资、津贴补贴、绩效工资、机关事业单位基本养老保险缴费、其他社会保障缴费、抚恤金、生活补助、住房公积金、其他对个人和家庭的补助支出等。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67.06万元，主要包括：办公费、印刷费、咨询费、水费、电费、邮电费、物业管理费、差旅费、维修（护）费、培训费、公务接待费、劳务费、工会经费、福利费、其他交通费、其他商品和服务支出、办公设备购置、信息网络及软件购置更新等。</w:t>
      </w:r>
    </w:p>
    <w:p>
      <w:pPr>
        <w:pageBreakBefore w:val="0"/>
        <w:kinsoku/>
        <w:wordWrap/>
        <w:overflowPunct/>
        <w:topLinePunct w:val="0"/>
        <w:bidi w:val="0"/>
        <w:snapToGrid/>
        <w:spacing w:line="240" w:lineRule="auto"/>
        <w:ind w:left="0" w:right="0" w:firstLine="640" w:firstLineChars="200"/>
        <w:textAlignment w:val="auto"/>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pageBreakBefore w:val="0"/>
        <w:kinsoku/>
        <w:wordWrap/>
        <w:overflowPunct/>
        <w:topLinePunct w:val="0"/>
        <w:bidi w:val="0"/>
        <w:snapToGrid/>
        <w:spacing w:line="240" w:lineRule="auto"/>
        <w:ind w:left="0" w:right="0" w:firstLine="643" w:firstLineChars="200"/>
        <w:textAlignment w:val="auto"/>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pageBreakBefore w:val="0"/>
        <w:kinsoku/>
        <w:wordWrap/>
        <w:overflowPunct/>
        <w:topLinePunct w:val="0"/>
        <w:bidi w:val="0"/>
        <w:snapToGrid/>
        <w:spacing w:line="240" w:lineRule="auto"/>
        <w:ind w:left="0" w:right="0"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22年“三公”经费财政拨款支出决算为0.38万元，完成预算</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与上年持平</w:t>
      </w:r>
      <w:r>
        <w:rPr>
          <w:rFonts w:hint="eastAsia" w:ascii="仿宋" w:hAnsi="仿宋" w:eastAsia="仿宋"/>
          <w:sz w:val="32"/>
          <w:szCs w:val="32"/>
        </w:rPr>
        <w:t>。决算数与预算数持平。</w:t>
      </w:r>
    </w:p>
    <w:p>
      <w:pPr>
        <w:pageBreakBefore w:val="0"/>
        <w:kinsoku/>
        <w:wordWrap/>
        <w:overflowPunct/>
        <w:topLinePunct w:val="0"/>
        <w:bidi w:val="0"/>
        <w:snapToGrid/>
        <w:spacing w:line="240" w:lineRule="auto"/>
        <w:ind w:left="0" w:right="0" w:firstLine="643" w:firstLineChars="200"/>
        <w:textAlignment w:val="auto"/>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pageBreakBefore w:val="0"/>
        <w:kinsoku/>
        <w:wordWrap/>
        <w:overflowPunct/>
        <w:topLinePunct w:val="0"/>
        <w:bidi w:val="0"/>
        <w:snapToGrid/>
        <w:spacing w:line="240" w:lineRule="auto"/>
        <w:ind w:left="0" w:right="0" w:firstLine="640" w:firstLineChars="20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。具体情况如下：</w:t>
      </w:r>
    </w:p>
    <w:p>
      <w:pPr>
        <w:pStyle w:val="2"/>
        <w:jc w:val="center"/>
      </w:pPr>
      <w:r>
        <w:drawing>
          <wp:inline distT="0" distB="0" distL="114300" distR="114300">
            <wp:extent cx="4286250" cy="2200910"/>
            <wp:effectExtent l="4445" t="4445" r="14605" b="2349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napToGrid/>
        <w:spacing w:line="240" w:lineRule="auto"/>
        <w:ind w:right="0"/>
        <w:jc w:val="center"/>
        <w:textAlignment w:val="auto"/>
        <w:rPr>
          <w:rFonts w:ascii="仿宋" w:hAnsi="仿宋" w:eastAsia="仿宋"/>
          <w:sz w:val="32"/>
          <w:szCs w:val="32"/>
        </w:rPr>
      </w:pPr>
      <w:r>
        <w:rPr>
          <w:rFonts w:hint="eastAsia" w:ascii="仿宋" w:hAnsi="仿宋" w:eastAsia="仿宋"/>
          <w:sz w:val="32"/>
          <w:szCs w:val="32"/>
        </w:rPr>
        <w:t>图7：“三公”经费财政拨款支出结构</w:t>
      </w:r>
    </w:p>
    <w:p>
      <w:pPr>
        <w:pageBreakBefore w:val="0"/>
        <w:kinsoku/>
        <w:wordWrap/>
        <w:overflowPunct/>
        <w:topLinePunct w:val="0"/>
        <w:bidi w:val="0"/>
        <w:snapToGrid/>
        <w:spacing w:line="240" w:lineRule="auto"/>
        <w:ind w:left="0" w:right="0" w:firstLine="643" w:firstLineChars="200"/>
        <w:textAlignment w:val="auto"/>
        <w:rPr>
          <w:rFonts w:hint="eastAsia" w:ascii="仿宋_GB2312" w:eastAsia="仿宋_GB2312"/>
          <w:b/>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0.00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Fonts w:hint="eastAsia" w:ascii="仿宋_GB2312" w:eastAsia="仿宋_GB2312"/>
          <w:sz w:val="32"/>
          <w:szCs w:val="32"/>
          <w:lang w:val="en-US" w:eastAsia="zh-CN"/>
        </w:rPr>
        <w:t>0.00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p>
    <w:p>
      <w:pPr>
        <w:pageBreakBefore w:val="0"/>
        <w:kinsoku/>
        <w:wordWrap/>
        <w:overflowPunct/>
        <w:topLinePunct w:val="0"/>
        <w:bidi w:val="0"/>
        <w:snapToGrid/>
        <w:spacing w:line="240" w:lineRule="auto"/>
        <w:ind w:left="0" w:right="0" w:firstLine="640" w:firstLineChars="200"/>
        <w:textAlignment w:val="auto"/>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eastAsia="zh-CN"/>
        </w:rPr>
        <w:t>无支出</w:t>
      </w:r>
      <w:r>
        <w:rPr>
          <w:rFonts w:hint="eastAsia" w:ascii="仿宋_GB2312" w:eastAsia="仿宋_GB2312"/>
          <w:sz w:val="32"/>
          <w:szCs w:val="32"/>
        </w:rPr>
        <w:t>。</w:t>
      </w:r>
    </w:p>
    <w:p>
      <w:pPr>
        <w:pageBreakBefore w:val="0"/>
        <w:kinsoku/>
        <w:wordWrap/>
        <w:overflowPunct/>
        <w:topLinePunct w:val="0"/>
        <w:bidi w:val="0"/>
        <w:snapToGrid/>
        <w:spacing w:line="240" w:lineRule="auto"/>
        <w:ind w:left="0" w:right="0" w:firstLine="643" w:firstLineChars="20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0.00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Fonts w:hint="eastAsia" w:ascii="仿宋_GB2312" w:eastAsia="仿宋_GB2312"/>
          <w:sz w:val="32"/>
          <w:szCs w:val="32"/>
          <w:lang w:val="en-US" w:eastAsia="zh-CN"/>
        </w:rPr>
        <w:t>0.00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p>
    <w:p>
      <w:pPr>
        <w:pageBreakBefore w:val="0"/>
        <w:kinsoku/>
        <w:wordWrap/>
        <w:overflowPunct/>
        <w:topLinePunct w:val="0"/>
        <w:bidi w:val="0"/>
        <w:snapToGrid/>
        <w:spacing w:line="240" w:lineRule="auto"/>
        <w:ind w:left="0" w:right="0" w:firstLine="640" w:firstLineChars="200"/>
        <w:textAlignment w:val="auto"/>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0.00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0.00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0.00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0.00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pageBreakBefore w:val="0"/>
        <w:kinsoku/>
        <w:wordWrap/>
        <w:overflowPunct/>
        <w:topLinePunct w:val="0"/>
        <w:bidi w:val="0"/>
        <w:snapToGrid/>
        <w:spacing w:line="240" w:lineRule="auto"/>
        <w:ind w:left="0" w:right="0" w:firstLine="643" w:firstLineChars="200"/>
        <w:textAlignment w:val="auto"/>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0.00</w:t>
      </w:r>
      <w:r>
        <w:rPr>
          <w:rFonts w:hint="eastAsia" w:ascii="仿宋_GB2312" w:eastAsia="仿宋_GB2312"/>
          <w:sz w:val="32"/>
          <w:szCs w:val="32"/>
        </w:rPr>
        <w:t>万元。</w:t>
      </w:r>
    </w:p>
    <w:p>
      <w:pPr>
        <w:pageBreakBefore w:val="0"/>
        <w:kinsoku/>
        <w:wordWrap/>
        <w:overflowPunct/>
        <w:topLinePunct w:val="0"/>
        <w:bidi w:val="0"/>
        <w:snapToGrid/>
        <w:spacing w:line="240" w:lineRule="auto"/>
        <w:ind w:left="0" w:right="0" w:firstLine="643" w:firstLineChars="20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公务接待费支出决算比2021年减少0.1万元，下降21.05%。主要原因是单位严格管理，减少公务接待支出。其中：</w:t>
      </w:r>
    </w:p>
    <w:p>
      <w:pPr>
        <w:pageBreakBefore w:val="0"/>
        <w:kinsoku/>
        <w:wordWrap/>
        <w:overflowPunct/>
        <w:topLinePunct w:val="0"/>
        <w:bidi w:val="0"/>
        <w:snapToGrid/>
        <w:spacing w:line="240" w:lineRule="auto"/>
        <w:ind w:left="0" w:right="0" w:firstLine="643" w:firstLineChars="20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sz w:val="32"/>
          <w:szCs w:val="32"/>
          <w:lang w:val="en-US" w:eastAsia="zh-CN"/>
        </w:rPr>
        <w:t>0.38</w:t>
      </w:r>
      <w:r>
        <w:rPr>
          <w:rFonts w:hint="eastAsia" w:ascii="仿宋_GB2312" w:eastAsia="仿宋_GB2312"/>
          <w:sz w:val="32"/>
          <w:szCs w:val="32"/>
        </w:rPr>
        <w:t>万元，主要用于开展业务活动开支的交通费、住宿费、用餐费等。国内公务接待</w:t>
      </w:r>
      <w:r>
        <w:rPr>
          <w:rFonts w:hint="eastAsia" w:ascii="仿宋_GB2312" w:eastAsia="仿宋_GB2312"/>
          <w:sz w:val="32"/>
          <w:szCs w:val="32"/>
          <w:lang w:val="en-US" w:eastAsia="zh-CN"/>
        </w:rPr>
        <w:t>12</w:t>
      </w:r>
      <w:r>
        <w:rPr>
          <w:rFonts w:hint="eastAsia" w:ascii="仿宋_GB2312" w:eastAsia="仿宋_GB2312"/>
          <w:sz w:val="32"/>
          <w:szCs w:val="32"/>
        </w:rPr>
        <w:t>批次，</w:t>
      </w:r>
      <w:r>
        <w:rPr>
          <w:rFonts w:hint="eastAsia" w:ascii="仿宋_GB2312" w:eastAsia="仿宋_GB2312"/>
          <w:sz w:val="32"/>
          <w:szCs w:val="32"/>
          <w:lang w:val="en-US" w:eastAsia="zh-CN"/>
        </w:rPr>
        <w:t>121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万元，具体内容包括：校际间业务交流12批次，1</w:t>
      </w:r>
      <w:r>
        <w:rPr>
          <w:rFonts w:hint="eastAsia" w:ascii="仿宋_GB2312" w:eastAsia="仿宋_GB2312"/>
          <w:sz w:val="32"/>
          <w:szCs w:val="32"/>
          <w:lang w:val="en-US" w:eastAsia="zh-CN"/>
        </w:rPr>
        <w:t>21</w:t>
      </w:r>
      <w:r>
        <w:rPr>
          <w:rFonts w:hint="eastAsia" w:ascii="仿宋_GB2312" w:eastAsia="仿宋_GB2312"/>
          <w:sz w:val="32"/>
          <w:szCs w:val="32"/>
        </w:rPr>
        <w:t>人次餐饮费共计金额3800.00元。</w:t>
      </w:r>
    </w:p>
    <w:p>
      <w:pPr>
        <w:pageBreakBefore w:val="0"/>
        <w:kinsoku/>
        <w:wordWrap/>
        <w:overflowPunct/>
        <w:topLinePunct w:val="0"/>
        <w:bidi w:val="0"/>
        <w:snapToGrid/>
        <w:spacing w:line="240" w:lineRule="auto"/>
        <w:ind w:left="0" w:right="0" w:firstLine="643" w:firstLineChars="200"/>
        <w:textAlignment w:val="auto"/>
        <w:rPr>
          <w:rFonts w:ascii="仿宋_GB2312" w:eastAsia="仿宋_GB2312"/>
          <w:sz w:val="32"/>
          <w:szCs w:val="32"/>
        </w:rPr>
      </w:pPr>
      <w:r>
        <w:rPr>
          <w:rFonts w:hint="eastAsia" w:ascii="仿宋" w:hAnsi="仿宋" w:eastAsia="仿宋"/>
          <w:b/>
          <w:sz w:val="32"/>
          <w:szCs w:val="32"/>
        </w:rPr>
        <w:t>外事接待支出</w:t>
      </w:r>
      <w:r>
        <w:rPr>
          <w:rStyle w:val="14"/>
          <w:rFonts w:hint="eastAsia" w:ascii="仿宋" w:hAnsi="仿宋" w:eastAsia="仿宋"/>
          <w:b w:val="0"/>
          <w:bCs/>
          <w:sz w:val="32"/>
          <w:szCs w:val="32"/>
          <w:lang w:val="en-US" w:eastAsia="zh-CN"/>
        </w:rPr>
        <w:t>0.00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Style w:val="14"/>
          <w:rFonts w:hint="eastAsia" w:ascii="仿宋" w:hAnsi="仿宋" w:eastAsia="仿宋"/>
          <w:b w:val="0"/>
          <w:bCs/>
          <w:sz w:val="32"/>
          <w:szCs w:val="32"/>
          <w:lang w:val="en-US" w:eastAsia="zh-CN"/>
        </w:rPr>
        <w:t>0.00</w:t>
      </w:r>
      <w:r>
        <w:rPr>
          <w:rFonts w:hint="eastAsia" w:ascii="仿宋_GB2312" w:eastAsia="仿宋_GB2312"/>
          <w:sz w:val="32"/>
          <w:szCs w:val="32"/>
        </w:rPr>
        <w:t>万元。</w:t>
      </w:r>
    </w:p>
    <w:p>
      <w:pPr>
        <w:pageBreakBefore w:val="0"/>
        <w:kinsoku/>
        <w:wordWrap/>
        <w:overflowPunct/>
        <w:topLinePunct w:val="0"/>
        <w:bidi w:val="0"/>
        <w:snapToGrid/>
        <w:spacing w:line="240" w:lineRule="auto"/>
        <w:ind w:left="0" w:right="0" w:firstLine="640" w:firstLineChars="200"/>
        <w:textAlignment w:val="auto"/>
        <w:outlineLvl w:val="1"/>
        <w:rPr>
          <w:rStyle w:val="25"/>
          <w:rFonts w:ascii="黑体" w:hAnsi="黑体" w:eastAsia="黑体"/>
        </w:rPr>
      </w:pPr>
      <w:bookmarkStart w:id="40" w:name="_Toc15377218"/>
      <w:bookmarkStart w:id="41" w:name="_Toc15396610"/>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pageBreakBefore w:val="0"/>
        <w:kinsoku/>
        <w:wordWrap/>
        <w:overflowPunct/>
        <w:topLinePunct w:val="0"/>
        <w:bidi w:val="0"/>
        <w:snapToGrid/>
        <w:spacing w:line="240" w:lineRule="auto"/>
        <w:ind w:left="0" w:right="0"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1.00</w:t>
      </w:r>
      <w:r>
        <w:rPr>
          <w:rFonts w:hint="eastAsia" w:ascii="仿宋_GB2312" w:eastAsia="仿宋_GB2312"/>
          <w:sz w:val="32"/>
          <w:szCs w:val="32"/>
        </w:rPr>
        <w:t>万元。</w:t>
      </w:r>
    </w:p>
    <w:p>
      <w:pPr>
        <w:pageBreakBefore w:val="0"/>
        <w:kinsoku/>
        <w:wordWrap/>
        <w:overflowPunct/>
        <w:topLinePunct w:val="0"/>
        <w:bidi w:val="0"/>
        <w:snapToGrid/>
        <w:spacing w:line="240" w:lineRule="auto"/>
        <w:ind w:left="0" w:right="0" w:firstLine="640" w:firstLineChars="200"/>
        <w:textAlignment w:val="auto"/>
        <w:rPr>
          <w:rFonts w:ascii="仿宋_GB2312" w:eastAsia="仿宋_GB2312"/>
          <w:sz w:val="32"/>
          <w:szCs w:val="32"/>
        </w:rPr>
      </w:pPr>
    </w:p>
    <w:p>
      <w:pPr>
        <w:pageBreakBefore w:val="0"/>
        <w:numPr>
          <w:ilvl w:val="0"/>
          <w:numId w:val="1"/>
        </w:numPr>
        <w:kinsoku/>
        <w:wordWrap/>
        <w:overflowPunct/>
        <w:topLinePunct w:val="0"/>
        <w:bidi w:val="0"/>
        <w:snapToGrid/>
        <w:spacing w:line="240" w:lineRule="auto"/>
        <w:ind w:left="0" w:right="0" w:firstLine="640" w:firstLineChars="200"/>
        <w:textAlignment w:val="auto"/>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pageBreakBefore w:val="0"/>
        <w:kinsoku/>
        <w:wordWrap/>
        <w:overflowPunct/>
        <w:topLinePunct w:val="0"/>
        <w:bidi w:val="0"/>
        <w:snapToGrid/>
        <w:spacing w:line="240" w:lineRule="auto"/>
        <w:ind w:left="0" w:right="0"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0.00</w:t>
      </w:r>
      <w:r>
        <w:rPr>
          <w:rFonts w:hint="eastAsia" w:ascii="仿宋_GB2312" w:eastAsia="仿宋_GB2312"/>
          <w:sz w:val="32"/>
          <w:szCs w:val="32"/>
        </w:rPr>
        <w:t>万元。</w:t>
      </w:r>
    </w:p>
    <w:p>
      <w:pPr>
        <w:pageBreakBefore w:val="0"/>
        <w:kinsoku/>
        <w:wordWrap/>
        <w:overflowPunct/>
        <w:topLinePunct w:val="0"/>
        <w:bidi w:val="0"/>
        <w:snapToGrid/>
        <w:spacing w:line="240" w:lineRule="auto"/>
        <w:ind w:left="0" w:right="0" w:firstLine="880" w:firstLineChars="200"/>
        <w:jc w:val="center"/>
        <w:textAlignment w:val="auto"/>
        <w:rPr>
          <w:rFonts w:ascii="方正小标宋简体" w:hAnsi="方正小标宋简体" w:eastAsia="方正小标宋简体" w:cs="方正小标宋简体"/>
          <w:sz w:val="44"/>
          <w:szCs w:val="44"/>
        </w:rPr>
      </w:pPr>
    </w:p>
    <w:p>
      <w:pPr>
        <w:pageBreakBefore w:val="0"/>
        <w:numPr>
          <w:ilvl w:val="0"/>
          <w:numId w:val="1"/>
        </w:numPr>
        <w:kinsoku/>
        <w:wordWrap/>
        <w:overflowPunct/>
        <w:topLinePunct w:val="0"/>
        <w:bidi w:val="0"/>
        <w:snapToGrid/>
        <w:spacing w:line="240" w:lineRule="auto"/>
        <w:ind w:left="0" w:right="0" w:firstLine="640" w:firstLineChars="200"/>
        <w:textAlignment w:val="auto"/>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pageBreakBefore w:val="0"/>
        <w:kinsoku/>
        <w:wordWrap/>
        <w:overflowPunct/>
        <w:topLinePunct w:val="0"/>
        <w:bidi w:val="0"/>
        <w:snapToGrid/>
        <w:spacing w:line="240" w:lineRule="auto"/>
        <w:ind w:left="0" w:right="0" w:firstLine="643" w:firstLineChars="200"/>
        <w:textAlignment w:val="auto"/>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pageBreakBefore w:val="0"/>
        <w:kinsoku/>
        <w:wordWrap/>
        <w:overflowPunct/>
        <w:topLinePunct w:val="0"/>
        <w:bidi w:val="0"/>
        <w:snapToGrid/>
        <w:spacing w:line="240" w:lineRule="auto"/>
        <w:ind w:left="0" w:right="0" w:firstLine="640" w:firstLineChars="200"/>
        <w:textAlignment w:val="auto"/>
        <w:rPr>
          <w:rFonts w:ascii="仿宋" w:hAnsi="仿宋" w:eastAsia="仿宋"/>
          <w:b/>
          <w:sz w:val="32"/>
          <w:szCs w:val="32"/>
        </w:rPr>
      </w:pPr>
      <w:r>
        <w:rPr>
          <w:rFonts w:hint="eastAsia" w:ascii="仿宋_GB2312" w:eastAsia="仿宋_GB2312"/>
          <w:sz w:val="32"/>
          <w:szCs w:val="32"/>
        </w:rPr>
        <w:t>2022年，剑阁县盐店小学校机关运行经费支出0万元，与2021年决算数持平。</w:t>
      </w:r>
    </w:p>
    <w:p>
      <w:pPr>
        <w:pageBreakBefore w:val="0"/>
        <w:kinsoku/>
        <w:wordWrap/>
        <w:overflowPunct/>
        <w:topLinePunct w:val="0"/>
        <w:autoSpaceDE w:val="0"/>
        <w:autoSpaceDN w:val="0"/>
        <w:bidi w:val="0"/>
        <w:adjustRightInd w:val="0"/>
        <w:snapToGrid/>
        <w:spacing w:line="240" w:lineRule="auto"/>
        <w:ind w:left="0" w:right="0" w:firstLine="643" w:firstLineChars="200"/>
        <w:jc w:val="left"/>
        <w:textAlignment w:val="auto"/>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pageBreakBefore w:val="0"/>
        <w:kinsoku/>
        <w:wordWrap/>
        <w:overflowPunct/>
        <w:topLinePunct w:val="0"/>
        <w:bidi w:val="0"/>
        <w:snapToGrid/>
        <w:spacing w:line="240" w:lineRule="auto"/>
        <w:ind w:left="0" w:right="0"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剑阁县姚家小学校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0.00</w:t>
      </w:r>
      <w:r>
        <w:rPr>
          <w:rFonts w:hint="eastAsia" w:ascii="仿宋_GB2312" w:eastAsia="仿宋_GB2312"/>
          <w:sz w:val="32"/>
          <w:szCs w:val="32"/>
        </w:rPr>
        <w:t>万元，其中：政府采购货物支出</w:t>
      </w:r>
      <w:r>
        <w:rPr>
          <w:rFonts w:ascii="仿宋_GB2312" w:eastAsia="仿宋_GB2312"/>
          <w:sz w:val="32"/>
          <w:szCs w:val="32"/>
        </w:rPr>
        <w:t>**</w:t>
      </w:r>
      <w:r>
        <w:rPr>
          <w:rFonts w:hint="eastAsia" w:ascii="仿宋_GB2312" w:eastAsia="仿宋_GB2312"/>
          <w:sz w:val="32"/>
          <w:szCs w:val="32"/>
        </w:rPr>
        <w:t>万元、政府采购工程支出</w:t>
      </w:r>
      <w:r>
        <w:rPr>
          <w:rFonts w:ascii="仿宋_GB2312" w:eastAsia="仿宋_GB2312"/>
          <w:sz w:val="32"/>
          <w:szCs w:val="32"/>
        </w:rPr>
        <w:t>**</w:t>
      </w:r>
      <w:r>
        <w:rPr>
          <w:rFonts w:hint="eastAsia" w:ascii="仿宋_GB2312" w:eastAsia="仿宋_GB2312"/>
          <w:sz w:val="32"/>
          <w:szCs w:val="32"/>
        </w:rPr>
        <w:t>万元、政府采购服务支出</w:t>
      </w:r>
      <w:r>
        <w:rPr>
          <w:rFonts w:ascii="仿宋_GB2312" w:eastAsia="仿宋_GB2312"/>
          <w:sz w:val="32"/>
          <w:szCs w:val="32"/>
        </w:rPr>
        <w:t>**</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_GB2312" w:eastAsia="仿宋_GB2312"/>
          <w:sz w:val="32"/>
          <w:szCs w:val="32"/>
        </w:rPr>
        <w:t>**</w:t>
      </w:r>
      <w:r>
        <w:rPr>
          <w:rFonts w:hint="eastAsia" w:ascii="仿宋_GB2312" w:eastAsia="仿宋_GB2312"/>
          <w:sz w:val="32"/>
          <w:szCs w:val="32"/>
        </w:rPr>
        <w:t>万元，占政府采购支出总额的</w:t>
      </w:r>
      <w:r>
        <w:rPr>
          <w:rFonts w:ascii="仿宋_GB2312" w:eastAsia="仿宋_GB2312"/>
          <w:sz w:val="32"/>
          <w:szCs w:val="32"/>
        </w:rPr>
        <w:t>**%</w:t>
      </w:r>
      <w:r>
        <w:rPr>
          <w:rFonts w:hint="eastAsia" w:ascii="仿宋_GB2312" w:eastAsia="仿宋_GB2312"/>
          <w:sz w:val="32"/>
          <w:szCs w:val="32"/>
        </w:rPr>
        <w:t>，其中：授予小微企业合同金额</w:t>
      </w:r>
      <w:r>
        <w:rPr>
          <w:rFonts w:ascii="仿宋_GB2312" w:eastAsia="仿宋_GB2312"/>
          <w:sz w:val="32"/>
          <w:szCs w:val="32"/>
        </w:rPr>
        <w:t>**</w:t>
      </w:r>
      <w:r>
        <w:rPr>
          <w:rFonts w:hint="eastAsia" w:ascii="仿宋_GB2312" w:eastAsia="仿宋_GB2312"/>
          <w:sz w:val="32"/>
          <w:szCs w:val="32"/>
        </w:rPr>
        <w:t>万元，占政府采购支出总额的</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autoSpaceDE w:val="0"/>
        <w:autoSpaceDN w:val="0"/>
        <w:bidi w:val="0"/>
        <w:adjustRightInd w:val="0"/>
        <w:snapToGrid/>
        <w:spacing w:line="240" w:lineRule="auto"/>
        <w:ind w:left="0" w:right="0" w:firstLine="643" w:firstLineChars="200"/>
        <w:jc w:val="left"/>
        <w:textAlignment w:val="auto"/>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pageBreakBefore w:val="0"/>
        <w:kinsoku/>
        <w:wordWrap/>
        <w:overflowPunct/>
        <w:topLinePunct w:val="0"/>
        <w:autoSpaceDE w:val="0"/>
        <w:autoSpaceDN w:val="0"/>
        <w:bidi w:val="0"/>
        <w:adjustRightInd w:val="0"/>
        <w:snapToGrid/>
        <w:spacing w:line="240" w:lineRule="auto"/>
        <w:ind w:left="0" w:right="0"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剑阁县姚家小学校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pageBreakBefore w:val="0"/>
        <w:kinsoku/>
        <w:wordWrap/>
        <w:overflowPunct/>
        <w:topLinePunct w:val="0"/>
        <w:autoSpaceDE w:val="0"/>
        <w:autoSpaceDN w:val="0"/>
        <w:bidi w:val="0"/>
        <w:adjustRightInd w:val="0"/>
        <w:snapToGrid/>
        <w:spacing w:line="240" w:lineRule="auto"/>
        <w:ind w:left="0" w:right="0"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pStyle w:val="2"/>
        <w:pageBreakBefore w:val="0"/>
        <w:kinsoku/>
        <w:wordWrap/>
        <w:overflowPunct/>
        <w:topLinePunct w:val="0"/>
        <w:bidi w:val="0"/>
        <w:snapToGrid/>
        <w:spacing w:beforeLines="0" w:line="240" w:lineRule="auto"/>
        <w:ind w:left="0" w:right="0" w:firstLine="640" w:firstLineChars="200"/>
        <w:textAlignment w:val="auto"/>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农村义务教育营养改善计划</w:t>
      </w:r>
      <w:r>
        <w:rPr>
          <w:rFonts w:hint="eastAsia" w:hAnsi="仿宋_GB2312" w:cs="仿宋_GB2312"/>
          <w:sz w:val="32"/>
          <w:szCs w:val="32"/>
        </w:rPr>
        <w:t>项目等</w:t>
      </w:r>
      <w:r>
        <w:rPr>
          <w:rFonts w:hint="eastAsia" w:hAnsi="仿宋_GB2312" w:cs="仿宋_GB2312"/>
          <w:sz w:val="32"/>
          <w:szCs w:val="32"/>
          <w:lang w:val="en-US" w:eastAsia="zh-CN"/>
        </w:rPr>
        <w:t>10</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10</w:t>
      </w:r>
      <w:r>
        <w:rPr>
          <w:rFonts w:hint="eastAsia" w:hAnsi="仿宋_GB2312" w:cs="仿宋_GB2312"/>
          <w:sz w:val="32"/>
          <w:szCs w:val="32"/>
        </w:rPr>
        <w:t>个项目开展绩效监控，组织对</w:t>
      </w:r>
      <w:r>
        <w:rPr>
          <w:rFonts w:hint="eastAsia" w:hAnsi="仿宋_GB2312" w:cs="仿宋_GB2312"/>
          <w:sz w:val="32"/>
          <w:szCs w:val="32"/>
          <w:lang w:val="en-US" w:eastAsia="zh-CN"/>
        </w:rPr>
        <w:t>10</w:t>
      </w:r>
      <w:r>
        <w:rPr>
          <w:rFonts w:hint="eastAsia" w:hAnsi="仿宋_GB2312" w:cs="仿宋_GB2312"/>
          <w:sz w:val="32"/>
          <w:szCs w:val="32"/>
        </w:rPr>
        <w:t>个项目开展绩效自评，绩效自评表详见第四部分附件。</w:t>
      </w:r>
    </w:p>
    <w:p>
      <w:pPr>
        <w:pageBreakBefore w:val="0"/>
        <w:widowControl/>
        <w:kinsoku/>
        <w:wordWrap/>
        <w:overflowPunct/>
        <w:topLinePunct w:val="0"/>
        <w:bidi w:val="0"/>
        <w:snapToGrid/>
        <w:spacing w:line="240" w:lineRule="auto"/>
        <w:ind w:left="0" w:right="0" w:firstLine="643" w:firstLineChars="200"/>
        <w:jc w:val="left"/>
        <w:textAlignment w:val="auto"/>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24"/>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3.教育（类）普通教育（款）学前教育（项）：指本单位学前教育支出。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4.教育（类）普通教育（款）小学教育（项）：指本单位小学教育支出。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5.社会保障和就业（类）行政事业单位离退休（款）机关事业单位基本养老保险缴费支出（项）：指机关事业单位实施养老保险制度由单位缴纳的基本养老保险费的支出。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医疗卫生与计划生育（类）行政事业单位医疗（款）事业单位医疗（项）：指财政部门集中安排的行政单位基本医疗保险缴费经费，未参加医疗保险的行政单位的公费医疗经费，按国家规定享受离休人员、老红军待遇人员的医疗经费。</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7.住房保障（类）住房改革支出（款）住房公积金（项）：指本单位按人力资源和社会保障部、财政部规定的基本工资和津贴补贴以及规定比例为职工缴纳的住房公积金</w:t>
      </w:r>
      <w:r>
        <w:rPr>
          <w:rFonts w:hint="eastAsia" w:ascii="仿宋_GB2312" w:eastAsia="仿宋_GB2312"/>
          <w:color w:val="auto"/>
          <w:sz w:val="32"/>
          <w:szCs w:val="32"/>
          <w:lang w:eastAsia="zh-CN"/>
        </w:rPr>
        <w:t>。</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8.基本支出：指为保障机构正常运转、完成日常工作任务而发生的人员支出和公用支出。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9.项目支出：指在基本支出之外为完成特定行政任务和事业发展目标所发生的支出。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color w:val="auto"/>
          <w:sz w:val="32"/>
          <w:szCs w:val="32"/>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sz w:val="44"/>
          <w:szCs w:val="44"/>
        </w:rPr>
      </w:pPr>
      <w:bookmarkStart w:id="51" w:name="_Toc15396614"/>
      <w:bookmarkStart w:id="52" w:name="_Toc15377226"/>
    </w:p>
    <w:p>
      <w:pPr>
        <w:spacing w:line="600" w:lineRule="exact"/>
        <w:jc w:val="center"/>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2"/>
        <w:jc w:val="center"/>
        <w:rPr>
          <w:rFonts w:hint="eastAsia" w:ascii="宋体" w:hAnsi="宋体" w:cs="宋体"/>
          <w:kern w:val="0"/>
          <w:sz w:val="32"/>
          <w:szCs w:val="32"/>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r>
        <w:rPr>
          <w:rFonts w:hint="eastAsia" w:ascii="宋体" w:hAnsi="宋体" w:cs="宋体"/>
          <w:b/>
          <w:bCs/>
          <w:i w:val="0"/>
          <w:iCs w:val="0"/>
          <w:color w:val="000000"/>
          <w:kern w:val="0"/>
          <w:sz w:val="32"/>
          <w:szCs w:val="32"/>
          <w:u w:val="none"/>
          <w:lang w:val="en-US" w:eastAsia="zh-CN" w:bidi="ar"/>
        </w:rPr>
        <w:t>（一）</w:t>
      </w:r>
    </w:p>
    <w:tbl>
      <w:tblPr>
        <w:tblStyle w:val="12"/>
        <w:tblW w:w="13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944"/>
        <w:gridCol w:w="943"/>
        <w:gridCol w:w="944"/>
        <w:gridCol w:w="944"/>
        <w:gridCol w:w="944"/>
        <w:gridCol w:w="1061"/>
        <w:gridCol w:w="1678"/>
        <w:gridCol w:w="1154"/>
        <w:gridCol w:w="944"/>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51082322T000005304589</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学生营养改善计划</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13981263390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7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剑阁县姚家小学校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79.09</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79.09</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30"/>
                <w:lang w:val="en-US" w:eastAsia="zh-CN" w:bidi="ar"/>
              </w:rPr>
              <w:t xml:space="preserve"> 其中：中央、省、市财政资金</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79.09</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79.09</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6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保障营养改善计划顺利实施</w:t>
            </w:r>
          </w:p>
        </w:tc>
        <w:tc>
          <w:tcPr>
            <w:tcW w:w="6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保障营养改善计划顺利实施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88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惠及农村义务教育学生人数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485人</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485人</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营养餐供餐合格率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资金支出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79.09万元</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79.09万元</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青少年身体素质改善情况</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明显改善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明显改善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8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受益学校学生满意度100%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受益学校学生满意度100%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受益学校学生满意度100%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spacing w:line="600" w:lineRule="exact"/>
        <w:jc w:val="center"/>
        <w:outlineLvl w:val="0"/>
        <w:rPr>
          <w:rFonts w:hint="eastAsia" w:ascii="宋体" w:hAnsi="宋体" w:eastAsia="宋体" w:cs="宋体"/>
          <w:b/>
          <w:bCs/>
          <w:i w:val="0"/>
          <w:iCs w:val="0"/>
          <w:color w:val="000000"/>
          <w:kern w:val="0"/>
          <w:sz w:val="32"/>
          <w:szCs w:val="32"/>
          <w:u w:val="none"/>
          <w:lang w:val="en-US" w:eastAsia="zh-CN" w:bidi="ar"/>
        </w:rPr>
      </w:pPr>
    </w:p>
    <w:p>
      <w:pPr>
        <w:spacing w:line="600" w:lineRule="exact"/>
        <w:jc w:val="center"/>
        <w:outlineLvl w:val="0"/>
        <w:rPr>
          <w:rFonts w:ascii="仿宋_GB2312" w:hAnsi="Calibri" w:eastAsia="仿宋_GB2312" w:cs="仿宋"/>
          <w:kern w:val="0"/>
          <w:sz w:val="32"/>
          <w:szCs w:val="32"/>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r>
        <w:rPr>
          <w:rFonts w:hint="eastAsia" w:ascii="宋体" w:hAnsi="宋体" w:cs="宋体"/>
          <w:b/>
          <w:bCs/>
          <w:i w:val="0"/>
          <w:iCs w:val="0"/>
          <w:color w:val="000000"/>
          <w:kern w:val="0"/>
          <w:sz w:val="32"/>
          <w:szCs w:val="32"/>
          <w:u w:val="none"/>
          <w:lang w:val="en-US" w:eastAsia="zh-CN" w:bidi="ar"/>
        </w:rPr>
        <w:t>（二）</w:t>
      </w:r>
    </w:p>
    <w:tbl>
      <w:tblPr>
        <w:tblStyle w:val="12"/>
        <w:tblW w:w="13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103"/>
        <w:gridCol w:w="225"/>
        <w:gridCol w:w="874"/>
        <w:gridCol w:w="1984"/>
        <w:gridCol w:w="629"/>
        <w:gridCol w:w="1215"/>
        <w:gridCol w:w="1513"/>
        <w:gridCol w:w="1750"/>
        <w:gridCol w:w="685"/>
        <w:gridCol w:w="840"/>
        <w:gridCol w:w="1078"/>
        <w:gridCol w:w="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51082322T000005305313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薄弱环节改善与能力提升</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13981263390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剑阁县姚家小学校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003"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00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00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60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64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0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保障学校安全及教育活动正常开展，促进义务教育发展，提高办学社会满意度。</w:t>
            </w:r>
          </w:p>
        </w:tc>
        <w:tc>
          <w:tcPr>
            <w:tcW w:w="64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1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9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r>
              <w:rPr>
                <w:rFonts w:hint="eastAsia" w:ascii="宋体" w:hAnsi="宋体" w:cs="宋体"/>
                <w:i w:val="0"/>
                <w:iCs w:val="0"/>
                <w:color w:val="000000"/>
                <w:kern w:val="0"/>
                <w:sz w:val="20"/>
                <w:szCs w:val="20"/>
                <w:u w:val="none"/>
                <w:lang w:val="en-US" w:eastAsia="zh-CN" w:bidi="ar"/>
              </w:rPr>
              <w:t>办学</w:t>
            </w:r>
            <w:r>
              <w:rPr>
                <w:rFonts w:hint="eastAsia" w:ascii="宋体" w:hAnsi="宋体" w:eastAsia="宋体" w:cs="宋体"/>
                <w:i w:val="0"/>
                <w:iCs w:val="0"/>
                <w:color w:val="000000"/>
                <w:kern w:val="0"/>
                <w:sz w:val="20"/>
                <w:szCs w:val="20"/>
                <w:u w:val="none"/>
                <w:lang w:val="en-US" w:eastAsia="zh-CN" w:bidi="ar"/>
              </w:rPr>
              <w:t>水平，促进义务教育发展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3.38万元</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3.38万元</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r>
              <w:rPr>
                <w:rFonts w:hint="eastAsia" w:ascii="宋体" w:hAnsi="宋体" w:cs="宋体"/>
                <w:i w:val="0"/>
                <w:iCs w:val="0"/>
                <w:color w:val="000000"/>
                <w:kern w:val="0"/>
                <w:sz w:val="20"/>
                <w:szCs w:val="20"/>
                <w:u w:val="none"/>
                <w:lang w:val="en-US" w:eastAsia="zh-CN" w:bidi="ar"/>
              </w:rPr>
              <w:t>办学</w:t>
            </w:r>
            <w:r>
              <w:rPr>
                <w:rFonts w:hint="eastAsia" w:ascii="宋体" w:hAnsi="宋体" w:eastAsia="宋体" w:cs="宋体"/>
                <w:i w:val="0"/>
                <w:iCs w:val="0"/>
                <w:color w:val="000000"/>
                <w:kern w:val="0"/>
                <w:sz w:val="20"/>
                <w:szCs w:val="20"/>
                <w:u w:val="none"/>
                <w:lang w:val="en-US" w:eastAsia="zh-CN" w:bidi="ar"/>
              </w:rPr>
              <w:t>水平，促进学校发展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促进学校发展</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促进学校发展</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pStyle w:val="2"/>
      </w:pPr>
    </w:p>
    <w:p>
      <w:pPr>
        <w:pStyle w:val="2"/>
      </w:pPr>
    </w:p>
    <w:p>
      <w:pPr>
        <w:spacing w:line="600" w:lineRule="exact"/>
        <w:jc w:val="center"/>
        <w:outlineLvl w:val="0"/>
        <w:rPr>
          <w:rFonts w:ascii="仿宋_GB2312" w:hAnsi="Calibri" w:eastAsia="仿宋_GB2312" w:cs="仿宋"/>
          <w:kern w:val="0"/>
          <w:sz w:val="32"/>
          <w:szCs w:val="32"/>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r>
        <w:rPr>
          <w:rFonts w:hint="eastAsia" w:ascii="宋体" w:hAnsi="宋体" w:cs="宋体"/>
          <w:b/>
          <w:bCs/>
          <w:i w:val="0"/>
          <w:iCs w:val="0"/>
          <w:color w:val="000000"/>
          <w:kern w:val="0"/>
          <w:sz w:val="32"/>
          <w:szCs w:val="32"/>
          <w:u w:val="none"/>
          <w:lang w:val="en-US" w:eastAsia="zh-CN" w:bidi="ar"/>
        </w:rPr>
        <w:t>（三）</w:t>
      </w:r>
    </w:p>
    <w:tbl>
      <w:tblPr>
        <w:tblStyle w:val="12"/>
        <w:tblW w:w="136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944"/>
        <w:gridCol w:w="374"/>
        <w:gridCol w:w="861"/>
        <w:gridCol w:w="1985"/>
        <w:gridCol w:w="1124"/>
        <w:gridCol w:w="1207"/>
        <w:gridCol w:w="1740"/>
        <w:gridCol w:w="1378"/>
        <w:gridCol w:w="928"/>
        <w:gridCol w:w="1346"/>
        <w:gridCol w:w="343"/>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51082322T000005305443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农村校舍安全保障长效机制补助</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13981263390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剑阁县姚家小学校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93"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9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9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64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64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4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保障学校安全及教育活动正常开展，促进义务教育发展，提高办学社会满意度。</w:t>
            </w:r>
          </w:p>
        </w:tc>
        <w:tc>
          <w:tcPr>
            <w:tcW w:w="64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3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13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保障师生安全促进义务教育发展</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58万元</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2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保障师生安全，促进学校发展</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促进学校发展</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促进学校发展</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2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受益学校家长满意度≥100%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pStyle w:val="2"/>
        <w:spacing w:before="93"/>
        <w:jc w:val="center"/>
        <w:rPr>
          <w:rFonts w:hint="eastAsia" w:ascii="宋体" w:hAnsi="宋体" w:eastAsia="宋体" w:cs="宋体"/>
          <w:b/>
          <w:bCs/>
          <w:i w:val="0"/>
          <w:iCs w:val="0"/>
          <w:color w:val="000000"/>
          <w:kern w:val="0"/>
          <w:sz w:val="32"/>
          <w:szCs w:val="32"/>
          <w:u w:val="none"/>
          <w:lang w:val="en-US" w:eastAsia="zh-CN" w:bidi="ar"/>
        </w:rPr>
      </w:pPr>
    </w:p>
    <w:p>
      <w:pPr>
        <w:pStyle w:val="2"/>
        <w:spacing w:before="93"/>
        <w:jc w:val="center"/>
        <w:rPr>
          <w:rFonts w:hAnsi="Calibri" w:cs="仿宋"/>
          <w:sz w:val="32"/>
          <w:szCs w:val="32"/>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2022年度部门预算项目支出绩效自评表（四）</w:t>
      </w:r>
    </w:p>
    <w:tbl>
      <w:tblPr>
        <w:tblStyle w:val="12"/>
        <w:tblW w:w="12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36"/>
        <w:gridCol w:w="553"/>
        <w:gridCol w:w="862"/>
        <w:gridCol w:w="1986"/>
        <w:gridCol w:w="900"/>
        <w:gridCol w:w="780"/>
        <w:gridCol w:w="1244"/>
        <w:gridCol w:w="1220"/>
        <w:gridCol w:w="690"/>
        <w:gridCol w:w="1022"/>
        <w:gridCol w:w="1079"/>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51082322T000005305572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农村义务教育综合奖补</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13981263390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剑阁县姚家小学校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6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58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保障教育活动正常开展，促进教育发展，提高办学社会满意度。</w:t>
            </w:r>
          </w:p>
        </w:tc>
        <w:tc>
          <w:tcPr>
            <w:tcW w:w="58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4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10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促进学校教育发展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9.68万元</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促进学校发展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促进学校发展</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促进学校发展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pStyle w:val="2"/>
        <w:spacing w:before="93"/>
        <w:jc w:val="center"/>
        <w:rPr>
          <w:rFonts w:hint="eastAsia" w:ascii="宋体" w:hAnsi="宋体" w:eastAsia="宋体" w:cs="宋体"/>
          <w:b/>
          <w:bCs/>
          <w:i w:val="0"/>
          <w:iCs w:val="0"/>
          <w:color w:val="000000"/>
          <w:kern w:val="0"/>
          <w:sz w:val="32"/>
          <w:szCs w:val="32"/>
          <w:u w:val="none"/>
          <w:lang w:val="en-US" w:eastAsia="zh-CN" w:bidi="ar"/>
        </w:rPr>
      </w:pPr>
    </w:p>
    <w:p>
      <w:pPr>
        <w:pStyle w:val="2"/>
        <w:spacing w:before="93"/>
        <w:jc w:val="center"/>
        <w:rPr>
          <w:rFonts w:hAnsi="Calibri" w:cs="仿宋"/>
          <w:sz w:val="32"/>
          <w:szCs w:val="32"/>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r>
        <w:rPr>
          <w:rFonts w:hint="eastAsia" w:ascii="宋体" w:hAnsi="宋体" w:cs="宋体"/>
          <w:b/>
          <w:bCs/>
          <w:i w:val="0"/>
          <w:iCs w:val="0"/>
          <w:color w:val="000000"/>
          <w:kern w:val="0"/>
          <w:sz w:val="32"/>
          <w:szCs w:val="32"/>
          <w:u w:val="none"/>
          <w:lang w:val="en-US" w:eastAsia="zh-CN" w:bidi="ar"/>
        </w:rPr>
        <w:t>（五）</w:t>
      </w:r>
    </w:p>
    <w:tbl>
      <w:tblPr>
        <w:tblStyle w:val="12"/>
        <w:tblW w:w="12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137"/>
        <w:gridCol w:w="332"/>
        <w:gridCol w:w="862"/>
        <w:gridCol w:w="2039"/>
        <w:gridCol w:w="693"/>
        <w:gridCol w:w="585"/>
        <w:gridCol w:w="1329"/>
        <w:gridCol w:w="1260"/>
        <w:gridCol w:w="735"/>
        <w:gridCol w:w="756"/>
        <w:gridCol w:w="1089"/>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51082322T000005306045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免作业本费</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13981263390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剑阁县姚家小学校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44"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57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保障义务教育入学率，促进义务教育发展，提高办学社会满意度。</w:t>
            </w:r>
          </w:p>
        </w:tc>
        <w:tc>
          <w:tcPr>
            <w:tcW w:w="57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1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9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7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受益人数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485人次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485人次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促进学校教育发展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1.81万元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保障义务教育入学率，促进义务教育发展，提高社会满意度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促进教育发展</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促进教育发展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pStyle w:val="2"/>
        <w:spacing w:before="93"/>
        <w:jc w:val="center"/>
        <w:rPr>
          <w:rFonts w:hint="eastAsia" w:ascii="宋体" w:hAnsi="宋体" w:eastAsia="宋体" w:cs="宋体"/>
          <w:b/>
          <w:bCs/>
          <w:i w:val="0"/>
          <w:iCs w:val="0"/>
          <w:color w:val="000000"/>
          <w:kern w:val="0"/>
          <w:sz w:val="32"/>
          <w:szCs w:val="32"/>
          <w:u w:val="none"/>
          <w:lang w:val="en-US" w:eastAsia="zh-CN" w:bidi="ar"/>
        </w:rPr>
      </w:pPr>
    </w:p>
    <w:p>
      <w:pPr>
        <w:pStyle w:val="2"/>
        <w:spacing w:before="93"/>
        <w:jc w:val="center"/>
        <w:rPr>
          <w:rFonts w:hAnsi="Calibri" w:cs="仿宋"/>
          <w:sz w:val="32"/>
          <w:szCs w:val="32"/>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r>
        <w:rPr>
          <w:rFonts w:hint="eastAsia" w:ascii="宋体" w:hAnsi="宋体" w:cs="宋体"/>
          <w:b/>
          <w:bCs/>
          <w:i w:val="0"/>
          <w:iCs w:val="0"/>
          <w:color w:val="000000"/>
          <w:kern w:val="0"/>
          <w:sz w:val="32"/>
          <w:szCs w:val="32"/>
          <w:u w:val="none"/>
          <w:lang w:val="en-US" w:eastAsia="zh-CN" w:bidi="ar"/>
        </w:rPr>
        <w:t>（六）</w:t>
      </w:r>
    </w:p>
    <w:tbl>
      <w:tblPr>
        <w:tblStyle w:val="12"/>
        <w:tblW w:w="12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183"/>
        <w:gridCol w:w="525"/>
        <w:gridCol w:w="861"/>
        <w:gridCol w:w="1985"/>
        <w:gridCol w:w="644"/>
        <w:gridCol w:w="1020"/>
        <w:gridCol w:w="1301"/>
        <w:gridCol w:w="1094"/>
        <w:gridCol w:w="685"/>
        <w:gridCol w:w="1140"/>
        <w:gridCol w:w="320"/>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51082322T000005306788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贫困寄宿生生活补助</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13981263390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剑阁县姚家小学校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82"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82"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82"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62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5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2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保障义务教育活动正常开展，促进义务教育发展，提高办学社会满意度。</w:t>
            </w:r>
          </w:p>
        </w:tc>
        <w:tc>
          <w:tcPr>
            <w:tcW w:w="5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1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3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义务教育贫困寄宿生资助人数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210人次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210人次</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促进义务教育发展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eastAsia="宋体" w:cs="Arial"/>
                <w:i w:val="0"/>
                <w:iCs w:val="0"/>
                <w:color w:val="000000"/>
                <w:sz w:val="20"/>
                <w:szCs w:val="20"/>
                <w:u w:val="none"/>
              </w:rPr>
            </w:pPr>
            <w:r>
              <w:rPr>
                <w:rStyle w:val="31"/>
                <w:rFonts w:eastAsia="宋体"/>
                <w:sz w:val="20"/>
                <w:szCs w:val="20"/>
                <w:lang w:val="en-US" w:eastAsia="zh-CN" w:bidi="ar"/>
              </w:rPr>
              <w:t>≥</w:t>
            </w:r>
            <w:r>
              <w:rPr>
                <w:rStyle w:val="32"/>
                <w:sz w:val="20"/>
                <w:szCs w:val="20"/>
                <w:lang w:val="en-US" w:eastAsia="zh-CN" w:bidi="ar"/>
              </w:rPr>
              <w:t>99%</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保障适龄儿童入学，促进义务教育发展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义务教育健康发展</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义务教育健康发展</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3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pStyle w:val="2"/>
        <w:spacing w:before="93"/>
        <w:jc w:val="center"/>
        <w:rPr>
          <w:rFonts w:hint="eastAsia" w:ascii="宋体" w:hAnsi="宋体" w:eastAsia="宋体" w:cs="宋体"/>
          <w:b/>
          <w:bCs/>
          <w:i w:val="0"/>
          <w:iCs w:val="0"/>
          <w:color w:val="000000"/>
          <w:kern w:val="0"/>
          <w:sz w:val="32"/>
          <w:szCs w:val="32"/>
          <w:u w:val="none"/>
          <w:lang w:val="en-US" w:eastAsia="zh-CN" w:bidi="ar"/>
        </w:rPr>
      </w:pPr>
    </w:p>
    <w:p>
      <w:pPr>
        <w:pStyle w:val="2"/>
        <w:spacing w:before="93"/>
        <w:jc w:val="center"/>
        <w:rPr>
          <w:rFonts w:hAnsi="Calibri" w:cs="仿宋"/>
          <w:sz w:val="32"/>
          <w:szCs w:val="32"/>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r>
        <w:rPr>
          <w:rFonts w:hint="eastAsia" w:ascii="宋体" w:hAnsi="宋体" w:cs="宋体"/>
          <w:b/>
          <w:bCs/>
          <w:i w:val="0"/>
          <w:iCs w:val="0"/>
          <w:color w:val="000000"/>
          <w:kern w:val="0"/>
          <w:sz w:val="32"/>
          <w:szCs w:val="32"/>
          <w:u w:val="none"/>
          <w:lang w:val="en-US" w:eastAsia="zh-CN" w:bidi="ar"/>
        </w:rPr>
        <w:t>（七）</w:t>
      </w:r>
    </w:p>
    <w:tbl>
      <w:tblPr>
        <w:tblStyle w:val="12"/>
        <w:tblW w:w="128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49"/>
        <w:gridCol w:w="509"/>
        <w:gridCol w:w="861"/>
        <w:gridCol w:w="1985"/>
        <w:gridCol w:w="495"/>
        <w:gridCol w:w="690"/>
        <w:gridCol w:w="1420"/>
        <w:gridCol w:w="1718"/>
        <w:gridCol w:w="735"/>
        <w:gridCol w:w="660"/>
        <w:gridCol w:w="800"/>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51082322T000005306905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贫困非寄宿生生活补助</w:t>
            </w:r>
          </w:p>
        </w:tc>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13981263390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剑阁县姚家小学校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33"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3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6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保障义务教育活动正常开展，促进义务教育发展，提高办学社会满意度。</w:t>
            </w:r>
          </w:p>
        </w:tc>
        <w:tc>
          <w:tcPr>
            <w:tcW w:w="6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3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义务教育贫困寄宿生资助人数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123人次</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123人次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促进义务教育发展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保障适龄儿童入学，促进义务教育发展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义务教育健康发展</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义务教育健康发展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3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受益学校师生满意度≥100%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受益学校家长满意度≥99%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sectPr>
          <w:pgSz w:w="16838" w:h="11906" w:orient="landscape"/>
          <w:pgMar w:top="1803" w:right="1440" w:bottom="1803" w:left="1440" w:header="851" w:footer="992" w:gutter="0"/>
          <w:pgNumType w:start="1"/>
          <w:cols w:space="0" w:num="1"/>
          <w:titlePg/>
          <w:rtlGutter w:val="0"/>
          <w:docGrid w:type="lines" w:linePitch="319" w:charSpace="0"/>
        </w:sect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3"/>
      <w:bookmarkStart w:id="54" w:name="_Toc15396619"/>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一、收入支出决算总表</w:t>
      </w:r>
      <w:bookmarkEnd w:id="54"/>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55" w:name="_Toc15396620"/>
      <w:r>
        <w:rPr>
          <w:rFonts w:hint="eastAsia" w:ascii="仿宋_GB2312" w:hAnsi="Times New Roman" w:eastAsia="仿宋_GB2312" w:cs="Times New Roman"/>
          <w:b w:val="0"/>
          <w:bCs w:val="0"/>
          <w:color w:val="auto"/>
          <w:kern w:val="2"/>
          <w:sz w:val="32"/>
          <w:szCs w:val="32"/>
          <w:lang w:val="en-US" w:eastAsia="zh-CN" w:bidi="ar-SA"/>
        </w:rPr>
        <w:t>二、收入决算表</w:t>
      </w:r>
      <w:bookmarkEnd w:id="55"/>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56" w:name="_Toc15396621"/>
      <w:r>
        <w:rPr>
          <w:rFonts w:hint="eastAsia" w:ascii="仿宋_GB2312" w:hAnsi="Times New Roman" w:eastAsia="仿宋_GB2312" w:cs="Times New Roman"/>
          <w:b w:val="0"/>
          <w:bCs w:val="0"/>
          <w:color w:val="auto"/>
          <w:kern w:val="2"/>
          <w:sz w:val="32"/>
          <w:szCs w:val="32"/>
          <w:lang w:val="en-US" w:eastAsia="zh-CN" w:bidi="ar-SA"/>
        </w:rPr>
        <w:t>三、支出决算表</w:t>
      </w:r>
      <w:bookmarkEnd w:id="56"/>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57" w:name="_Toc15396622"/>
      <w:r>
        <w:rPr>
          <w:rFonts w:hint="eastAsia" w:ascii="仿宋_GB2312" w:hAnsi="Times New Roman" w:eastAsia="仿宋_GB2312" w:cs="Times New Roman"/>
          <w:b w:val="0"/>
          <w:bCs w:val="0"/>
          <w:color w:val="auto"/>
          <w:kern w:val="2"/>
          <w:sz w:val="32"/>
          <w:szCs w:val="32"/>
          <w:lang w:val="en-US" w:eastAsia="zh-CN" w:bidi="ar-SA"/>
        </w:rPr>
        <w:t>四、财政拨款收入支出决算总表</w:t>
      </w:r>
      <w:bookmarkEnd w:id="57"/>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58" w:name="_Toc15396623"/>
      <w:r>
        <w:rPr>
          <w:rFonts w:hint="eastAsia" w:ascii="仿宋_GB2312" w:hAnsi="Times New Roman" w:eastAsia="仿宋_GB2312" w:cs="Times New Roman"/>
          <w:b w:val="0"/>
          <w:bCs w:val="0"/>
          <w:color w:val="auto"/>
          <w:kern w:val="2"/>
          <w:sz w:val="32"/>
          <w:szCs w:val="32"/>
          <w:lang w:val="en-US" w:eastAsia="zh-CN" w:bidi="ar-SA"/>
        </w:rPr>
        <w:t>五、财政拨款支出决算明细表</w:t>
      </w:r>
      <w:bookmarkEnd w:id="58"/>
      <w:bookmarkStart w:id="59" w:name="_Toc15396624"/>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六、一般公共预算财政拨款支出决算表</w:t>
      </w:r>
      <w:bookmarkEnd w:id="59"/>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60" w:name="_Toc15396625"/>
      <w:r>
        <w:rPr>
          <w:rFonts w:hint="eastAsia" w:ascii="仿宋_GB2312" w:hAnsi="Times New Roman" w:eastAsia="仿宋_GB2312" w:cs="Times New Roman"/>
          <w:b w:val="0"/>
          <w:bCs w:val="0"/>
          <w:color w:val="auto"/>
          <w:kern w:val="2"/>
          <w:sz w:val="32"/>
          <w:szCs w:val="32"/>
          <w:lang w:val="en-US" w:eastAsia="zh-CN" w:bidi="ar-SA"/>
        </w:rPr>
        <w:t>七、一般公共预算财政拨款支出决算明细表</w:t>
      </w:r>
      <w:bookmarkEnd w:id="60"/>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61" w:name="_Toc15396626"/>
      <w:r>
        <w:rPr>
          <w:rFonts w:hint="eastAsia" w:ascii="仿宋_GB2312" w:hAnsi="Times New Roman" w:eastAsia="仿宋_GB2312" w:cs="Times New Roman"/>
          <w:b w:val="0"/>
          <w:bCs w:val="0"/>
          <w:color w:val="auto"/>
          <w:kern w:val="2"/>
          <w:sz w:val="32"/>
          <w:szCs w:val="32"/>
          <w:lang w:val="en-US" w:eastAsia="zh-CN" w:bidi="ar-SA"/>
        </w:rPr>
        <w:t>八、一般公共预算财政拨款基本支出决算表</w:t>
      </w:r>
      <w:bookmarkEnd w:id="61"/>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62" w:name="_Toc15396627"/>
      <w:r>
        <w:rPr>
          <w:rFonts w:hint="eastAsia" w:ascii="仿宋_GB2312" w:hAnsi="Times New Roman" w:eastAsia="仿宋_GB2312" w:cs="Times New Roman"/>
          <w:b w:val="0"/>
          <w:bCs w:val="0"/>
          <w:color w:val="auto"/>
          <w:kern w:val="2"/>
          <w:sz w:val="32"/>
          <w:szCs w:val="32"/>
          <w:lang w:val="en-US" w:eastAsia="zh-CN" w:bidi="ar-SA"/>
        </w:rPr>
        <w:t>九、一般公共预算财政拨款项目支出决算表</w:t>
      </w:r>
      <w:bookmarkEnd w:id="62"/>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63" w:name="_Toc15396628"/>
      <w:r>
        <w:rPr>
          <w:rFonts w:hint="eastAsia" w:ascii="仿宋_GB2312" w:hAnsi="Times New Roman" w:eastAsia="仿宋_GB2312" w:cs="Times New Roman"/>
          <w:b w:val="0"/>
          <w:bCs w:val="0"/>
          <w:color w:val="auto"/>
          <w:kern w:val="2"/>
          <w:sz w:val="32"/>
          <w:szCs w:val="32"/>
          <w:lang w:val="en-US" w:eastAsia="zh-CN" w:bidi="ar-SA"/>
        </w:rPr>
        <w:t>十、</w:t>
      </w:r>
      <w:bookmarkEnd w:id="63"/>
      <w:r>
        <w:rPr>
          <w:rFonts w:hint="eastAsia" w:ascii="仿宋_GB2312" w:hAnsi="Times New Roman" w:eastAsia="仿宋_GB2312" w:cs="Times New Roman"/>
          <w:b w:val="0"/>
          <w:bCs w:val="0"/>
          <w:color w:val="auto"/>
          <w:kern w:val="2"/>
          <w:sz w:val="32"/>
          <w:szCs w:val="32"/>
          <w:lang w:val="en-US" w:eastAsia="zh-CN" w:bidi="ar-SA"/>
        </w:rPr>
        <w:t>政府性基金预算财政拨款收入支出决算表</w:t>
      </w:r>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64" w:name="_Toc15396629"/>
      <w:r>
        <w:rPr>
          <w:rFonts w:hint="eastAsia" w:ascii="仿宋_GB2312" w:hAnsi="Times New Roman" w:eastAsia="仿宋_GB2312" w:cs="Times New Roman"/>
          <w:b w:val="0"/>
          <w:bCs w:val="0"/>
          <w:color w:val="auto"/>
          <w:kern w:val="2"/>
          <w:sz w:val="32"/>
          <w:szCs w:val="32"/>
          <w:lang w:val="en-US" w:eastAsia="zh-CN" w:bidi="ar-SA"/>
        </w:rPr>
        <w:t>十一、</w:t>
      </w:r>
      <w:bookmarkEnd w:id="64"/>
      <w:r>
        <w:rPr>
          <w:rFonts w:hint="eastAsia" w:ascii="仿宋_GB2312" w:hAnsi="Times New Roman" w:eastAsia="仿宋_GB2312" w:cs="Times New Roman"/>
          <w:b w:val="0"/>
          <w:bCs w:val="0"/>
          <w:color w:val="auto"/>
          <w:kern w:val="2"/>
          <w:sz w:val="32"/>
          <w:szCs w:val="32"/>
          <w:lang w:val="en-US" w:eastAsia="zh-CN" w:bidi="ar-SA"/>
        </w:rPr>
        <w:t>国有资本经营预算财政拨款收入支出决算表</w:t>
      </w:r>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65" w:name="_Toc15396630"/>
      <w:r>
        <w:rPr>
          <w:rFonts w:hint="eastAsia" w:ascii="仿宋_GB2312" w:hAnsi="Times New Roman" w:eastAsia="仿宋_GB2312" w:cs="Times New Roman"/>
          <w:b w:val="0"/>
          <w:bCs w:val="0"/>
          <w:color w:val="auto"/>
          <w:kern w:val="2"/>
          <w:sz w:val="32"/>
          <w:szCs w:val="32"/>
          <w:lang w:val="en-US" w:eastAsia="zh-CN" w:bidi="ar-SA"/>
        </w:rPr>
        <w:t>十二、</w:t>
      </w:r>
      <w:bookmarkEnd w:id="65"/>
      <w:r>
        <w:rPr>
          <w:rFonts w:hint="eastAsia" w:ascii="仿宋_GB2312" w:hAnsi="Times New Roman" w:eastAsia="仿宋_GB2312" w:cs="Times New Roman"/>
          <w:b w:val="0"/>
          <w:bCs w:val="0"/>
          <w:color w:val="auto"/>
          <w:kern w:val="2"/>
          <w:sz w:val="32"/>
          <w:szCs w:val="32"/>
          <w:lang w:val="en-US" w:eastAsia="zh-CN" w:bidi="ar-SA"/>
        </w:rPr>
        <w:t>国有资本经营预算财政拨款支出决算表</w:t>
      </w:r>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Times New Roman" w:eastAsia="仿宋_GB2312" w:cs="Times New Roman"/>
          <w:b w:val="0"/>
          <w:bCs w:val="0"/>
          <w:color w:val="auto"/>
          <w:kern w:val="2"/>
          <w:sz w:val="32"/>
          <w:szCs w:val="32"/>
          <w:lang w:val="en-US" w:eastAsia="zh-CN" w:bidi="ar-SA"/>
        </w:rPr>
      </w:pPr>
      <w:bookmarkStart w:id="66" w:name="_Toc15396631"/>
      <w:r>
        <w:rPr>
          <w:rFonts w:hint="eastAsia" w:ascii="仿宋_GB2312" w:hAnsi="Times New Roman" w:eastAsia="仿宋_GB2312" w:cs="Times New Roman"/>
          <w:b w:val="0"/>
          <w:bCs w:val="0"/>
          <w:color w:val="auto"/>
          <w:kern w:val="2"/>
          <w:sz w:val="32"/>
          <w:szCs w:val="32"/>
          <w:lang w:val="en-US" w:eastAsia="zh-CN" w:bidi="ar-SA"/>
        </w:rPr>
        <w:t>十三、</w:t>
      </w:r>
      <w:bookmarkEnd w:id="66"/>
      <w:r>
        <w:rPr>
          <w:rFonts w:hint="eastAsia" w:ascii="仿宋_GB2312" w:hAnsi="Times New Roman" w:eastAsia="仿宋_GB2312" w:cs="Times New Roman"/>
          <w:b w:val="0"/>
          <w:bCs w:val="0"/>
          <w:color w:val="auto"/>
          <w:kern w:val="2"/>
          <w:sz w:val="32"/>
          <w:szCs w:val="32"/>
          <w:lang w:val="en-US" w:eastAsia="zh-CN" w:bidi="ar-SA"/>
        </w:rPr>
        <w:t>财政拨款“三公”经费支出决算表</w:t>
      </w:r>
    </w:p>
    <w:sectPr>
      <w:pgSz w:w="11906" w:h="16838"/>
      <w:pgMar w:top="1440" w:right="1803" w:bottom="1440" w:left="1803" w:header="851" w:footer="992" w:gutter="0"/>
      <w:pgNumType w:start="1"/>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2AA858-E3E0-4AC7-A558-254A216571EA}"/>
  </w:font>
  <w:font w:name="黑体">
    <w:panose1 w:val="02010609060101010101"/>
    <w:charset w:val="86"/>
    <w:family w:val="auto"/>
    <w:pitch w:val="default"/>
    <w:sig w:usb0="800002BF" w:usb1="38CF7CFA" w:usb2="00000016" w:usb3="00000000" w:csb0="00040001" w:csb1="00000000"/>
    <w:embedRegular r:id="rId2" w:fontKey="{9B39F28D-600E-415D-BF46-90DFDFD61D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9621DF1-4371-4E33-99B9-EAA1665D2FF7}"/>
  </w:font>
  <w:font w:name="Cambria">
    <w:panose1 w:val="02040503050406030204"/>
    <w:charset w:val="00"/>
    <w:family w:val="roman"/>
    <w:pitch w:val="default"/>
    <w:sig w:usb0="E00006FF" w:usb1="420024FF" w:usb2="02000000" w:usb3="00000000" w:csb0="2000019F" w:csb1="00000000"/>
    <w:embedRegular r:id="rId4" w:fontKey="{91C1A8E2-5B8D-473B-8617-A7E6F8884255}"/>
  </w:font>
  <w:font w:name="仿宋_GB2312">
    <w:altName w:val="仿宋"/>
    <w:panose1 w:val="00000000000000000000"/>
    <w:charset w:val="86"/>
    <w:family w:val="modern"/>
    <w:pitch w:val="default"/>
    <w:sig w:usb0="00000000" w:usb1="00000000" w:usb2="00000000" w:usb3="00000000" w:csb0="00040000" w:csb1="00000000"/>
    <w:embedRegular r:id="rId5" w:fontKey="{4BADBFA3-3539-4E8D-B6F6-1BC98BDD3AC4}"/>
  </w:font>
  <w:font w:name="仿宋">
    <w:panose1 w:val="02010609060101010101"/>
    <w:charset w:val="86"/>
    <w:family w:val="modern"/>
    <w:pitch w:val="default"/>
    <w:sig w:usb0="800002BF" w:usb1="38CF7CFA" w:usb2="00000016" w:usb3="00000000" w:csb0="00040001" w:csb1="00000000"/>
    <w:embedRegular r:id="rId6" w:fontKey="{D7FBC677-E219-45EC-ADA7-BEA3DAAE84B4}"/>
  </w:font>
  <w:font w:name="方正小标宋简体">
    <w:panose1 w:val="02000000000000000000"/>
    <w:charset w:val="86"/>
    <w:family w:val="script"/>
    <w:pitch w:val="default"/>
    <w:sig w:usb0="00000001" w:usb1="08000000" w:usb2="00000000" w:usb3="00000000" w:csb0="00040000" w:csb1="00000000"/>
    <w:embedRegular r:id="rId7" w:fontKey="{86992380-961A-4972-BE0D-A358C24C59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5010FB"/>
    <w:rsid w:val="053A62B5"/>
    <w:rsid w:val="0A2032A3"/>
    <w:rsid w:val="0B8A37D8"/>
    <w:rsid w:val="0BA80E28"/>
    <w:rsid w:val="0CF431DA"/>
    <w:rsid w:val="10C055FF"/>
    <w:rsid w:val="118107EC"/>
    <w:rsid w:val="11DD6519"/>
    <w:rsid w:val="16BB723D"/>
    <w:rsid w:val="18015F3F"/>
    <w:rsid w:val="1ABB182D"/>
    <w:rsid w:val="1BE8440E"/>
    <w:rsid w:val="1D087465"/>
    <w:rsid w:val="1D155CEE"/>
    <w:rsid w:val="1EEE7042"/>
    <w:rsid w:val="20F57F95"/>
    <w:rsid w:val="22D4221C"/>
    <w:rsid w:val="23DC134A"/>
    <w:rsid w:val="240371BF"/>
    <w:rsid w:val="25711CC6"/>
    <w:rsid w:val="25AD37B3"/>
    <w:rsid w:val="25C741E6"/>
    <w:rsid w:val="27842671"/>
    <w:rsid w:val="29FD04D3"/>
    <w:rsid w:val="2ABE7A3E"/>
    <w:rsid w:val="2B9C5486"/>
    <w:rsid w:val="2CA234A8"/>
    <w:rsid w:val="2EFA178C"/>
    <w:rsid w:val="30B46D73"/>
    <w:rsid w:val="319F7F4E"/>
    <w:rsid w:val="380A6498"/>
    <w:rsid w:val="383D272C"/>
    <w:rsid w:val="39AE70AB"/>
    <w:rsid w:val="3C0C0783"/>
    <w:rsid w:val="3DC20A63"/>
    <w:rsid w:val="3E6B5FBF"/>
    <w:rsid w:val="3F9F3A96"/>
    <w:rsid w:val="455C4456"/>
    <w:rsid w:val="48BF60AB"/>
    <w:rsid w:val="493C27E9"/>
    <w:rsid w:val="496F39ED"/>
    <w:rsid w:val="49FF41D3"/>
    <w:rsid w:val="4AA358F5"/>
    <w:rsid w:val="4BE068DB"/>
    <w:rsid w:val="4BF6002B"/>
    <w:rsid w:val="4ECE2238"/>
    <w:rsid w:val="51DB4B86"/>
    <w:rsid w:val="54B40859"/>
    <w:rsid w:val="55333C3E"/>
    <w:rsid w:val="5A69150A"/>
    <w:rsid w:val="5E1174D3"/>
    <w:rsid w:val="5F1429C8"/>
    <w:rsid w:val="5F223BC2"/>
    <w:rsid w:val="622625A3"/>
    <w:rsid w:val="624F4CCE"/>
    <w:rsid w:val="64CA39A1"/>
    <w:rsid w:val="6537615F"/>
    <w:rsid w:val="69630ADE"/>
    <w:rsid w:val="6A0A183B"/>
    <w:rsid w:val="6C4A05C8"/>
    <w:rsid w:val="6D3B1A89"/>
    <w:rsid w:val="6D4C5C34"/>
    <w:rsid w:val="6F6F5761"/>
    <w:rsid w:val="71BF4EC2"/>
    <w:rsid w:val="72734D90"/>
    <w:rsid w:val="7412278C"/>
    <w:rsid w:val="752C0E9F"/>
    <w:rsid w:val="75BF402B"/>
    <w:rsid w:val="79E7B28D"/>
    <w:rsid w:val="7E8B60C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01"/>
    <w:basedOn w:val="13"/>
    <w:qFormat/>
    <w:uiPriority w:val="0"/>
    <w:rPr>
      <w:rFonts w:hint="eastAsia" w:ascii="宋体" w:hAnsi="宋体" w:eastAsia="宋体" w:cs="宋体"/>
      <w:color w:val="000000"/>
      <w:sz w:val="20"/>
      <w:szCs w:val="20"/>
      <w:u w:val="none"/>
    </w:rPr>
  </w:style>
  <w:style w:type="character" w:customStyle="1" w:styleId="31">
    <w:name w:val="font31"/>
    <w:basedOn w:val="13"/>
    <w:qFormat/>
    <w:uiPriority w:val="0"/>
    <w:rPr>
      <w:rFonts w:hint="default" w:ascii="Arial" w:hAnsi="Arial" w:cs="Arial"/>
      <w:color w:val="000000"/>
      <w:sz w:val="16"/>
      <w:szCs w:val="16"/>
      <w:u w:val="none"/>
    </w:rPr>
  </w:style>
  <w:style w:type="character" w:customStyle="1" w:styleId="32">
    <w:name w:val="font4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E:\&#25105;&#30340;&#24037;&#20316;\&#20915;&#31639;\&#20915;&#31639;%20&#23002;&#23478;&#23567;&#23398;2022\&#20915;&#3163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5105;&#30340;&#24037;&#20316;\&#20915;&#31639;\&#20915;&#31639;%20&#23002;&#23478;&#23567;&#23398;2022\&#20915;&#3163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5105;&#30340;&#24037;&#20316;\&#20915;&#31639;\&#20915;&#31639;%20&#23002;&#23478;&#23567;&#23398;2022\&#20915;&#3163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5105;&#30340;&#24037;&#20316;\&#20915;&#31639;\&#20915;&#31639;%20&#23002;&#23478;&#23567;&#23398;2022\&#20915;&#3163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5105;&#30340;&#24037;&#20316;\&#20915;&#31639;\&#20915;&#31639;%20&#23002;&#23478;&#23567;&#23398;2022\&#20915;&#3163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5105;&#30340;&#24037;&#20316;\&#20915;&#31639;\&#20915;&#31639;%20&#23002;&#23478;&#23567;&#23398;2022\&#20915;&#3163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5105;&#30340;&#24037;&#20316;\&#20915;&#31639;\&#20915;&#31639;%20&#23002;&#23478;&#23567;&#23398;2022\&#20915;&#3163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1034.54</c:v>
                </c:pt>
                <c:pt idx="1">
                  <c:v>876.42</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255123486186809"/>
                  <c:y val="0.04170627402924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strCache>
            </c:strRef>
          </c:cat>
          <c:val>
            <c:numRef>
              <c:f>[决算公开插图制作示例.xlsx]图二!$C$1:$C$6</c:f>
              <c:numCache>
                <c:formatCode>0.00%</c:formatCode>
                <c:ptCount val="6"/>
                <c:pt idx="0">
                  <c:v>0.998858994545994</c:v>
                </c:pt>
                <c:pt idx="1">
                  <c:v>0.00114100545400607</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0.9874</c:v>
                </c:pt>
                <c:pt idx="1">
                  <c:v>0.0126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1034.54</c:v>
                </c:pt>
                <c:pt idx="1">
                  <c:v>876.42</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1027.04</c:v>
                </c:pt>
                <c:pt idx="1">
                  <c:v>875.42</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Lbls>
            <c:dLbl>
              <c:idx val="0"/>
              <c:layout/>
              <c:dLblPos val="bestFit"/>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manualLayout>
                  <c:x val="-0.0463811543357659"/>
                  <c:y val="-0.00198339815474641"/>
                </c:manualLayout>
              </c:layout>
              <c:dLblPos val="bestFit"/>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2"/>
              <c:layout>
                <c:manualLayout>
                  <c:x val="-0.00809679858030567"/>
                  <c:y val="-0.0189924959597226"/>
                </c:manualLayout>
              </c:layout>
              <c:dLblPos val="bestFit"/>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3"/>
              <c:layout>
                <c:manualLayout>
                  <c:x val="0.0224322462224755"/>
                  <c:y val="-0.0154670453916459"/>
                </c:manualLayout>
              </c:layout>
              <c:dLblPos val="bestFit"/>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4"/>
              <c:layout>
                <c:manualLayout>
                  <c:x val="0.0925986446598311"/>
                  <c:y val="0.00181316160638875"/>
                </c:manualLayout>
              </c:layout>
              <c:dLblPos val="bestFit"/>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DataLabelsRange val="1"/>
                <c15:showLeaderLines val="1"/>
                <c15:leaderLines/>
              </c:ext>
            </c:extLst>
          </c:dLbls>
          <c:cat>
            <c:strRef>
              <c:f>[决算公开插图制作示例.xlsx]图6!$A$2:$A$6</c:f>
              <c:strCache>
                <c:ptCount val="5"/>
                <c:pt idx="0">
                  <c:v>教育支出</c:v>
                </c:pt>
                <c:pt idx="1">
                  <c:v>社会保障和就业（类）支出</c:v>
                </c:pt>
                <c:pt idx="2">
                  <c:v>卫生健康(类)支出</c:v>
                </c:pt>
                <c:pt idx="3">
                  <c:v>住房保障（类）支出</c:v>
                </c:pt>
                <c:pt idx="4">
                  <c:v>农林水支出</c:v>
                </c:pt>
              </c:strCache>
            </c:strRef>
          </c:cat>
          <c:val>
            <c:numRef>
              <c:f>[决算公开插图制作示例.xlsx]图6!$B$2:$B$6</c:f>
              <c:numCache>
                <c:formatCode>General</c:formatCode>
                <c:ptCount val="5"/>
                <c:pt idx="0">
                  <c:v>729.68</c:v>
                </c:pt>
                <c:pt idx="1">
                  <c:v>63.89</c:v>
                </c:pt>
                <c:pt idx="2">
                  <c:v>31.94</c:v>
                </c:pt>
                <c:pt idx="3">
                  <c:v>47.91</c:v>
                </c:pt>
                <c:pt idx="4">
                  <c:v>2</c:v>
                </c:pt>
              </c:numCache>
            </c:numRef>
          </c:val>
          <c:extLst>
            <c:ext xmlns:c15="http://schemas.microsoft.com/office/drawing/2012/chart" uri="{02D57815-91ED-43cb-92C2-25804820EDAC}">
              <c15:datalabelsRange>
                <c15:f>图6!$C$2:$C$6</c15:f>
                <c15:dlblRangeCache>
                  <c:ptCount val="5"/>
                  <c:pt idx="0">
                    <c:v>83.35%</c:v>
                  </c:pt>
                  <c:pt idx="1">
                    <c:v>7.30%</c:v>
                  </c:pt>
                  <c:pt idx="2">
                    <c:v>3.65%</c:v>
                  </c:pt>
                  <c:pt idx="3">
                    <c:v>5.47%</c:v>
                  </c:pt>
                  <c:pt idx="4">
                    <c:v>0.23%</c:v>
                  </c:pt>
                </c15:dlblRangeCache>
              </c15:datalabelsRange>
            </c:ext>
          </c:extLst>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7722</Words>
  <Characters>8982</Characters>
  <Lines>5</Lines>
  <Paragraphs>11</Paragraphs>
  <TotalTime>1</TotalTime>
  <ScaleCrop>false</ScaleCrop>
  <LinksUpToDate>false</LinksUpToDate>
  <CharactersWithSpaces>9019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2023-12-07T07:57:56Z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26E9D96974CA40E791B6910989ABE12A_12</vt:lpwstr>
  </property>
</Properties>
</file>