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0"/>
        <w:rPr>
          <w:rFonts w:ascii="方正小标宋简体" w:hAnsi="宋体" w:eastAsia="方正小标宋简体"/>
          <w:sz w:val="72"/>
          <w:szCs w:val="72"/>
        </w:rPr>
      </w:pPr>
      <w:bookmarkStart w:id="0" w:name="_Toc15377425"/>
      <w:bookmarkStart w:id="1" w:name="_Toc15396597"/>
      <w:bookmarkStart w:id="2" w:name="_Toc15377193"/>
      <w:bookmarkStart w:id="3" w:name="_Toc15396475"/>
      <w:bookmarkStart w:id="4" w:name="_Toc15378441"/>
      <w:bookmarkStart w:id="5" w:name="_Toc15306267"/>
    </w:p>
    <w:p>
      <w:pPr>
        <w:spacing w:line="600" w:lineRule="exact"/>
        <w:jc w:val="center"/>
        <w:outlineLvl w:val="0"/>
        <w:rPr>
          <w:rFonts w:ascii="方正小标宋简体" w:hAnsi="宋体" w:eastAsia="方正小标宋简体"/>
          <w:sz w:val="72"/>
          <w:szCs w:val="72"/>
        </w:rPr>
      </w:pPr>
    </w:p>
    <w:p>
      <w:pPr>
        <w:spacing w:line="600" w:lineRule="exact"/>
        <w:jc w:val="center"/>
        <w:outlineLvl w:val="0"/>
        <w:rPr>
          <w:rFonts w:ascii="方正小标宋简体" w:hAnsi="宋体" w:eastAsia="方正小标宋简体"/>
          <w:sz w:val="72"/>
          <w:szCs w:val="72"/>
        </w:rPr>
      </w:pPr>
    </w:p>
    <w:p>
      <w:pPr>
        <w:adjustRightInd w:val="0"/>
        <w:snapToGrid w:val="0"/>
        <w:spacing w:line="360" w:lineRule="auto"/>
        <w:jc w:val="center"/>
        <w:outlineLvl w:val="0"/>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2022年度</w:t>
      </w:r>
      <w:bookmarkEnd w:id="0"/>
      <w:bookmarkEnd w:id="1"/>
      <w:bookmarkEnd w:id="2"/>
      <w:bookmarkEnd w:id="3"/>
      <w:bookmarkEnd w:id="4"/>
    </w:p>
    <w:p>
      <w:pPr>
        <w:spacing w:line="240" w:lineRule="auto"/>
        <w:jc w:val="center"/>
        <w:outlineLvl w:val="0"/>
        <w:rPr>
          <w:rFonts w:hint="eastAsia" w:ascii="方正小标宋简体" w:hAnsi="方正小标宋简体" w:eastAsia="方正小标宋简体" w:cs="方正小标宋简体"/>
          <w:sz w:val="72"/>
          <w:szCs w:val="72"/>
          <w:lang w:val="en-US" w:eastAsia="zh-CN"/>
        </w:rPr>
      </w:pPr>
      <w:bookmarkStart w:id="6" w:name="_Toc15396598"/>
      <w:bookmarkStart w:id="7" w:name="_Toc15396476"/>
      <w:bookmarkStart w:id="8" w:name="_Toc15377194"/>
      <w:bookmarkStart w:id="9" w:name="_Toc15377426"/>
      <w:bookmarkStart w:id="10" w:name="_Toc15378442"/>
      <w:r>
        <w:rPr>
          <w:rFonts w:hint="eastAsia" w:ascii="方正小标宋简体" w:hAnsi="方正小标宋简体" w:eastAsia="方正小标宋简体" w:cs="方正小标宋简体"/>
          <w:sz w:val="72"/>
          <w:szCs w:val="72"/>
        </w:rPr>
        <w:t>剑阁县</w:t>
      </w:r>
      <w:bookmarkEnd w:id="5"/>
      <w:bookmarkStart w:id="11" w:name="_Toc15306268"/>
      <w:r>
        <w:rPr>
          <w:rFonts w:hint="eastAsia" w:ascii="方正小标宋简体" w:hAnsi="方正小标宋简体" w:eastAsia="方正小标宋简体" w:cs="方正小标宋简体"/>
          <w:sz w:val="72"/>
          <w:szCs w:val="72"/>
          <w:lang w:val="en-US" w:eastAsia="zh-CN"/>
        </w:rPr>
        <w:t>普安镇人民政府</w:t>
      </w:r>
    </w:p>
    <w:p>
      <w:pPr>
        <w:adjustRightInd w:val="0"/>
        <w:snapToGrid w:val="0"/>
        <w:spacing w:line="360" w:lineRule="auto"/>
        <w:jc w:val="center"/>
        <w:outlineLvl w:val="0"/>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部门决算</w:t>
      </w:r>
      <w:bookmarkEnd w:id="6"/>
      <w:bookmarkEnd w:id="7"/>
      <w:bookmarkEnd w:id="8"/>
      <w:bookmarkEnd w:id="9"/>
      <w:bookmarkEnd w:id="10"/>
      <w:bookmarkEnd w:id="11"/>
    </w:p>
    <w:p>
      <w:pPr>
        <w:widowControl/>
        <w:jc w:val="center"/>
        <w:rPr>
          <w:rFonts w:ascii="黑体" w:hAnsi="黑体" w:eastAsia="黑体"/>
          <w:sz w:val="48"/>
          <w:szCs w:val="48"/>
        </w:rPr>
      </w:pPr>
      <w:r>
        <w:rPr>
          <w:rFonts w:ascii="方正小标宋简体" w:hAnsi="宋体" w:eastAsia="方正小标宋简体"/>
          <w:sz w:val="36"/>
          <w:szCs w:val="36"/>
        </w:rPr>
        <w:br w:type="page"/>
      </w:r>
      <w:r>
        <w:rPr>
          <w:rFonts w:hint="eastAsia" w:ascii="黑体" w:hAnsi="黑体" w:eastAsia="黑体"/>
          <w:sz w:val="48"/>
          <w:szCs w:val="48"/>
        </w:rPr>
        <w:t>目录</w:t>
      </w:r>
    </w:p>
    <w:p>
      <w:pPr>
        <w:widowControl/>
        <w:jc w:val="center"/>
        <w:rPr>
          <w:rFonts w:ascii="黑体" w:hAnsi="黑体" w:eastAsia="黑体" w:cstheme="minorBidi"/>
          <w:sz w:val="28"/>
          <w:szCs w:val="28"/>
        </w:rPr>
      </w:pPr>
    </w:p>
    <w:p>
      <w:pPr>
        <w:pStyle w:val="12"/>
        <w:rPr>
          <w:rFonts w:hint="eastAsia" w:ascii="宋体" w:hAnsi="宋体" w:eastAsia="宋体" w:cs="宋体"/>
          <w:sz w:val="32"/>
          <w:szCs w:val="32"/>
        </w:rPr>
      </w:pPr>
      <w:r>
        <w:rPr>
          <w:rFonts w:hint="eastAsia" w:ascii="宋体" w:hAnsi="宋体" w:eastAsia="宋体" w:cs="宋体"/>
          <w:sz w:val="32"/>
          <w:szCs w:val="32"/>
        </w:rPr>
        <w:t>公开时间：2023年</w:t>
      </w:r>
      <w:r>
        <w:rPr>
          <w:rFonts w:hint="eastAsia" w:ascii="宋体" w:hAnsi="宋体" w:eastAsia="宋体" w:cs="宋体"/>
          <w:sz w:val="32"/>
          <w:szCs w:val="32"/>
          <w:lang w:val="en-US" w:eastAsia="zh-CN"/>
        </w:rPr>
        <w:t xml:space="preserve">10  </w:t>
      </w:r>
      <w:r>
        <w:rPr>
          <w:rFonts w:hint="eastAsia" w:ascii="宋体" w:hAnsi="宋体" w:eastAsia="宋体" w:cs="宋体"/>
          <w:sz w:val="32"/>
          <w:szCs w:val="32"/>
        </w:rPr>
        <w:t>月</w:t>
      </w:r>
      <w:r>
        <w:rPr>
          <w:rFonts w:hint="eastAsia" w:ascii="宋体" w:hAnsi="宋体" w:eastAsia="宋体" w:cs="宋体"/>
          <w:sz w:val="32"/>
          <w:szCs w:val="32"/>
          <w:lang w:val="en-US" w:eastAsia="zh-CN"/>
        </w:rPr>
        <w:t xml:space="preserve">16  </w:t>
      </w:r>
      <w:r>
        <w:rPr>
          <w:rFonts w:hint="eastAsia" w:ascii="宋体" w:hAnsi="宋体" w:eastAsia="宋体" w:cs="宋体"/>
          <w:sz w:val="32"/>
          <w:szCs w:val="32"/>
        </w:rPr>
        <w:t>日</w:t>
      </w:r>
    </w:p>
    <w:p>
      <w:pPr>
        <w:rPr>
          <w:rFonts w:hint="eastAsia" w:ascii="宋体" w:hAnsi="宋体" w:eastAsia="宋体" w:cs="宋体"/>
          <w:sz w:val="32"/>
          <w:szCs w:val="32"/>
        </w:rPr>
      </w:pPr>
    </w:p>
    <w:p>
      <w:pPr>
        <w:pStyle w:val="12"/>
        <w:adjustRightInd w:val="0"/>
        <w:snapToGrid w:val="0"/>
        <w:spacing w:before="0" w:line="440" w:lineRule="exact"/>
        <w:jc w:val="left"/>
        <w:rPr>
          <w:rFonts w:hint="eastAsia" w:ascii="宋体" w:hAnsi="宋体" w:eastAsia="宋体" w:cs="宋体"/>
          <w:sz w:val="32"/>
          <w:szCs w:val="32"/>
        </w:rPr>
      </w:pPr>
      <w:r>
        <w:rPr>
          <w:rFonts w:hint="eastAsia" w:ascii="宋体" w:hAnsi="宋体" w:eastAsia="宋体" w:cs="宋体"/>
          <w:sz w:val="32"/>
          <w:szCs w:val="32"/>
        </w:rPr>
        <w:t>第一部分 部门概况</w:t>
      </w:r>
    </w:p>
    <w:p>
      <w:pPr>
        <w:pStyle w:val="13"/>
        <w:adjustRightInd w:val="0"/>
        <w:snapToGrid w:val="0"/>
        <w:spacing w:line="440" w:lineRule="exact"/>
        <w:jc w:val="left"/>
        <w:rPr>
          <w:rFonts w:hint="eastAsia" w:ascii="宋体" w:hAnsi="宋体" w:eastAsia="宋体" w:cs="宋体"/>
          <w:sz w:val="32"/>
          <w:szCs w:val="32"/>
        </w:rPr>
      </w:pPr>
      <w:r>
        <w:rPr>
          <w:rFonts w:hint="eastAsia" w:ascii="宋体" w:hAnsi="宋体" w:eastAsia="宋体" w:cs="宋体"/>
          <w:sz w:val="32"/>
          <w:szCs w:val="32"/>
        </w:rPr>
        <w:t>一、部门职责及重点工作</w:t>
      </w:r>
    </w:p>
    <w:p>
      <w:pPr>
        <w:pStyle w:val="13"/>
        <w:adjustRightInd w:val="0"/>
        <w:snapToGrid w:val="0"/>
        <w:spacing w:line="440" w:lineRule="exact"/>
        <w:jc w:val="left"/>
        <w:rPr>
          <w:rFonts w:hint="eastAsia" w:ascii="宋体" w:hAnsi="宋体" w:eastAsia="宋体" w:cs="宋体"/>
          <w:b w:val="0"/>
          <w:bCs w:val="0"/>
          <w:sz w:val="32"/>
          <w:szCs w:val="32"/>
        </w:rPr>
      </w:pPr>
      <w:r>
        <w:rPr>
          <w:rFonts w:hint="eastAsia" w:ascii="宋体" w:hAnsi="宋体" w:eastAsia="宋体" w:cs="宋体"/>
          <w:b w:val="0"/>
          <w:bCs w:val="0"/>
          <w:sz w:val="32"/>
          <w:szCs w:val="32"/>
        </w:rPr>
        <w:t>(一)部门职责</w:t>
      </w:r>
    </w:p>
    <w:p>
      <w:pPr>
        <w:pStyle w:val="13"/>
        <w:adjustRightInd w:val="0"/>
        <w:snapToGrid w:val="0"/>
        <w:spacing w:line="440" w:lineRule="exact"/>
        <w:ind w:left="0" w:leftChars="0" w:firstLine="320" w:firstLineChars="100"/>
        <w:jc w:val="left"/>
        <w:rPr>
          <w:rFonts w:hint="eastAsia" w:ascii="宋体" w:hAnsi="宋体" w:eastAsia="宋体" w:cs="宋体"/>
          <w:sz w:val="32"/>
          <w:szCs w:val="32"/>
        </w:rPr>
      </w:pPr>
      <w:r>
        <w:rPr>
          <w:rFonts w:hint="eastAsia" w:ascii="宋体" w:hAnsi="宋体" w:eastAsia="宋体" w:cs="宋体"/>
          <w:sz w:val="32"/>
          <w:szCs w:val="32"/>
        </w:rPr>
        <w:t>（二）2022年重点工作完成情况</w:t>
      </w:r>
    </w:p>
    <w:p>
      <w:pPr>
        <w:pStyle w:val="13"/>
        <w:adjustRightInd w:val="0"/>
        <w:snapToGrid w:val="0"/>
        <w:spacing w:line="440" w:lineRule="exact"/>
        <w:jc w:val="left"/>
        <w:rPr>
          <w:rFonts w:hint="eastAsia" w:ascii="宋体" w:hAnsi="宋体" w:eastAsia="宋体" w:cs="宋体"/>
          <w:sz w:val="32"/>
          <w:szCs w:val="32"/>
        </w:rPr>
      </w:pPr>
      <w:r>
        <w:rPr>
          <w:rFonts w:hint="eastAsia" w:ascii="宋体" w:hAnsi="宋体" w:eastAsia="宋体" w:cs="宋体"/>
          <w:sz w:val="32"/>
          <w:szCs w:val="32"/>
        </w:rPr>
        <w:t>二、机构设置</w:t>
      </w:r>
    </w:p>
    <w:p>
      <w:pPr>
        <w:pStyle w:val="12"/>
        <w:adjustRightInd w:val="0"/>
        <w:snapToGrid w:val="0"/>
        <w:spacing w:before="0" w:line="440" w:lineRule="exact"/>
        <w:jc w:val="left"/>
        <w:rPr>
          <w:rFonts w:hint="eastAsia" w:ascii="宋体" w:hAnsi="宋体" w:eastAsia="宋体" w:cs="宋体"/>
          <w:sz w:val="32"/>
          <w:szCs w:val="32"/>
        </w:rPr>
      </w:pPr>
      <w:r>
        <w:rPr>
          <w:rFonts w:hint="eastAsia" w:ascii="宋体" w:hAnsi="宋体" w:eastAsia="宋体" w:cs="宋体"/>
          <w:sz w:val="32"/>
          <w:szCs w:val="32"/>
        </w:rPr>
        <w:t>第二部分 2022年度部门决算情况说明</w:t>
      </w:r>
    </w:p>
    <w:p>
      <w:pPr>
        <w:pStyle w:val="13"/>
        <w:adjustRightInd w:val="0"/>
        <w:snapToGrid w:val="0"/>
        <w:spacing w:line="440" w:lineRule="exact"/>
        <w:jc w:val="left"/>
        <w:rPr>
          <w:rFonts w:hint="eastAsia" w:ascii="宋体" w:hAnsi="宋体" w:eastAsia="宋体" w:cs="宋体"/>
          <w:sz w:val="32"/>
          <w:szCs w:val="32"/>
        </w:rPr>
      </w:pPr>
      <w:r>
        <w:rPr>
          <w:rFonts w:hint="eastAsia" w:ascii="宋体" w:hAnsi="宋体" w:eastAsia="宋体" w:cs="宋体"/>
          <w:sz w:val="32"/>
          <w:szCs w:val="32"/>
        </w:rPr>
        <w:t>一、收入支出决算总体情况说明</w:t>
      </w:r>
    </w:p>
    <w:p>
      <w:pPr>
        <w:pStyle w:val="13"/>
        <w:adjustRightInd w:val="0"/>
        <w:snapToGrid w:val="0"/>
        <w:spacing w:line="440" w:lineRule="exact"/>
        <w:jc w:val="left"/>
        <w:rPr>
          <w:rFonts w:hint="eastAsia" w:ascii="宋体" w:hAnsi="宋体" w:eastAsia="宋体" w:cs="宋体"/>
          <w:sz w:val="32"/>
          <w:szCs w:val="32"/>
        </w:rPr>
      </w:pPr>
      <w:r>
        <w:rPr>
          <w:rFonts w:hint="eastAsia" w:ascii="宋体" w:hAnsi="宋体" w:eastAsia="宋体" w:cs="宋体"/>
          <w:sz w:val="32"/>
          <w:szCs w:val="32"/>
        </w:rPr>
        <w:t>二、收入决算情况说明</w:t>
      </w:r>
    </w:p>
    <w:p>
      <w:pPr>
        <w:pStyle w:val="13"/>
        <w:adjustRightInd w:val="0"/>
        <w:snapToGrid w:val="0"/>
        <w:spacing w:line="440" w:lineRule="exact"/>
        <w:jc w:val="left"/>
        <w:rPr>
          <w:rFonts w:hint="eastAsia" w:ascii="宋体" w:hAnsi="宋体" w:eastAsia="宋体" w:cs="宋体"/>
          <w:sz w:val="32"/>
          <w:szCs w:val="32"/>
        </w:rPr>
      </w:pPr>
      <w:r>
        <w:rPr>
          <w:rFonts w:hint="eastAsia" w:ascii="宋体" w:hAnsi="宋体" w:eastAsia="宋体" w:cs="宋体"/>
          <w:sz w:val="32"/>
          <w:szCs w:val="32"/>
        </w:rPr>
        <w:t>三、支出决算情况说明</w:t>
      </w:r>
    </w:p>
    <w:p>
      <w:pPr>
        <w:pStyle w:val="13"/>
        <w:adjustRightInd w:val="0"/>
        <w:snapToGrid w:val="0"/>
        <w:spacing w:line="440" w:lineRule="exact"/>
        <w:jc w:val="left"/>
        <w:rPr>
          <w:rFonts w:hint="eastAsia" w:ascii="宋体" w:hAnsi="宋体" w:eastAsia="宋体" w:cs="宋体"/>
          <w:sz w:val="32"/>
          <w:szCs w:val="32"/>
        </w:rPr>
      </w:pPr>
      <w:r>
        <w:rPr>
          <w:rFonts w:hint="eastAsia" w:ascii="宋体" w:hAnsi="宋体" w:eastAsia="宋体" w:cs="宋体"/>
          <w:sz w:val="32"/>
          <w:szCs w:val="32"/>
        </w:rPr>
        <w:t>四、财政拨款收入支出决算总体情况说明</w:t>
      </w:r>
    </w:p>
    <w:p>
      <w:pPr>
        <w:pStyle w:val="13"/>
        <w:adjustRightInd w:val="0"/>
        <w:snapToGrid w:val="0"/>
        <w:spacing w:line="440" w:lineRule="exact"/>
        <w:jc w:val="left"/>
        <w:rPr>
          <w:rFonts w:hint="eastAsia" w:ascii="宋体" w:hAnsi="宋体" w:eastAsia="宋体" w:cs="宋体"/>
          <w:sz w:val="32"/>
          <w:szCs w:val="32"/>
        </w:rPr>
      </w:pPr>
      <w:r>
        <w:rPr>
          <w:rFonts w:hint="eastAsia" w:ascii="宋体" w:hAnsi="宋体" w:eastAsia="宋体" w:cs="宋体"/>
          <w:sz w:val="32"/>
          <w:szCs w:val="32"/>
        </w:rPr>
        <w:t>五、一般公共预算财政拨款支出决算情况说明</w:t>
      </w:r>
    </w:p>
    <w:p>
      <w:pPr>
        <w:pStyle w:val="13"/>
        <w:adjustRightInd w:val="0"/>
        <w:snapToGrid w:val="0"/>
        <w:spacing w:line="440" w:lineRule="exact"/>
        <w:jc w:val="left"/>
        <w:rPr>
          <w:rFonts w:hint="eastAsia" w:ascii="宋体" w:hAnsi="宋体" w:eastAsia="宋体" w:cs="宋体"/>
          <w:sz w:val="32"/>
          <w:szCs w:val="32"/>
        </w:rPr>
      </w:pPr>
      <w:r>
        <w:rPr>
          <w:rFonts w:hint="eastAsia" w:ascii="宋体" w:hAnsi="宋体" w:eastAsia="宋体" w:cs="宋体"/>
          <w:sz w:val="32"/>
          <w:szCs w:val="32"/>
        </w:rPr>
        <w:t>六、一般公共预算财政拨款基本支出决算情况说明</w:t>
      </w:r>
    </w:p>
    <w:p>
      <w:pPr>
        <w:pStyle w:val="13"/>
        <w:adjustRightInd w:val="0"/>
        <w:snapToGrid w:val="0"/>
        <w:spacing w:line="440" w:lineRule="exact"/>
        <w:jc w:val="left"/>
        <w:rPr>
          <w:rFonts w:hint="eastAsia" w:ascii="宋体" w:hAnsi="宋体" w:eastAsia="宋体" w:cs="宋体"/>
          <w:sz w:val="32"/>
          <w:szCs w:val="32"/>
        </w:rPr>
      </w:pPr>
      <w:r>
        <w:rPr>
          <w:rFonts w:hint="eastAsia" w:ascii="宋体" w:hAnsi="宋体" w:eastAsia="宋体" w:cs="宋体"/>
          <w:sz w:val="32"/>
          <w:szCs w:val="32"/>
        </w:rPr>
        <w:t>七、财政拨款“三公”经费支出决算情况说明</w:t>
      </w:r>
    </w:p>
    <w:p>
      <w:pPr>
        <w:pStyle w:val="13"/>
        <w:adjustRightInd w:val="0"/>
        <w:snapToGrid w:val="0"/>
        <w:spacing w:line="440" w:lineRule="exact"/>
        <w:jc w:val="left"/>
        <w:rPr>
          <w:rFonts w:hint="eastAsia" w:ascii="宋体" w:hAnsi="宋体" w:eastAsia="宋体" w:cs="宋体"/>
          <w:sz w:val="32"/>
          <w:szCs w:val="32"/>
        </w:rPr>
      </w:pPr>
      <w:r>
        <w:rPr>
          <w:rFonts w:hint="eastAsia" w:ascii="宋体" w:hAnsi="宋体" w:eastAsia="宋体" w:cs="宋体"/>
          <w:sz w:val="32"/>
          <w:szCs w:val="32"/>
        </w:rPr>
        <w:t>八、政府性基金预算支出决算情况说明</w:t>
      </w:r>
    </w:p>
    <w:p>
      <w:pPr>
        <w:pStyle w:val="13"/>
        <w:adjustRightInd w:val="0"/>
        <w:snapToGrid w:val="0"/>
        <w:spacing w:line="440" w:lineRule="exact"/>
        <w:ind w:leftChars="0"/>
        <w:jc w:val="left"/>
        <w:rPr>
          <w:rFonts w:hint="eastAsia" w:ascii="宋体" w:hAnsi="宋体" w:eastAsia="宋体" w:cs="宋体"/>
          <w:sz w:val="32"/>
          <w:szCs w:val="32"/>
        </w:rPr>
      </w:pPr>
      <w:r>
        <w:rPr>
          <w:rFonts w:hint="eastAsia" w:ascii="宋体" w:hAnsi="宋体" w:eastAsia="宋体" w:cs="宋体"/>
          <w:sz w:val="32"/>
          <w:szCs w:val="32"/>
        </w:rPr>
        <w:t>九、国有资本经营预算支出决算情况说明</w:t>
      </w:r>
    </w:p>
    <w:p>
      <w:pPr>
        <w:adjustRightInd w:val="0"/>
        <w:snapToGrid w:val="0"/>
        <w:spacing w:line="440" w:lineRule="exact"/>
        <w:ind w:firstLine="320" w:firstLineChars="100"/>
        <w:jc w:val="left"/>
        <w:rPr>
          <w:rFonts w:hint="eastAsia" w:ascii="宋体" w:hAnsi="宋体" w:eastAsia="宋体" w:cs="宋体"/>
          <w:sz w:val="32"/>
          <w:szCs w:val="32"/>
        </w:rPr>
      </w:pPr>
      <w:r>
        <w:rPr>
          <w:rStyle w:val="21"/>
          <w:rFonts w:hint="eastAsia" w:ascii="宋体" w:hAnsi="宋体" w:eastAsia="宋体" w:cs="宋体"/>
          <w:color w:val="auto"/>
          <w:sz w:val="32"/>
          <w:szCs w:val="32"/>
          <w:u w:val="none"/>
        </w:rPr>
        <w:t>十、</w:t>
      </w:r>
      <w:r>
        <w:rPr>
          <w:rFonts w:hint="eastAsia" w:ascii="宋体" w:hAnsi="宋体" w:eastAsia="宋体" w:cs="宋体"/>
          <w:sz w:val="32"/>
          <w:szCs w:val="32"/>
        </w:rPr>
        <w:t>其他重要事项的情况说明</w:t>
      </w:r>
      <w:r>
        <w:rPr>
          <w:rFonts w:hint="eastAsia" w:ascii="宋体" w:hAnsi="宋体" w:eastAsia="宋体" w:cs="宋体"/>
          <w:sz w:val="32"/>
          <w:szCs w:val="32"/>
        </w:rPr>
        <w:tab/>
      </w:r>
    </w:p>
    <w:p>
      <w:pPr>
        <w:pStyle w:val="12"/>
        <w:adjustRightInd w:val="0"/>
        <w:snapToGrid w:val="0"/>
        <w:spacing w:before="0" w:line="440" w:lineRule="exact"/>
        <w:jc w:val="left"/>
        <w:rPr>
          <w:rFonts w:hint="eastAsia" w:ascii="宋体" w:hAnsi="宋体" w:eastAsia="宋体" w:cs="宋体"/>
          <w:sz w:val="32"/>
          <w:szCs w:val="32"/>
        </w:rPr>
      </w:pPr>
      <w:r>
        <w:rPr>
          <w:rFonts w:hint="eastAsia" w:ascii="宋体" w:hAnsi="宋体" w:eastAsia="宋体" w:cs="宋体"/>
          <w:sz w:val="32"/>
          <w:szCs w:val="32"/>
        </w:rPr>
        <w:t>第三部分 名词解释</w:t>
      </w:r>
    </w:p>
    <w:p>
      <w:pPr>
        <w:pStyle w:val="12"/>
        <w:adjustRightInd w:val="0"/>
        <w:snapToGrid w:val="0"/>
        <w:spacing w:before="0" w:line="440" w:lineRule="exact"/>
        <w:jc w:val="left"/>
        <w:rPr>
          <w:rFonts w:hint="eastAsia" w:ascii="宋体" w:hAnsi="宋体" w:eastAsia="宋体" w:cs="宋体"/>
          <w:sz w:val="32"/>
          <w:szCs w:val="32"/>
        </w:rPr>
      </w:pPr>
      <w:r>
        <w:rPr>
          <w:rFonts w:hint="eastAsia" w:ascii="宋体" w:hAnsi="宋体" w:eastAsia="宋体" w:cs="宋体"/>
          <w:sz w:val="32"/>
          <w:szCs w:val="32"/>
        </w:rPr>
        <w:t>第四部分 附件</w:t>
      </w:r>
    </w:p>
    <w:p>
      <w:pPr>
        <w:pStyle w:val="12"/>
        <w:adjustRightInd w:val="0"/>
        <w:snapToGrid w:val="0"/>
        <w:spacing w:before="0" w:line="440" w:lineRule="exact"/>
        <w:jc w:val="left"/>
        <w:rPr>
          <w:rFonts w:hint="eastAsia" w:ascii="宋体" w:hAnsi="宋体" w:eastAsia="宋体" w:cs="宋体"/>
          <w:sz w:val="32"/>
          <w:szCs w:val="32"/>
        </w:rPr>
      </w:pPr>
      <w:r>
        <w:rPr>
          <w:rFonts w:hint="eastAsia" w:ascii="宋体" w:hAnsi="宋体" w:eastAsia="宋体" w:cs="宋体"/>
          <w:sz w:val="32"/>
          <w:szCs w:val="32"/>
        </w:rPr>
        <w:t>第五部分 附表</w:t>
      </w:r>
    </w:p>
    <w:p>
      <w:pPr>
        <w:pStyle w:val="13"/>
        <w:adjustRightInd w:val="0"/>
        <w:snapToGrid w:val="0"/>
        <w:spacing w:line="440" w:lineRule="exact"/>
        <w:jc w:val="left"/>
        <w:rPr>
          <w:rFonts w:hint="eastAsia" w:ascii="宋体" w:hAnsi="宋体" w:eastAsia="宋体" w:cs="宋体"/>
          <w:sz w:val="32"/>
          <w:szCs w:val="32"/>
        </w:rPr>
      </w:pPr>
      <w:r>
        <w:rPr>
          <w:rFonts w:hint="eastAsia" w:ascii="宋体" w:hAnsi="宋体" w:eastAsia="宋体" w:cs="宋体"/>
          <w:sz w:val="32"/>
          <w:szCs w:val="32"/>
        </w:rPr>
        <w:t>一、收入支出决算总表</w:t>
      </w:r>
    </w:p>
    <w:p>
      <w:pPr>
        <w:pStyle w:val="13"/>
        <w:adjustRightInd w:val="0"/>
        <w:snapToGrid w:val="0"/>
        <w:spacing w:line="440" w:lineRule="exact"/>
        <w:jc w:val="left"/>
        <w:rPr>
          <w:rFonts w:hint="eastAsia" w:ascii="宋体" w:hAnsi="宋体" w:eastAsia="宋体" w:cs="宋体"/>
          <w:sz w:val="32"/>
          <w:szCs w:val="32"/>
        </w:rPr>
      </w:pPr>
      <w:r>
        <w:rPr>
          <w:rFonts w:hint="eastAsia" w:ascii="宋体" w:hAnsi="宋体" w:eastAsia="宋体" w:cs="宋体"/>
          <w:sz w:val="32"/>
          <w:szCs w:val="32"/>
        </w:rPr>
        <w:t>二、收入决算表</w:t>
      </w:r>
    </w:p>
    <w:p>
      <w:pPr>
        <w:pStyle w:val="13"/>
        <w:adjustRightInd w:val="0"/>
        <w:snapToGrid w:val="0"/>
        <w:spacing w:line="440" w:lineRule="exact"/>
        <w:jc w:val="left"/>
        <w:rPr>
          <w:rFonts w:hint="eastAsia" w:ascii="宋体" w:hAnsi="宋体" w:eastAsia="宋体" w:cs="宋体"/>
          <w:sz w:val="32"/>
          <w:szCs w:val="32"/>
        </w:rPr>
      </w:pPr>
      <w:r>
        <w:rPr>
          <w:rFonts w:hint="eastAsia" w:ascii="宋体" w:hAnsi="宋体" w:eastAsia="宋体" w:cs="宋体"/>
          <w:sz w:val="32"/>
          <w:szCs w:val="32"/>
        </w:rPr>
        <w:t>三、支出决算表</w:t>
      </w:r>
    </w:p>
    <w:p>
      <w:pPr>
        <w:pStyle w:val="13"/>
        <w:adjustRightInd w:val="0"/>
        <w:snapToGrid w:val="0"/>
        <w:spacing w:line="440" w:lineRule="exact"/>
        <w:jc w:val="left"/>
        <w:rPr>
          <w:rFonts w:hint="eastAsia" w:ascii="宋体" w:hAnsi="宋体" w:eastAsia="宋体" w:cs="宋体"/>
          <w:sz w:val="32"/>
          <w:szCs w:val="32"/>
        </w:rPr>
      </w:pPr>
      <w:r>
        <w:rPr>
          <w:rFonts w:hint="eastAsia" w:ascii="宋体" w:hAnsi="宋体" w:eastAsia="宋体" w:cs="宋体"/>
          <w:sz w:val="32"/>
          <w:szCs w:val="32"/>
        </w:rPr>
        <w:t>四、财政拨款收入支出决算总表</w:t>
      </w:r>
    </w:p>
    <w:p>
      <w:pPr>
        <w:pStyle w:val="13"/>
        <w:adjustRightInd w:val="0"/>
        <w:snapToGrid w:val="0"/>
        <w:spacing w:line="440" w:lineRule="exact"/>
        <w:jc w:val="left"/>
        <w:rPr>
          <w:rFonts w:hint="eastAsia" w:ascii="宋体" w:hAnsi="宋体" w:eastAsia="宋体" w:cs="宋体"/>
          <w:sz w:val="32"/>
          <w:szCs w:val="32"/>
        </w:rPr>
      </w:pPr>
      <w:r>
        <w:rPr>
          <w:rFonts w:hint="eastAsia" w:ascii="宋体" w:hAnsi="宋体" w:eastAsia="宋体" w:cs="宋体"/>
          <w:sz w:val="32"/>
          <w:szCs w:val="32"/>
        </w:rPr>
        <w:t>五、财政拨款支出决算明细表</w:t>
      </w:r>
    </w:p>
    <w:p>
      <w:pPr>
        <w:pStyle w:val="13"/>
        <w:adjustRightInd w:val="0"/>
        <w:snapToGrid w:val="0"/>
        <w:spacing w:line="440" w:lineRule="exact"/>
        <w:jc w:val="left"/>
        <w:rPr>
          <w:rFonts w:hint="eastAsia" w:ascii="宋体" w:hAnsi="宋体" w:eastAsia="宋体" w:cs="宋体"/>
          <w:sz w:val="32"/>
          <w:szCs w:val="32"/>
        </w:rPr>
      </w:pPr>
      <w:r>
        <w:rPr>
          <w:rFonts w:hint="eastAsia" w:ascii="宋体" w:hAnsi="宋体" w:eastAsia="宋体" w:cs="宋体"/>
          <w:sz w:val="32"/>
          <w:szCs w:val="32"/>
        </w:rPr>
        <w:t>六、一般公共预算财政拨款支出决算表</w:t>
      </w:r>
    </w:p>
    <w:p>
      <w:pPr>
        <w:pStyle w:val="13"/>
        <w:adjustRightInd w:val="0"/>
        <w:snapToGrid w:val="0"/>
        <w:spacing w:line="440" w:lineRule="exact"/>
        <w:jc w:val="left"/>
        <w:rPr>
          <w:rFonts w:hint="eastAsia" w:ascii="宋体" w:hAnsi="宋体" w:eastAsia="宋体" w:cs="宋体"/>
          <w:sz w:val="32"/>
          <w:szCs w:val="32"/>
        </w:rPr>
      </w:pPr>
      <w:r>
        <w:rPr>
          <w:rFonts w:hint="eastAsia" w:ascii="宋体" w:hAnsi="宋体" w:eastAsia="宋体" w:cs="宋体"/>
          <w:sz w:val="32"/>
          <w:szCs w:val="32"/>
        </w:rPr>
        <w:t>七、一般公共预算财政拨款支出决算明细表</w:t>
      </w:r>
    </w:p>
    <w:p>
      <w:pPr>
        <w:pStyle w:val="13"/>
        <w:adjustRightInd w:val="0"/>
        <w:snapToGrid w:val="0"/>
        <w:spacing w:line="440" w:lineRule="exact"/>
        <w:jc w:val="left"/>
        <w:rPr>
          <w:rFonts w:hint="eastAsia" w:ascii="宋体" w:hAnsi="宋体" w:eastAsia="宋体" w:cs="宋体"/>
          <w:sz w:val="32"/>
          <w:szCs w:val="32"/>
        </w:rPr>
      </w:pPr>
      <w:r>
        <w:rPr>
          <w:rFonts w:hint="eastAsia" w:ascii="宋体" w:hAnsi="宋体" w:eastAsia="宋体" w:cs="宋体"/>
          <w:sz w:val="32"/>
          <w:szCs w:val="32"/>
        </w:rPr>
        <w:t>八、一般公共预算财政拨款基本支出决算明细表</w:t>
      </w:r>
    </w:p>
    <w:p>
      <w:pPr>
        <w:pStyle w:val="13"/>
        <w:adjustRightInd w:val="0"/>
        <w:snapToGrid w:val="0"/>
        <w:spacing w:line="440" w:lineRule="exact"/>
        <w:jc w:val="left"/>
        <w:rPr>
          <w:rFonts w:hint="eastAsia" w:ascii="宋体" w:hAnsi="宋体" w:eastAsia="宋体" w:cs="宋体"/>
          <w:sz w:val="32"/>
          <w:szCs w:val="32"/>
        </w:rPr>
      </w:pPr>
      <w:r>
        <w:rPr>
          <w:rFonts w:hint="eastAsia" w:ascii="宋体" w:hAnsi="宋体" w:eastAsia="宋体" w:cs="宋体"/>
          <w:sz w:val="32"/>
          <w:szCs w:val="32"/>
        </w:rPr>
        <w:t>九、一般公共预算财政拨款项目支出决算表</w:t>
      </w:r>
    </w:p>
    <w:p>
      <w:pPr>
        <w:pStyle w:val="13"/>
        <w:adjustRightInd w:val="0"/>
        <w:snapToGrid w:val="0"/>
        <w:spacing w:line="440" w:lineRule="exact"/>
        <w:jc w:val="left"/>
        <w:rPr>
          <w:rFonts w:hint="eastAsia" w:ascii="宋体" w:hAnsi="宋体" w:eastAsia="宋体" w:cs="宋体"/>
          <w:sz w:val="32"/>
          <w:szCs w:val="32"/>
        </w:rPr>
      </w:pPr>
      <w:r>
        <w:rPr>
          <w:rFonts w:hint="eastAsia" w:ascii="宋体" w:hAnsi="宋体" w:eastAsia="宋体" w:cs="宋体"/>
          <w:sz w:val="32"/>
          <w:szCs w:val="32"/>
        </w:rPr>
        <w:t>十、政府性基金预算财政拨款收入支出决算表</w:t>
      </w:r>
    </w:p>
    <w:p>
      <w:pPr>
        <w:pStyle w:val="13"/>
        <w:adjustRightInd w:val="0"/>
        <w:snapToGrid w:val="0"/>
        <w:spacing w:line="440" w:lineRule="exact"/>
        <w:jc w:val="left"/>
        <w:rPr>
          <w:rFonts w:hint="eastAsia" w:ascii="宋体" w:hAnsi="宋体" w:eastAsia="宋体" w:cs="宋体"/>
          <w:sz w:val="32"/>
          <w:szCs w:val="32"/>
        </w:rPr>
      </w:pPr>
      <w:r>
        <w:rPr>
          <w:rFonts w:hint="eastAsia" w:ascii="宋体" w:hAnsi="宋体" w:eastAsia="宋体" w:cs="宋体"/>
          <w:sz w:val="32"/>
          <w:szCs w:val="32"/>
        </w:rPr>
        <w:t>十一、国有资本经营预算财政拨款收入支出决算表</w:t>
      </w:r>
    </w:p>
    <w:p>
      <w:pPr>
        <w:pStyle w:val="13"/>
        <w:adjustRightInd w:val="0"/>
        <w:snapToGrid w:val="0"/>
        <w:spacing w:line="440" w:lineRule="exact"/>
        <w:jc w:val="left"/>
        <w:rPr>
          <w:rFonts w:hint="eastAsia" w:ascii="宋体" w:hAnsi="宋体" w:eastAsia="宋体" w:cs="宋体"/>
          <w:sz w:val="32"/>
          <w:szCs w:val="32"/>
        </w:rPr>
      </w:pPr>
      <w:r>
        <w:rPr>
          <w:rFonts w:hint="eastAsia" w:ascii="宋体" w:hAnsi="宋体" w:eastAsia="宋体" w:cs="宋体"/>
          <w:sz w:val="32"/>
          <w:szCs w:val="32"/>
        </w:rPr>
        <w:t>十二、国有资本经营预算财政拨款支出决算表</w:t>
      </w:r>
    </w:p>
    <w:p>
      <w:pPr>
        <w:pStyle w:val="13"/>
        <w:adjustRightInd w:val="0"/>
        <w:snapToGrid w:val="0"/>
        <w:spacing w:line="440" w:lineRule="exact"/>
        <w:jc w:val="left"/>
        <w:rPr>
          <w:rFonts w:hint="eastAsia" w:ascii="宋体" w:hAnsi="宋体" w:eastAsia="宋体" w:cs="宋体"/>
          <w:sz w:val="32"/>
          <w:szCs w:val="32"/>
        </w:rPr>
      </w:pPr>
      <w:r>
        <w:rPr>
          <w:rFonts w:hint="eastAsia" w:ascii="宋体" w:hAnsi="宋体" w:eastAsia="宋体" w:cs="宋体"/>
          <w:sz w:val="32"/>
          <w:szCs w:val="32"/>
        </w:rPr>
        <w:t>十三、财政拨款“三公”经费支出决算表</w:t>
      </w:r>
    </w:p>
    <w:p>
      <w:pPr>
        <w:widowControl/>
        <w:spacing w:line="440" w:lineRule="exact"/>
        <w:jc w:val="left"/>
        <w:rPr>
          <w:rFonts w:hint="eastAsia" w:ascii="宋体" w:hAnsi="宋体" w:eastAsia="宋体" w:cs="宋体"/>
          <w:bCs/>
          <w:kern w:val="44"/>
          <w:sz w:val="32"/>
          <w:szCs w:val="32"/>
        </w:rPr>
      </w:pPr>
      <w:bookmarkStart w:id="12" w:name="_Toc15396599"/>
      <w:bookmarkStart w:id="13" w:name="_Toc15377196"/>
      <w:r>
        <w:rPr>
          <w:rFonts w:hint="eastAsia" w:ascii="宋体" w:hAnsi="宋体" w:eastAsia="宋体" w:cs="宋体"/>
          <w:b/>
          <w:sz w:val="32"/>
          <w:szCs w:val="32"/>
        </w:rPr>
        <w:br w:type="page"/>
      </w:r>
    </w:p>
    <w:p>
      <w:pPr>
        <w:pStyle w:val="3"/>
        <w:jc w:val="center"/>
        <w:rPr>
          <w:rStyle w:val="31"/>
          <w:rFonts w:ascii="黑体" w:hAnsi="黑体" w:eastAsia="黑体"/>
          <w:b/>
          <w:bCs w:val="0"/>
        </w:rPr>
      </w:pPr>
      <w:r>
        <w:rPr>
          <w:rFonts w:hint="eastAsia" w:ascii="黑体" w:hAnsi="黑体" w:eastAsia="黑体"/>
          <w:b w:val="0"/>
        </w:rPr>
        <w:t xml:space="preserve">第一部分 </w:t>
      </w:r>
      <w:r>
        <w:rPr>
          <w:rStyle w:val="31"/>
          <w:rFonts w:hint="eastAsia" w:ascii="黑体" w:hAnsi="黑体" w:eastAsia="黑体"/>
          <w:b w:val="0"/>
          <w:bCs w:val="0"/>
        </w:rPr>
        <w:t>部门概况</w:t>
      </w:r>
      <w:bookmarkEnd w:id="12"/>
      <w:bookmarkEnd w:id="13"/>
    </w:p>
    <w:p>
      <w:pPr>
        <w:widowControl/>
        <w:jc w:val="left"/>
        <w:rPr>
          <w:rFonts w:ascii="黑体" w:eastAsia="黑体"/>
          <w:sz w:val="32"/>
          <w:szCs w:val="32"/>
        </w:rPr>
      </w:pPr>
    </w:p>
    <w:p>
      <w:pPr>
        <w:pStyle w:val="13"/>
        <w:numPr>
          <w:ilvl w:val="0"/>
          <w:numId w:val="1"/>
        </w:numPr>
        <w:adjustRightInd w:val="0"/>
        <w:snapToGrid w:val="0"/>
        <w:spacing w:line="440" w:lineRule="exact"/>
        <w:jc w:val="left"/>
        <w:rPr>
          <w:sz w:val="32"/>
          <w:szCs w:val="32"/>
        </w:rPr>
      </w:pPr>
      <w:bookmarkStart w:id="14" w:name="_Toc15396601"/>
      <w:bookmarkStart w:id="15" w:name="_Toc15377200"/>
      <w:r>
        <w:rPr>
          <w:rFonts w:hint="eastAsia"/>
          <w:sz w:val="32"/>
          <w:szCs w:val="32"/>
        </w:rPr>
        <w:t>部门职责及重点</w:t>
      </w:r>
      <w:r>
        <w:rPr>
          <w:sz w:val="32"/>
          <w:szCs w:val="32"/>
        </w:rPr>
        <w:t>工作</w:t>
      </w:r>
    </w:p>
    <w:p>
      <w:pPr>
        <w:pStyle w:val="4"/>
        <w:numPr>
          <w:ilvl w:val="0"/>
          <w:numId w:val="2"/>
        </w:numPr>
        <w:ind w:firstLine="800" w:firstLineChars="250"/>
        <w:rPr>
          <w:rFonts w:ascii="Times New Roman" w:hAnsi="Times New Roman" w:eastAsia="宋体" w:cs="Times New Roman"/>
          <w:b w:val="0"/>
          <w:bCs w:val="0"/>
          <w:sz w:val="32"/>
          <w:szCs w:val="32"/>
        </w:rPr>
      </w:pPr>
      <w:r>
        <w:rPr>
          <w:rFonts w:hint="eastAsia" w:ascii="Times New Roman" w:hAnsi="Times New Roman" w:eastAsia="宋体" w:cs="Times New Roman"/>
          <w:b w:val="0"/>
          <w:bCs w:val="0"/>
          <w:sz w:val="32"/>
          <w:szCs w:val="32"/>
        </w:rPr>
        <w:t>部门</w:t>
      </w:r>
      <w:r>
        <w:rPr>
          <w:rFonts w:ascii="Times New Roman" w:hAnsi="Times New Roman" w:eastAsia="宋体" w:cs="Times New Roman"/>
          <w:b w:val="0"/>
          <w:bCs w:val="0"/>
          <w:sz w:val="32"/>
          <w:szCs w:val="32"/>
        </w:rPr>
        <w:t>职责</w:t>
      </w:r>
    </w:p>
    <w:p>
      <w:pPr>
        <w:pStyle w:val="4"/>
        <w:numPr>
          <w:ilvl w:val="0"/>
          <w:numId w:val="3"/>
        </w:numPr>
        <w:ind w:firstLine="640" w:firstLineChars="200"/>
        <w:rPr>
          <w:rFonts w:hint="eastAsia" w:ascii="仿宋_GB2312" w:hAnsi="Times New Roman" w:eastAsia="仿宋_GB2312"/>
          <w:b w:val="0"/>
          <w:bCs w:val="0"/>
          <w:color w:val="000000"/>
          <w:kern w:val="0"/>
          <w:sz w:val="32"/>
          <w:szCs w:val="32"/>
          <w:lang w:val="en-US" w:eastAsia="zh-CN" w:bidi="ar-SA"/>
        </w:rPr>
      </w:pPr>
      <w:r>
        <w:rPr>
          <w:rFonts w:hint="eastAsia" w:ascii="仿宋_GB2312" w:hAnsi="Times New Roman" w:eastAsia="仿宋_GB2312"/>
          <w:b w:val="0"/>
          <w:bCs w:val="0"/>
          <w:color w:val="000000"/>
          <w:kern w:val="0"/>
          <w:sz w:val="32"/>
          <w:szCs w:val="32"/>
          <w:lang w:val="en-US" w:eastAsia="zh-CN" w:bidi="ar-SA"/>
        </w:rPr>
        <w:t>制定和组织实施经济、科技和社会发展计划，制定资源开发技术改造和产业结构调整方案，组织指导好各业生产，搞好商品流通，协调好本乡与外地区的经济交流与合作，抓好招商引资，人才引进项目开发，不断培育市场体系，组织经济运行，促进经济发展。</w:t>
      </w:r>
    </w:p>
    <w:p>
      <w:pPr>
        <w:pStyle w:val="4"/>
        <w:numPr>
          <w:ilvl w:val="0"/>
          <w:numId w:val="0"/>
        </w:numPr>
        <w:ind w:firstLine="640" w:firstLineChars="200"/>
        <w:rPr>
          <w:rFonts w:hint="eastAsia" w:ascii="仿宋_GB2312" w:hAnsi="Times New Roman" w:eastAsia="仿宋_GB2312"/>
          <w:bCs/>
          <w:color w:val="000000"/>
          <w:kern w:val="0"/>
          <w:sz w:val="32"/>
          <w:szCs w:val="32"/>
          <w:lang w:val="en-US" w:eastAsia="zh-CN" w:bidi="ar-SA"/>
        </w:rPr>
      </w:pPr>
      <w:r>
        <w:rPr>
          <w:rFonts w:hint="eastAsia" w:ascii="仿宋_GB2312" w:hAnsi="Times New Roman" w:eastAsia="仿宋_GB2312"/>
          <w:b w:val="0"/>
          <w:bCs w:val="0"/>
          <w:color w:val="000000"/>
          <w:kern w:val="0"/>
          <w:sz w:val="32"/>
          <w:szCs w:val="32"/>
          <w:lang w:val="en-US" w:eastAsia="zh-CN" w:bidi="ar-SA"/>
        </w:rPr>
        <w:t xml:space="preserve">2、制定并组织实施乡、村建设规划，部署重点工程建设，地方道路建设及公共设施，水利设施的管理，负责土地、林木、水等自然资源和生态环境的保护，做好护林防火工作。            </w:t>
      </w:r>
      <w:r>
        <w:rPr>
          <w:rFonts w:hint="eastAsia" w:ascii="仿宋_GB2312" w:hAnsi="Times New Roman" w:eastAsia="仿宋_GB2312"/>
          <w:bCs/>
          <w:color w:val="000000"/>
          <w:kern w:val="0"/>
          <w:sz w:val="32"/>
          <w:szCs w:val="32"/>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9"/>
        <w:rPr>
          <w:rFonts w:hint="eastAsia" w:ascii="仿宋_GB2312" w:hAnsi="Times New Roman" w:eastAsia="仿宋_GB2312"/>
          <w:bCs/>
          <w:color w:val="000000"/>
          <w:kern w:val="0"/>
          <w:sz w:val="32"/>
          <w:szCs w:val="32"/>
          <w:lang w:val="en-US" w:eastAsia="zh-CN" w:bidi="ar-SA"/>
        </w:rPr>
      </w:pPr>
      <w:r>
        <w:rPr>
          <w:rFonts w:hint="eastAsia" w:ascii="仿宋_GB2312" w:hAnsi="Times New Roman" w:eastAsia="仿宋_GB2312"/>
          <w:bCs/>
          <w:color w:val="000000"/>
          <w:kern w:val="0"/>
          <w:sz w:val="32"/>
          <w:szCs w:val="32"/>
          <w:lang w:val="en-US" w:eastAsia="zh-CN" w:bidi="ar-SA"/>
        </w:rPr>
        <w:t>3、负责本行政区域内的民政、计划生育、文化教育、卫生、体育等社会公益事业的综合性工作，维护一切经济单位和个人的正当经济权益，取缔非法经济活动，调解和处理民事纠纷，打击刑事犯罪维护社会稳定。</w:t>
      </w: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9"/>
        <w:rPr>
          <w:rFonts w:hint="eastAsia" w:ascii="仿宋_GB2312" w:hAnsi="Times New Roman" w:eastAsia="仿宋_GB2312"/>
          <w:bCs/>
          <w:color w:val="000000"/>
          <w:kern w:val="0"/>
          <w:sz w:val="32"/>
          <w:szCs w:val="32"/>
          <w:lang w:val="en-US" w:eastAsia="zh-CN" w:bidi="ar-SA"/>
        </w:rPr>
      </w:pPr>
      <w:r>
        <w:rPr>
          <w:rFonts w:hint="eastAsia" w:ascii="仿宋_GB2312" w:hAnsi="Times New Roman" w:eastAsia="仿宋_GB2312"/>
          <w:bCs/>
          <w:color w:val="000000"/>
          <w:kern w:val="0"/>
          <w:sz w:val="32"/>
          <w:szCs w:val="32"/>
          <w:lang w:val="en-US" w:eastAsia="zh-CN" w:bidi="ar-SA"/>
        </w:rPr>
        <w:t xml:space="preserve">4、按计划组织本级财政收入和地方税的征收，完成国家财政计划，不断培植税源，管好财政资金，增强财政实力。   </w:t>
      </w: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9"/>
        <w:rPr>
          <w:rFonts w:hint="eastAsia" w:ascii="仿宋_GB2312" w:hAnsi="Times New Roman" w:eastAsia="仿宋_GB2312"/>
          <w:bCs/>
          <w:color w:val="000000"/>
          <w:kern w:val="0"/>
          <w:sz w:val="32"/>
          <w:szCs w:val="32"/>
          <w:lang w:val="en-US" w:eastAsia="zh-CN" w:bidi="ar-SA"/>
        </w:rPr>
      </w:pPr>
      <w:r>
        <w:rPr>
          <w:rFonts w:hint="eastAsia" w:ascii="仿宋_GB2312" w:hAnsi="Times New Roman" w:eastAsia="仿宋_GB2312"/>
          <w:bCs/>
          <w:color w:val="000000"/>
          <w:kern w:val="0"/>
          <w:sz w:val="32"/>
          <w:szCs w:val="32"/>
          <w:lang w:val="en-US" w:eastAsia="zh-CN" w:bidi="ar-SA"/>
        </w:rPr>
        <w:t>5、抓好精神文明建设，丰富群众文化生活，提倡移风易俗，反对封建迷信，破除陈规陋习，树立社会主义新风尚。</w:t>
      </w: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9"/>
        <w:rPr>
          <w:rFonts w:hint="eastAsia" w:ascii="仿宋_GB2312" w:hAnsi="Times New Roman" w:eastAsia="仿宋_GB2312"/>
          <w:bCs/>
          <w:color w:val="000000"/>
          <w:kern w:val="0"/>
          <w:sz w:val="32"/>
          <w:szCs w:val="32"/>
          <w:lang w:val="en-US" w:eastAsia="zh-CN" w:bidi="ar-SA"/>
        </w:rPr>
      </w:pPr>
      <w:r>
        <w:rPr>
          <w:rFonts w:hint="eastAsia" w:ascii="仿宋_GB2312" w:hAnsi="Times New Roman" w:eastAsia="仿宋_GB2312"/>
          <w:bCs/>
          <w:color w:val="000000"/>
          <w:kern w:val="0"/>
          <w:sz w:val="32"/>
          <w:szCs w:val="32"/>
          <w:lang w:val="en-US" w:eastAsia="zh-CN" w:bidi="ar-SA"/>
        </w:rPr>
        <w:t>6、完成上级政府交办</w:t>
      </w:r>
      <w:r>
        <w:rPr>
          <w:rFonts w:hint="eastAsia" w:ascii="仿宋_GB2312" w:eastAsia="仿宋_GB2312"/>
          <w:bCs/>
          <w:color w:val="000000"/>
          <w:kern w:val="0"/>
          <w:sz w:val="32"/>
          <w:szCs w:val="32"/>
          <w:lang w:val="en-US" w:eastAsia="zh-CN" w:bidi="ar-SA"/>
        </w:rPr>
        <w:t>的其他事项</w:t>
      </w:r>
      <w:r>
        <w:rPr>
          <w:rFonts w:hint="eastAsia" w:ascii="仿宋_GB2312" w:hAnsi="Times New Roman" w:eastAsia="仿宋_GB2312"/>
          <w:bCs/>
          <w:color w:val="000000"/>
          <w:kern w:val="0"/>
          <w:sz w:val="32"/>
          <w:szCs w:val="32"/>
          <w:lang w:val="en-US" w:eastAsia="zh-CN" w:bidi="ar-SA"/>
        </w:rPr>
        <w:t>。</w:t>
      </w:r>
    </w:p>
    <w:p>
      <w:pPr>
        <w:pStyle w:val="13"/>
        <w:adjustRightInd w:val="0"/>
        <w:snapToGrid w:val="0"/>
        <w:spacing w:line="440" w:lineRule="exact"/>
        <w:jc w:val="left"/>
        <w:rPr>
          <w:b/>
          <w:bCs/>
          <w:sz w:val="32"/>
          <w:szCs w:val="32"/>
        </w:rPr>
      </w:pPr>
      <w:r>
        <w:rPr>
          <w:rFonts w:hint="eastAsia"/>
          <w:sz w:val="32"/>
          <w:szCs w:val="32"/>
        </w:rPr>
        <w:t>（二）2022年重点工作完成情况</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20" w:firstLineChars="100"/>
        <w:jc w:val="both"/>
        <w:rPr>
          <w:rFonts w:hint="eastAsia" w:ascii="华文仿宋" w:hAnsi="华文仿宋" w:eastAsia="华文仿宋" w:cs="华文仿宋"/>
          <w:i w:val="0"/>
          <w:iCs w:val="0"/>
          <w:caps w:val="0"/>
          <w:color w:val="000000"/>
          <w:spacing w:val="0"/>
          <w:sz w:val="32"/>
          <w:szCs w:val="32"/>
        </w:rPr>
      </w:pPr>
      <w:r>
        <w:rPr>
          <w:rFonts w:hint="eastAsia" w:ascii="华文仿宋" w:hAnsi="华文仿宋" w:eastAsia="华文仿宋" w:cs="华文仿宋"/>
          <w:i w:val="0"/>
          <w:iCs w:val="0"/>
          <w:caps w:val="0"/>
          <w:color w:val="000000"/>
          <w:spacing w:val="0"/>
          <w:sz w:val="32"/>
          <w:szCs w:val="32"/>
        </w:rPr>
        <w:t>（一）实施乡村全面振兴，增添“普安不普通”成色。深入实施乡村振兴战略，加快建成现代农业强镇，全力创建省市县各级乡村振兴示范镇。</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华文仿宋" w:hAnsi="华文仿宋" w:eastAsia="华文仿宋" w:cs="华文仿宋"/>
          <w:i w:val="0"/>
          <w:iCs w:val="0"/>
          <w:caps w:val="0"/>
          <w:color w:val="000000"/>
          <w:spacing w:val="0"/>
          <w:sz w:val="32"/>
          <w:szCs w:val="32"/>
        </w:rPr>
      </w:pPr>
      <w:r>
        <w:rPr>
          <w:rFonts w:hint="eastAsia" w:ascii="华文仿宋" w:hAnsi="华文仿宋" w:eastAsia="华文仿宋" w:cs="华文仿宋"/>
          <w:i w:val="0"/>
          <w:iCs w:val="0"/>
          <w:caps w:val="0"/>
          <w:color w:val="000000"/>
          <w:spacing w:val="0"/>
          <w:sz w:val="32"/>
          <w:szCs w:val="32"/>
        </w:rPr>
        <w:t>1.巩固脱贫成效。严格落实《普安镇防止返贫监测帮扶工作方案》和“四个不摘”要求，不断健全防止返贫动态监测和帮扶机制，强化掉边掉角户和易地搬迁户后续扶持。全面做好脱贫攻坚后评估反馈问题和核心指标动态新增问题整改，扎实开展控辍保学和掉边掉角户安居工作，调整优化公益岗位、医疗救助资助等政策。聚焦脱贫攻坚“后半篇”文章和易地扶贫搬迁后续治理，持续深化“12345”共建共管共享的投工投劳模式和“六要六有”群众教育工作法。重点抓好广安对口帮扶6个项目规划实施；着重抓好东西部协作水池村冬枣园40亩温控大棚建设项目规划实施；持续抓好四个乡村振兴重点帮扶村整体规划和项目落地实施，做优做实脱贫攻坚成果同乡村振兴有效衔接。</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华文仿宋" w:hAnsi="华文仿宋" w:eastAsia="华文仿宋" w:cs="华文仿宋"/>
          <w:i w:val="0"/>
          <w:iCs w:val="0"/>
          <w:caps w:val="0"/>
          <w:color w:val="000000"/>
          <w:spacing w:val="0"/>
          <w:sz w:val="32"/>
          <w:szCs w:val="32"/>
        </w:rPr>
      </w:pPr>
      <w:r>
        <w:rPr>
          <w:rFonts w:hint="eastAsia" w:ascii="华文仿宋" w:hAnsi="华文仿宋" w:eastAsia="华文仿宋" w:cs="华文仿宋"/>
          <w:i w:val="0"/>
          <w:iCs w:val="0"/>
          <w:caps w:val="0"/>
          <w:color w:val="000000"/>
          <w:spacing w:val="0"/>
          <w:sz w:val="32"/>
          <w:szCs w:val="32"/>
        </w:rPr>
        <w:t>2.发展现代农业。一是深化农业供给侧结构性改革。以石洞沟—抄手现代农业产业园区为支撑，强化“三园”建设，大力发展订单农业，擦亮猕猴桃、冬枣、砂糖橘、中药材系列“普安品牌”。二是强化粮食安全综合保障能力。坚决遏制耕地“非农化”、防止耕地“非粮化”，高效推进撂荒土地统筹利用，规划提升建设高标准农田，三是完善产品加工销售体系。依托普安食品工业园区，做实农产品初精深加工，完善电商物流销售平台，有机结合“线上+线下”销售模式，持续打造网红农产品经济。四是壮大畜牧</w:t>
      </w:r>
      <w:r>
        <w:rPr>
          <w:rFonts w:hint="eastAsia" w:ascii="华文仿宋" w:hAnsi="华文仿宋" w:eastAsia="华文仿宋" w:cs="华文仿宋"/>
          <w:i w:val="0"/>
          <w:iCs w:val="0"/>
          <w:caps w:val="0"/>
          <w:color w:val="000000"/>
          <w:spacing w:val="0"/>
          <w:sz w:val="32"/>
          <w:szCs w:val="32"/>
          <w:lang w:eastAsia="zh-CN"/>
        </w:rPr>
        <w:t>生产</w:t>
      </w:r>
      <w:r>
        <w:rPr>
          <w:rFonts w:hint="eastAsia" w:ascii="华文仿宋" w:hAnsi="华文仿宋" w:eastAsia="华文仿宋" w:cs="华文仿宋"/>
          <w:i w:val="0"/>
          <w:iCs w:val="0"/>
          <w:caps w:val="0"/>
          <w:color w:val="000000"/>
          <w:spacing w:val="0"/>
          <w:sz w:val="32"/>
          <w:szCs w:val="32"/>
        </w:rPr>
        <w:t>发展规模。</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华文仿宋" w:hAnsi="华文仿宋" w:eastAsia="华文仿宋" w:cs="华文仿宋"/>
          <w:i w:val="0"/>
          <w:iCs w:val="0"/>
          <w:caps w:val="0"/>
          <w:color w:val="000000"/>
          <w:spacing w:val="0"/>
          <w:sz w:val="32"/>
          <w:szCs w:val="32"/>
        </w:rPr>
      </w:pPr>
      <w:r>
        <w:rPr>
          <w:rFonts w:hint="eastAsia" w:ascii="华文仿宋" w:hAnsi="华文仿宋" w:eastAsia="华文仿宋" w:cs="华文仿宋"/>
          <w:i w:val="0"/>
          <w:iCs w:val="0"/>
          <w:caps w:val="0"/>
          <w:color w:val="000000"/>
          <w:spacing w:val="0"/>
          <w:sz w:val="32"/>
          <w:szCs w:val="32"/>
        </w:rPr>
        <w:t>3.推动乡村建设。积极构建“一圈五点多线”美丽乡村示范格局，串联下寺、汉阳、江口、盐店等乡镇形成美丽宜居示范片，规划打造普安进出口名片展示点3处。做好脱贫攻坚衔接资金项目规划、广安对口帮扶项目规划、以工代赈项目储备库规划。深入实施农村人居环境整治，坚持把乡村规划与文化保护、乡村旅游、主导产业相结合，加强城乡环境综合治理工作，推进城乡污水处理、垃圾治理、交通设施一体化。扎实抓好农村“厕所革命”，完成闻溪村、江东村、松林村、响水村农村无害化卫生厕所升级改造772户，开展村容村貌提升、陈规陋习整治行动，谋划农业灌溉水利兴修，加快基本公共服务均等化。成立城乡环境治理督导组，对全镇各村社环境治理进行巡查及通报，确保我镇城乡环境综合治理得到全面提升。</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华文仿宋" w:hAnsi="华文仿宋" w:eastAsia="华文仿宋" w:cs="华文仿宋"/>
          <w:i w:val="0"/>
          <w:iCs w:val="0"/>
          <w:caps w:val="0"/>
          <w:color w:val="000000"/>
          <w:spacing w:val="0"/>
          <w:sz w:val="32"/>
          <w:szCs w:val="32"/>
        </w:rPr>
      </w:pPr>
      <w:r>
        <w:rPr>
          <w:rFonts w:hint="eastAsia" w:ascii="华文仿宋" w:hAnsi="华文仿宋" w:eastAsia="华文仿宋" w:cs="华文仿宋"/>
          <w:i w:val="0"/>
          <w:iCs w:val="0"/>
          <w:caps w:val="0"/>
          <w:color w:val="000000"/>
          <w:spacing w:val="0"/>
          <w:sz w:val="32"/>
          <w:szCs w:val="32"/>
        </w:rPr>
        <w:t>（二）全面提升城市能级，塑造“普安不普通”形象</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华文仿宋" w:hAnsi="华文仿宋" w:eastAsia="华文仿宋" w:cs="华文仿宋"/>
          <w:i w:val="0"/>
          <w:iCs w:val="0"/>
          <w:caps w:val="0"/>
          <w:color w:val="000000"/>
          <w:spacing w:val="0"/>
          <w:sz w:val="32"/>
          <w:szCs w:val="32"/>
        </w:rPr>
      </w:pPr>
      <w:r>
        <w:rPr>
          <w:rFonts w:hint="eastAsia" w:ascii="华文仿宋" w:hAnsi="华文仿宋" w:eastAsia="华文仿宋" w:cs="华文仿宋"/>
          <w:i w:val="0"/>
          <w:iCs w:val="0"/>
          <w:caps w:val="0"/>
          <w:color w:val="000000"/>
          <w:spacing w:val="0"/>
          <w:sz w:val="32"/>
          <w:szCs w:val="32"/>
        </w:rPr>
        <w:t>1.基础设施完善。依托“省级百强中心镇”培育创建工程，以“疏密、增绿、有序、提升”为抓手，加快规划实施三江口至东门桥头交通线路，启动绕城路东线建设，形成城区外围闭环，构建“两环两横”交通格局，缓解城区拥堵现状。</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华文仿宋" w:hAnsi="华文仿宋" w:eastAsia="华文仿宋" w:cs="华文仿宋"/>
          <w:i w:val="0"/>
          <w:iCs w:val="0"/>
          <w:caps w:val="0"/>
          <w:color w:val="000000"/>
          <w:spacing w:val="0"/>
          <w:sz w:val="32"/>
          <w:szCs w:val="32"/>
        </w:rPr>
      </w:pPr>
      <w:r>
        <w:rPr>
          <w:rFonts w:hint="eastAsia" w:ascii="华文仿宋" w:hAnsi="华文仿宋" w:eastAsia="华文仿宋" w:cs="华文仿宋"/>
          <w:i w:val="0"/>
          <w:iCs w:val="0"/>
          <w:caps w:val="0"/>
          <w:color w:val="000000"/>
          <w:spacing w:val="0"/>
          <w:sz w:val="32"/>
          <w:szCs w:val="32"/>
        </w:rPr>
        <w:t>2.城市品质提升。依托“历史文化名城”建设、鹤鸣山4A级景区打造和老旧小区改造，持续开展“清洁普安”“干净村庄”行动。实施城区道路维修、标识标线修复、标识标牌完善、城区数字化监控、抓拍系统升级改造，规范普闻路等车辆行驶线路，大力整治重车进城、乱停乱放、占道经营、违规载客等乱象，推进农村生活垃圾治理，逐步实现城区功能大完善、环境大改变、面貌大提升。</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华文仿宋" w:hAnsi="华文仿宋" w:eastAsia="华文仿宋" w:cs="华文仿宋"/>
          <w:i w:val="0"/>
          <w:iCs w:val="0"/>
          <w:caps w:val="0"/>
          <w:color w:val="000000"/>
          <w:spacing w:val="0"/>
          <w:sz w:val="32"/>
          <w:szCs w:val="32"/>
        </w:rPr>
      </w:pPr>
      <w:r>
        <w:rPr>
          <w:rFonts w:hint="eastAsia" w:ascii="华文仿宋" w:hAnsi="华文仿宋" w:eastAsia="华文仿宋" w:cs="华文仿宋"/>
          <w:i w:val="0"/>
          <w:iCs w:val="0"/>
          <w:caps w:val="0"/>
          <w:color w:val="000000"/>
          <w:spacing w:val="0"/>
          <w:sz w:val="32"/>
          <w:szCs w:val="32"/>
        </w:rPr>
        <w:t>3.环境问题整治。纵深推进“三大一强”专项攻坚行动，抓好中央环保督察反馈问题整改，加大生态环境保护和修复力度，维护水生态平衡，牢牢守住耕地红线，确保森林覆盖率。抓好温州商城、闻溪河流域、建筑工地等重点领域污染源头把控，加大环保设施运行监督管理，加强对道路施工工地、混凝搅拌站、城区露天堆场砂场等点位扬尘污染管控，深入开展农业面源、畜禽养殖和水产养殖污染管控，持续抓好农村乱占耕地违法建房整治，强力推行殡葬改革。</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华文仿宋" w:hAnsi="华文仿宋" w:eastAsia="华文仿宋" w:cs="华文仿宋"/>
          <w:i w:val="0"/>
          <w:iCs w:val="0"/>
          <w:caps w:val="0"/>
          <w:color w:val="000000"/>
          <w:spacing w:val="0"/>
          <w:sz w:val="32"/>
          <w:szCs w:val="32"/>
        </w:rPr>
      </w:pPr>
      <w:r>
        <w:rPr>
          <w:rFonts w:hint="eastAsia" w:ascii="华文仿宋" w:hAnsi="华文仿宋" w:eastAsia="华文仿宋" w:cs="华文仿宋"/>
          <w:i w:val="0"/>
          <w:iCs w:val="0"/>
          <w:caps w:val="0"/>
          <w:color w:val="000000"/>
          <w:spacing w:val="0"/>
          <w:sz w:val="32"/>
          <w:szCs w:val="32"/>
        </w:rPr>
        <w:t>4.践行绿色发展。着力打好三大保卫战，完善“林长制”工作体系，进一步加强对村组秸秆焚烧的监管和防控，持续抓好严禁焚烧工作，确保不点一把火、不冒一股烟。深化“河长制”工作，加快实施“农村厕所”革命，全面推进畜禽养殖</w:t>
      </w:r>
      <w:r>
        <w:rPr>
          <w:rFonts w:hint="eastAsia" w:ascii="华文仿宋" w:hAnsi="华文仿宋" w:eastAsia="华文仿宋" w:cs="华文仿宋"/>
          <w:i w:val="0"/>
          <w:iCs w:val="0"/>
          <w:caps w:val="0"/>
          <w:color w:val="000000"/>
          <w:spacing w:val="0"/>
          <w:sz w:val="32"/>
          <w:szCs w:val="32"/>
          <w:lang w:eastAsia="zh-CN"/>
        </w:rPr>
        <w:t>污水处理</w:t>
      </w:r>
      <w:r>
        <w:rPr>
          <w:rFonts w:hint="eastAsia" w:ascii="华文仿宋" w:hAnsi="华文仿宋" w:eastAsia="华文仿宋" w:cs="华文仿宋"/>
          <w:i w:val="0"/>
          <w:iCs w:val="0"/>
          <w:caps w:val="0"/>
          <w:color w:val="000000"/>
          <w:spacing w:val="0"/>
          <w:sz w:val="32"/>
          <w:szCs w:val="32"/>
        </w:rPr>
        <w:t>、闻溪河污水管网整治、工业企业污染整治等一系列水污染整治工作，稳步提升全辖区生活污水治理率。持续推进农业面源污染防治工作，大力推进农村农药包装废弃物回收处置工作，整顿清理可再生资源回收站，对农村居民点入口集中区，新建垃圾收集转运场，规范危险废物储存、处置。</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华文仿宋" w:hAnsi="华文仿宋" w:eastAsia="华文仿宋" w:cs="华文仿宋"/>
          <w:i w:val="0"/>
          <w:iCs w:val="0"/>
          <w:caps w:val="0"/>
          <w:color w:val="000000"/>
          <w:spacing w:val="0"/>
          <w:sz w:val="32"/>
          <w:szCs w:val="32"/>
        </w:rPr>
      </w:pPr>
      <w:r>
        <w:rPr>
          <w:rFonts w:hint="eastAsia" w:ascii="华文仿宋" w:hAnsi="华文仿宋" w:eastAsia="华文仿宋" w:cs="华文仿宋"/>
          <w:i w:val="0"/>
          <w:iCs w:val="0"/>
          <w:caps w:val="0"/>
          <w:color w:val="000000"/>
          <w:spacing w:val="0"/>
          <w:sz w:val="32"/>
          <w:szCs w:val="32"/>
        </w:rPr>
        <w:t>（三）不断提高民生品质，厚植“普安不普通”情怀</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华文仿宋" w:hAnsi="华文仿宋" w:eastAsia="华文仿宋" w:cs="华文仿宋"/>
          <w:i w:val="0"/>
          <w:iCs w:val="0"/>
          <w:caps w:val="0"/>
          <w:color w:val="000000"/>
          <w:spacing w:val="0"/>
          <w:sz w:val="32"/>
          <w:szCs w:val="32"/>
        </w:rPr>
      </w:pPr>
      <w:r>
        <w:rPr>
          <w:rFonts w:hint="eastAsia" w:ascii="华文仿宋" w:hAnsi="华文仿宋" w:eastAsia="华文仿宋" w:cs="华文仿宋"/>
          <w:i w:val="0"/>
          <w:iCs w:val="0"/>
          <w:caps w:val="0"/>
          <w:color w:val="000000"/>
          <w:spacing w:val="0"/>
          <w:sz w:val="32"/>
          <w:szCs w:val="32"/>
        </w:rPr>
        <w:t>1.优化社会公共服务。持续推进“互联网＋政务服务”工作，拓展便民利民功能。通过向上争取项目资金、招商引资等方式，规划建设城区2—3个智慧停车场，新增停车位1000个，经请示上级有关部门同意，规划实行城区部分路段机动车临时占道停放服务收费管理制度，规范停车收费。改建城乡公厕及农村卫生厕所，新增厕位300个。</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华文仿宋" w:hAnsi="华文仿宋" w:eastAsia="华文仿宋" w:cs="华文仿宋"/>
          <w:i w:val="0"/>
          <w:iCs w:val="0"/>
          <w:caps w:val="0"/>
          <w:color w:val="000000"/>
          <w:spacing w:val="0"/>
          <w:sz w:val="32"/>
          <w:szCs w:val="32"/>
        </w:rPr>
      </w:pPr>
      <w:r>
        <w:rPr>
          <w:rFonts w:hint="eastAsia" w:ascii="华文仿宋" w:hAnsi="华文仿宋" w:eastAsia="华文仿宋" w:cs="华文仿宋"/>
          <w:i w:val="0"/>
          <w:iCs w:val="0"/>
          <w:caps w:val="0"/>
          <w:color w:val="000000"/>
          <w:spacing w:val="0"/>
          <w:sz w:val="32"/>
          <w:szCs w:val="32"/>
        </w:rPr>
        <w:t>2.提升社会保障水平。持续开展“我为群众办实事”活动，落实好市县各项民生工程，着力办好村级卫生健康服务、农村安全饮水供水工程服务、养老服务机构服务、农村计划生育扶助等民生实事。统筹抓好高校毕业生、返乡农民工、退役军人等重点群体就业技能培训。深入实施全民参保计划，稳步提高各项社会保险待遇水平。扎实做好城镇困难群众解困脱困工作，继续关注失独家庭、低保户、残疾人等社会弱势群体社会救助工作，确保共同富裕路上“一个不能少”。</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华文仿宋" w:hAnsi="华文仿宋" w:eastAsia="华文仿宋" w:cs="华文仿宋"/>
          <w:i w:val="0"/>
          <w:iCs w:val="0"/>
          <w:caps w:val="0"/>
          <w:color w:val="000000"/>
          <w:spacing w:val="0"/>
          <w:sz w:val="32"/>
          <w:szCs w:val="32"/>
        </w:rPr>
      </w:pPr>
      <w:r>
        <w:rPr>
          <w:rFonts w:hint="eastAsia" w:ascii="华文仿宋" w:hAnsi="华文仿宋" w:eastAsia="华文仿宋" w:cs="华文仿宋"/>
          <w:i w:val="0"/>
          <w:iCs w:val="0"/>
          <w:caps w:val="0"/>
          <w:color w:val="000000"/>
          <w:spacing w:val="0"/>
          <w:sz w:val="32"/>
          <w:szCs w:val="32"/>
        </w:rPr>
        <w:t>3.加强城乡基层治理。不断完善“综治中心+网格化+信息化”基层社会治理体系。充分发挥群众自治和德治教化作用，引导群众行为、规范社会秩序。坚持和发展新时代“枫桥经验”，完善矛盾纠纷多元预防调处化解机制，推动征地拆迁、交通事故</w:t>
      </w:r>
      <w:r>
        <w:rPr>
          <w:rFonts w:hint="eastAsia" w:ascii="华文仿宋" w:hAnsi="华文仿宋" w:eastAsia="华文仿宋" w:cs="华文仿宋"/>
          <w:i w:val="0"/>
          <w:iCs w:val="0"/>
          <w:caps w:val="0"/>
          <w:color w:val="000000"/>
          <w:spacing w:val="0"/>
          <w:sz w:val="32"/>
          <w:szCs w:val="32"/>
          <w:lang w:eastAsia="zh-CN"/>
        </w:rPr>
        <w:t>等</w:t>
      </w:r>
      <w:r>
        <w:rPr>
          <w:rFonts w:hint="eastAsia" w:ascii="华文仿宋" w:hAnsi="华文仿宋" w:eastAsia="华文仿宋" w:cs="华文仿宋"/>
          <w:i w:val="0"/>
          <w:iCs w:val="0"/>
          <w:caps w:val="0"/>
          <w:color w:val="000000"/>
          <w:spacing w:val="0"/>
          <w:sz w:val="32"/>
          <w:szCs w:val="32"/>
        </w:rPr>
        <w:t>纠纷高发领域专业性调解，扎实开展治理重复信访、化解信访积案专项工作，及时化解剑门府、城北丽景、龙海楠亭等问题楼盘遗留问题。做好新时代民族宗教工作，支持工会、共青团、妇联和残联、红十字会等群团组织更好发挥作用，做实关心下一代工作，做好双拥共建、退役军人事务、人民防空、禁毒、科普、档案、保密、地方志、邮政等工作。</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华文仿宋" w:hAnsi="华文仿宋" w:eastAsia="华文仿宋" w:cs="华文仿宋"/>
          <w:i w:val="0"/>
          <w:iCs w:val="0"/>
          <w:caps w:val="0"/>
          <w:color w:val="000000"/>
          <w:spacing w:val="0"/>
          <w:sz w:val="32"/>
          <w:szCs w:val="32"/>
        </w:rPr>
      </w:pPr>
      <w:r>
        <w:rPr>
          <w:rFonts w:hint="eastAsia" w:ascii="华文仿宋" w:hAnsi="华文仿宋" w:eastAsia="华文仿宋" w:cs="华文仿宋"/>
          <w:i w:val="0"/>
          <w:iCs w:val="0"/>
          <w:caps w:val="0"/>
          <w:color w:val="000000"/>
          <w:spacing w:val="0"/>
          <w:sz w:val="32"/>
          <w:szCs w:val="32"/>
        </w:rPr>
        <w:t>（四）聚焦维护社会稳定，筑牢“普安不普通”防线</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华文仿宋" w:hAnsi="华文仿宋" w:eastAsia="华文仿宋" w:cs="华文仿宋"/>
          <w:i w:val="0"/>
          <w:iCs w:val="0"/>
          <w:caps w:val="0"/>
          <w:color w:val="000000"/>
          <w:spacing w:val="0"/>
          <w:sz w:val="32"/>
          <w:szCs w:val="32"/>
        </w:rPr>
      </w:pPr>
      <w:r>
        <w:rPr>
          <w:rFonts w:hint="eastAsia" w:ascii="华文仿宋" w:hAnsi="华文仿宋" w:eastAsia="华文仿宋" w:cs="华文仿宋"/>
          <w:i w:val="0"/>
          <w:iCs w:val="0"/>
          <w:caps w:val="0"/>
          <w:color w:val="000000"/>
          <w:spacing w:val="0"/>
          <w:sz w:val="32"/>
          <w:szCs w:val="32"/>
        </w:rPr>
        <w:t>1.精准抓好疫情防控。坚持“外防输入、内防反弹”，进一步压实“四方责任”、落实“四早”措施，小网格作用更加凸显。坚持“人、物、环境同防”，加强涉疫地区来返普人员排查管理，强化高风险岗位人员闭环管理，强化重点场所、重点部位和冷链物流等关键环节防控，进一步发挥城市地区疫情防控、疫情防控大数据排查等6个专班作用。严格落实“五包一”制度管理，不断强化流调溯源队伍建设，做好隔离场所管理和应急物资储备，大力提升应急处置能力。积极推动新冠病毒疫苗接种工作，确保适宜人群应接尽接。强化正面引导，不折不扣落实各项防控措施。</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华文仿宋" w:hAnsi="华文仿宋" w:eastAsia="华文仿宋" w:cs="华文仿宋"/>
          <w:i w:val="0"/>
          <w:iCs w:val="0"/>
          <w:caps w:val="0"/>
          <w:color w:val="000000"/>
          <w:spacing w:val="0"/>
          <w:sz w:val="32"/>
          <w:szCs w:val="32"/>
        </w:rPr>
      </w:pPr>
      <w:r>
        <w:rPr>
          <w:rFonts w:hint="eastAsia" w:ascii="华文仿宋" w:hAnsi="华文仿宋" w:eastAsia="华文仿宋" w:cs="华文仿宋"/>
          <w:i w:val="0"/>
          <w:iCs w:val="0"/>
          <w:caps w:val="0"/>
          <w:color w:val="000000"/>
          <w:spacing w:val="0"/>
          <w:sz w:val="32"/>
          <w:szCs w:val="32"/>
        </w:rPr>
        <w:t>2.防范化解重大风险。抓好反分裂、反暴恐、反邪教、禁毒斗争等工作，不断推进扫黑除恶工作常态化，构建扫黑除恶长效常治机制。完善信访制度和流程，形成重心向下、关口前移、一线化解矛盾的新局面。充分发挥人民调解在维护社会安全稳定的“第一道防线”作用，切实做到“小事不出村、大事不出镇、矛盾不上交”，确保各类矛盾纠纷在基层有效化解。大力推进法治政府建设，坚持依法治镇、依法执政、依法行政共同推进，法治政府、法治社会一体推进，进一步完善社会治安防控体系，持续加强普法宣传，突出依法行政与依法治镇。</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华文仿宋" w:hAnsi="华文仿宋" w:eastAsia="华文仿宋" w:cs="华文仿宋"/>
          <w:i w:val="0"/>
          <w:iCs w:val="0"/>
          <w:caps w:val="0"/>
          <w:color w:val="000000"/>
          <w:spacing w:val="0"/>
          <w:sz w:val="32"/>
          <w:szCs w:val="32"/>
        </w:rPr>
      </w:pPr>
      <w:r>
        <w:rPr>
          <w:rFonts w:hint="eastAsia" w:ascii="华文仿宋" w:hAnsi="华文仿宋" w:eastAsia="华文仿宋" w:cs="华文仿宋"/>
          <w:i w:val="0"/>
          <w:iCs w:val="0"/>
          <w:caps w:val="0"/>
          <w:color w:val="000000"/>
          <w:spacing w:val="0"/>
          <w:sz w:val="32"/>
          <w:szCs w:val="32"/>
        </w:rPr>
        <w:t>3.深化“平安普安”建设。全面实行安全生产清单制管理，持续开展安全生产集中整治三年行动，以安全生产“大学习、大排查、大整治”为年度工作为抓手，严格落实安全生产责任，</w:t>
      </w:r>
      <w:r>
        <w:rPr>
          <w:rFonts w:hint="eastAsia" w:ascii="华文仿宋" w:hAnsi="华文仿宋" w:eastAsia="华文仿宋" w:cs="华文仿宋"/>
          <w:i w:val="0"/>
          <w:iCs w:val="0"/>
          <w:caps w:val="0"/>
          <w:color w:val="000000"/>
          <w:spacing w:val="0"/>
          <w:sz w:val="32"/>
          <w:szCs w:val="32"/>
          <w:lang w:eastAsia="zh-CN"/>
        </w:rPr>
        <w:t>抓好</w:t>
      </w:r>
      <w:r>
        <w:rPr>
          <w:rFonts w:hint="eastAsia" w:ascii="华文仿宋" w:hAnsi="华文仿宋" w:eastAsia="华文仿宋" w:cs="华文仿宋"/>
          <w:i w:val="0"/>
          <w:iCs w:val="0"/>
          <w:caps w:val="0"/>
          <w:color w:val="000000"/>
          <w:spacing w:val="0"/>
          <w:sz w:val="32"/>
          <w:szCs w:val="32"/>
        </w:rPr>
        <w:t>源头风险防控，加强建筑、燃气、交通、消防等领域安全隐患排查，建立风险分级管控、隐患排查治理预防工作体系和责任制度，加强安全管理和安全监管执法力度，全力打好打赢安全防控攻坚。</w:t>
      </w:r>
    </w:p>
    <w:p>
      <w:pPr>
        <w:numPr>
          <w:ilvl w:val="0"/>
          <w:numId w:val="0"/>
        </w:numPr>
      </w:pPr>
    </w:p>
    <w:p>
      <w:pPr>
        <w:pStyle w:val="4"/>
        <w:rPr>
          <w:rStyle w:val="32"/>
          <w:b w:val="0"/>
          <w:bCs w:val="0"/>
        </w:rPr>
      </w:pPr>
      <w:r>
        <w:rPr>
          <w:rFonts w:hint="eastAsia" w:ascii="黑体" w:eastAsia="黑体"/>
          <w:b w:val="0"/>
        </w:rPr>
        <w:t>二、</w:t>
      </w:r>
      <w:r>
        <w:rPr>
          <w:rFonts w:hint="eastAsia" w:ascii="黑体" w:hAnsi="黑体" w:eastAsia="黑体"/>
          <w:b w:val="0"/>
        </w:rPr>
        <w:t>机</w:t>
      </w:r>
      <w:r>
        <w:rPr>
          <w:rStyle w:val="32"/>
          <w:rFonts w:hint="eastAsia" w:ascii="黑体" w:hAnsi="黑体" w:eastAsia="黑体"/>
          <w:b w:val="0"/>
          <w:bCs w:val="0"/>
        </w:rPr>
        <w:t>构设置</w:t>
      </w:r>
      <w:bookmarkEnd w:id="14"/>
      <w:bookmarkEnd w:id="15"/>
    </w:p>
    <w:p>
      <w:pPr>
        <w:pStyle w:val="2"/>
        <w:keepNext w:val="0"/>
        <w:keepLines w:val="0"/>
        <w:pageBreakBefore w:val="0"/>
        <w:widowControl w:val="0"/>
        <w:kinsoku/>
        <w:wordWrap/>
        <w:overflowPunct/>
        <w:topLinePunct w:val="0"/>
        <w:bidi w:val="0"/>
        <w:adjustRightInd w:val="0"/>
        <w:snapToGrid w:val="0"/>
        <w:spacing w:line="576" w:lineRule="exact"/>
        <w:ind w:left="0" w:leftChars="0" w:right="0" w:rightChars="0" w:firstLine="672" w:firstLineChars="210"/>
        <w:textAlignment w:val="auto"/>
        <w:rPr>
          <w:rFonts w:hint="eastAsia"/>
          <w:color w:val="000000"/>
          <w:sz w:val="32"/>
          <w:szCs w:val="32"/>
        </w:rPr>
      </w:pPr>
      <w:r>
        <w:rPr>
          <w:rFonts w:hint="eastAsia"/>
          <w:color w:val="000000"/>
          <w:sz w:val="32"/>
          <w:szCs w:val="32"/>
          <w:lang w:eastAsia="zh-CN"/>
        </w:rPr>
        <w:t>本单位</w:t>
      </w:r>
      <w:r>
        <w:rPr>
          <w:rFonts w:hint="eastAsia"/>
          <w:color w:val="000000"/>
          <w:sz w:val="32"/>
          <w:szCs w:val="32"/>
        </w:rPr>
        <w:t>下属二级单位</w:t>
      </w:r>
      <w:r>
        <w:rPr>
          <w:rFonts w:hint="eastAsia"/>
          <w:color w:val="000000"/>
          <w:sz w:val="32"/>
          <w:szCs w:val="32"/>
          <w:lang w:val="en-US" w:eastAsia="zh-CN"/>
        </w:rPr>
        <w:t>0</w:t>
      </w:r>
      <w:r>
        <w:rPr>
          <w:rFonts w:hint="eastAsia"/>
          <w:color w:val="000000"/>
          <w:sz w:val="32"/>
          <w:szCs w:val="32"/>
        </w:rPr>
        <w:t>个，其中行政单位</w:t>
      </w:r>
      <w:r>
        <w:rPr>
          <w:rFonts w:hint="eastAsia"/>
          <w:color w:val="000000"/>
          <w:sz w:val="32"/>
          <w:szCs w:val="32"/>
          <w:lang w:val="en-US" w:eastAsia="zh-CN"/>
        </w:rPr>
        <w:t>0</w:t>
      </w:r>
      <w:r>
        <w:rPr>
          <w:rFonts w:hint="eastAsia"/>
          <w:color w:val="000000"/>
          <w:sz w:val="32"/>
          <w:szCs w:val="32"/>
        </w:rPr>
        <w:t>个，参照公务员法管理的事业单位</w:t>
      </w:r>
      <w:r>
        <w:rPr>
          <w:rFonts w:hint="eastAsia"/>
          <w:bCs/>
          <w:color w:val="000000"/>
          <w:sz w:val="32"/>
          <w:szCs w:val="32"/>
          <w:lang w:val="en-US" w:eastAsia="zh-CN"/>
        </w:rPr>
        <w:t>0</w:t>
      </w:r>
      <w:r>
        <w:rPr>
          <w:rFonts w:hint="eastAsia"/>
          <w:color w:val="000000"/>
          <w:sz w:val="32"/>
          <w:szCs w:val="32"/>
        </w:rPr>
        <w:t>个，其他事业单位</w:t>
      </w:r>
      <w:r>
        <w:rPr>
          <w:rFonts w:hint="eastAsia"/>
          <w:color w:val="000000"/>
          <w:sz w:val="32"/>
          <w:szCs w:val="32"/>
          <w:lang w:val="en-US" w:eastAsia="zh-CN"/>
        </w:rPr>
        <w:t>0</w:t>
      </w:r>
      <w:r>
        <w:rPr>
          <w:rFonts w:hint="eastAsia"/>
          <w:color w:val="000000"/>
          <w:sz w:val="32"/>
          <w:szCs w:val="32"/>
        </w:rPr>
        <w:t>个。</w:t>
      </w:r>
      <w:bookmarkStart w:id="16" w:name="_Toc15377204"/>
      <w:bookmarkStart w:id="17" w:name="_Toc15396602"/>
    </w:p>
    <w:p>
      <w:pPr>
        <w:pStyle w:val="2"/>
        <w:keepNext w:val="0"/>
        <w:keepLines w:val="0"/>
        <w:pageBreakBefore w:val="0"/>
        <w:widowControl w:val="0"/>
        <w:kinsoku/>
        <w:wordWrap/>
        <w:overflowPunct/>
        <w:topLinePunct w:val="0"/>
        <w:bidi w:val="0"/>
        <w:adjustRightInd w:val="0"/>
        <w:snapToGrid w:val="0"/>
        <w:spacing w:line="576" w:lineRule="exact"/>
        <w:ind w:left="0" w:leftChars="0" w:right="0" w:rightChars="0" w:firstLine="672" w:firstLineChars="210"/>
        <w:textAlignment w:val="auto"/>
        <w:rPr>
          <w:rFonts w:hint="eastAsia"/>
          <w:color w:val="000000"/>
          <w:sz w:val="32"/>
          <w:szCs w:val="32"/>
        </w:rPr>
      </w:pPr>
    </w:p>
    <w:p>
      <w:pPr>
        <w:pStyle w:val="2"/>
        <w:keepNext w:val="0"/>
        <w:keepLines w:val="0"/>
        <w:pageBreakBefore w:val="0"/>
        <w:widowControl w:val="0"/>
        <w:kinsoku/>
        <w:wordWrap/>
        <w:overflowPunct/>
        <w:topLinePunct w:val="0"/>
        <w:bidi w:val="0"/>
        <w:adjustRightInd w:val="0"/>
        <w:snapToGrid w:val="0"/>
        <w:spacing w:line="576" w:lineRule="exact"/>
        <w:ind w:left="0" w:leftChars="0" w:right="0" w:rightChars="0" w:firstLine="630" w:firstLineChars="210"/>
        <w:textAlignment w:val="auto"/>
        <w:rPr>
          <w:rStyle w:val="31"/>
          <w:rFonts w:ascii="黑体" w:hAnsi="黑体" w:eastAsia="黑体"/>
          <w:b w:val="0"/>
          <w:bCs/>
        </w:rPr>
      </w:pPr>
      <w:r>
        <w:rPr>
          <w:rFonts w:hint="eastAsia" w:ascii="黑体" w:hAnsi="黑体" w:eastAsia="黑体"/>
          <w:b w:val="0"/>
        </w:rPr>
        <w:t>第二部分 2022年度</w:t>
      </w:r>
      <w:r>
        <w:rPr>
          <w:rStyle w:val="31"/>
          <w:rFonts w:hint="eastAsia" w:ascii="黑体" w:hAnsi="黑体" w:eastAsia="黑体"/>
          <w:b w:val="0"/>
          <w:bCs/>
        </w:rPr>
        <w:t>部门决算情况说明</w:t>
      </w:r>
      <w:bookmarkEnd w:id="16"/>
      <w:bookmarkEnd w:id="17"/>
    </w:p>
    <w:p/>
    <w:p>
      <w:pPr>
        <w:pStyle w:val="30"/>
        <w:numPr>
          <w:ilvl w:val="0"/>
          <w:numId w:val="4"/>
        </w:numPr>
        <w:spacing w:line="600" w:lineRule="exact"/>
        <w:ind w:firstLineChars="0"/>
        <w:outlineLvl w:val="1"/>
        <w:rPr>
          <w:rStyle w:val="32"/>
          <w:rFonts w:ascii="黑体" w:hAnsi="黑体" w:eastAsia="黑体"/>
          <w:b w:val="0"/>
        </w:rPr>
      </w:pPr>
      <w:bookmarkStart w:id="18" w:name="_Toc15377205"/>
      <w:bookmarkStart w:id="19" w:name="_Toc15396603"/>
      <w:r>
        <w:rPr>
          <w:rFonts w:hint="eastAsia" w:ascii="黑体" w:hAnsi="黑体" w:eastAsia="黑体"/>
          <w:sz w:val="32"/>
          <w:szCs w:val="32"/>
        </w:rPr>
        <w:t>收</w:t>
      </w:r>
      <w:r>
        <w:rPr>
          <w:rStyle w:val="32"/>
          <w:rFonts w:hint="eastAsia" w:ascii="黑体" w:hAnsi="黑体" w:eastAsia="黑体"/>
          <w:b w:val="0"/>
        </w:rPr>
        <w:t>入支出决算总体情况说明</w:t>
      </w:r>
      <w:bookmarkEnd w:id="18"/>
      <w:bookmarkEnd w:id="19"/>
    </w:p>
    <w:p>
      <w:pPr>
        <w:keepNext w:val="0"/>
        <w:keepLines w:val="0"/>
        <w:pageBreakBefore w:val="0"/>
        <w:widowControl w:val="0"/>
        <w:kinsoku/>
        <w:wordWrap/>
        <w:overflowPunct/>
        <w:topLinePunct w:val="0"/>
        <w:bidi w:val="0"/>
        <w:spacing w:line="576" w:lineRule="exact"/>
        <w:ind w:left="0" w:leftChars="0" w:right="0" w:rightChars="0" w:firstLine="640" w:firstLineChars="200"/>
        <w:textAlignment w:val="auto"/>
        <w:rPr>
          <w:rFonts w:hint="default" w:ascii="仿宋_GB2312" w:eastAsia="仿宋_GB2312"/>
          <w:color w:val="000000"/>
          <w:sz w:val="32"/>
          <w:szCs w:val="32"/>
          <w:lang w:val="en-US" w:eastAsia="zh-CN"/>
        </w:rPr>
      </w:pPr>
      <w:r>
        <w:rPr>
          <w:rFonts w:hint="eastAsia" w:ascii="仿宋_GB2312" w:eastAsia="仿宋_GB2312"/>
          <w:color w:val="000000"/>
          <w:sz w:val="32"/>
          <w:szCs w:val="32"/>
          <w:lang w:eastAsia="zh-CN"/>
        </w:rPr>
        <w:t>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w:t>
      </w:r>
      <w:r>
        <w:rPr>
          <w:rFonts w:hint="eastAsia" w:ascii="仿宋_GB2312" w:eastAsia="仿宋_GB2312"/>
          <w:color w:val="000000"/>
          <w:sz w:val="32"/>
          <w:szCs w:val="32"/>
          <w:lang w:eastAsia="zh-CN"/>
        </w:rPr>
        <w:t>普安镇人民政府</w:t>
      </w:r>
      <w:r>
        <w:rPr>
          <w:rFonts w:hint="eastAsia" w:ascii="仿宋_GB2312" w:eastAsia="仿宋_GB2312"/>
          <w:color w:val="000000"/>
          <w:sz w:val="32"/>
          <w:szCs w:val="32"/>
        </w:rPr>
        <w:t>本年收入合计</w:t>
      </w:r>
      <w:r>
        <w:rPr>
          <w:rFonts w:hint="eastAsia" w:ascii="仿宋_GB2312" w:eastAsia="仿宋_GB2312"/>
          <w:color w:val="000000"/>
          <w:sz w:val="32"/>
          <w:szCs w:val="32"/>
          <w:lang w:val="en-US" w:eastAsia="zh-CN"/>
        </w:rPr>
        <w:t>5365.87</w:t>
      </w:r>
      <w:r>
        <w:rPr>
          <w:rFonts w:hint="eastAsia" w:ascii="仿宋_GB2312" w:eastAsia="仿宋_GB2312"/>
          <w:color w:val="000000"/>
          <w:sz w:val="32"/>
          <w:szCs w:val="32"/>
        </w:rPr>
        <w:t>万元，其中：财政拨款收入</w:t>
      </w:r>
      <w:r>
        <w:rPr>
          <w:rFonts w:hint="eastAsia" w:ascii="仿宋_GB2312" w:eastAsia="仿宋_GB2312"/>
          <w:color w:val="000000"/>
          <w:sz w:val="32"/>
          <w:szCs w:val="32"/>
          <w:lang w:val="en-US" w:eastAsia="zh-CN"/>
        </w:rPr>
        <w:t>5365.87</w:t>
      </w:r>
      <w:r>
        <w:rPr>
          <w:rFonts w:hint="eastAsia" w:ascii="仿宋_GB2312" w:eastAsia="仿宋_GB2312"/>
          <w:color w:val="000000"/>
          <w:sz w:val="32"/>
          <w:szCs w:val="32"/>
        </w:rPr>
        <w:t>万元</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上年结转0万</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与2021年相比，下降0.62%。</w:t>
      </w:r>
    </w:p>
    <w:p>
      <w:pPr>
        <w:keepNext w:val="0"/>
        <w:keepLines w:val="0"/>
        <w:pageBreakBefore w:val="0"/>
        <w:widowControl w:val="0"/>
        <w:kinsoku/>
        <w:wordWrap/>
        <w:overflowPunct/>
        <w:topLinePunct w:val="0"/>
        <w:bidi w:val="0"/>
        <w:spacing w:line="576" w:lineRule="exact"/>
        <w:ind w:left="0" w:leftChars="0" w:right="0" w:rightChars="0" w:firstLine="640" w:firstLineChars="200"/>
        <w:textAlignment w:val="auto"/>
        <w:rPr>
          <w:rFonts w:hint="default" w:ascii="仿宋_GB2312" w:eastAsia="仿宋_GB2312"/>
          <w:color w:val="000000"/>
          <w:sz w:val="32"/>
          <w:szCs w:val="32"/>
          <w:lang w:val="en-US" w:eastAsia="zh-CN"/>
        </w:rPr>
      </w:pPr>
      <w:r>
        <w:rPr>
          <w:rFonts w:hint="eastAsia" w:ascii="仿宋_GB2312" w:eastAsia="仿宋_GB2312"/>
          <w:color w:val="000000"/>
          <w:sz w:val="32"/>
          <w:szCs w:val="32"/>
          <w:lang w:eastAsia="zh-CN"/>
        </w:rPr>
        <w:t>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w:t>
      </w:r>
      <w:r>
        <w:rPr>
          <w:rFonts w:hint="eastAsia" w:ascii="仿宋_GB2312" w:eastAsia="仿宋_GB2312"/>
          <w:color w:val="000000"/>
          <w:sz w:val="32"/>
          <w:szCs w:val="32"/>
          <w:lang w:eastAsia="zh-CN"/>
        </w:rPr>
        <w:t>普安镇人民政府</w:t>
      </w:r>
      <w:r>
        <w:rPr>
          <w:rFonts w:hint="eastAsia" w:ascii="仿宋_GB2312" w:eastAsia="仿宋_GB2312"/>
          <w:color w:val="000000"/>
          <w:sz w:val="32"/>
          <w:szCs w:val="32"/>
        </w:rPr>
        <w:t>本年支出合计</w:t>
      </w:r>
      <w:r>
        <w:rPr>
          <w:rFonts w:hint="eastAsia" w:eastAsia="仿宋_GB2312"/>
          <w:color w:val="000000"/>
          <w:sz w:val="32"/>
          <w:szCs w:val="32"/>
          <w:lang w:val="en-US" w:eastAsia="zh-CN"/>
        </w:rPr>
        <w:t>5365.87</w:t>
      </w:r>
      <w:r>
        <w:rPr>
          <w:rFonts w:hint="eastAsia" w:ascii="仿宋_GB2312" w:eastAsia="仿宋_GB2312"/>
          <w:color w:val="000000"/>
          <w:sz w:val="32"/>
          <w:szCs w:val="32"/>
        </w:rPr>
        <w:t>万元，其中：基本支出</w:t>
      </w:r>
      <w:r>
        <w:rPr>
          <w:rFonts w:hint="eastAsia" w:ascii="仿宋_GB2312" w:eastAsia="仿宋_GB2312"/>
          <w:color w:val="000000"/>
          <w:sz w:val="32"/>
          <w:szCs w:val="32"/>
          <w:lang w:val="en-US" w:eastAsia="zh-CN"/>
        </w:rPr>
        <w:t>3294.54</w:t>
      </w:r>
      <w:r>
        <w:rPr>
          <w:rFonts w:hint="eastAsia" w:ascii="仿宋_GB2312" w:eastAsia="仿宋_GB2312"/>
          <w:color w:val="000000"/>
          <w:sz w:val="32"/>
          <w:szCs w:val="32"/>
        </w:rPr>
        <w:t>万元，占</w:t>
      </w:r>
      <w:r>
        <w:rPr>
          <w:rFonts w:hint="eastAsia" w:ascii="仿宋_GB2312" w:eastAsia="仿宋_GB2312"/>
          <w:color w:val="000000"/>
          <w:sz w:val="32"/>
          <w:szCs w:val="32"/>
          <w:lang w:val="en-US" w:eastAsia="zh-CN"/>
        </w:rPr>
        <w:t>61.39%</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与2021年相比，下降23.90%，</w:t>
      </w:r>
      <w:r>
        <w:rPr>
          <w:rFonts w:hint="eastAsia" w:ascii="仿宋_GB2312" w:eastAsia="仿宋_GB2312"/>
          <w:color w:val="000000"/>
          <w:sz w:val="32"/>
          <w:szCs w:val="32"/>
        </w:rPr>
        <w:t>项目支出</w:t>
      </w:r>
      <w:r>
        <w:rPr>
          <w:rFonts w:hint="eastAsia" w:eastAsia="仿宋_GB2312"/>
          <w:color w:val="000000"/>
          <w:sz w:val="32"/>
          <w:szCs w:val="32"/>
          <w:lang w:val="en-US" w:eastAsia="zh-CN"/>
        </w:rPr>
        <w:t>2071.32</w:t>
      </w:r>
      <w:r>
        <w:rPr>
          <w:rFonts w:hint="eastAsia" w:ascii="仿宋_GB2312" w:eastAsia="仿宋_GB2312"/>
          <w:color w:val="000000"/>
          <w:sz w:val="32"/>
          <w:szCs w:val="32"/>
        </w:rPr>
        <w:t>万元，占</w:t>
      </w:r>
      <w:r>
        <w:rPr>
          <w:rFonts w:hint="eastAsia" w:ascii="仿宋_GB2312" w:eastAsia="仿宋_GB2312"/>
          <w:color w:val="000000"/>
          <w:sz w:val="32"/>
          <w:szCs w:val="32"/>
          <w:lang w:val="en-US" w:eastAsia="zh-CN"/>
        </w:rPr>
        <w:t>38.61%，与2021年相比，增加86.6%，主要变动原因是科目调整。</w:t>
      </w:r>
    </w:p>
    <w:p>
      <w:pPr>
        <w:pStyle w:val="2"/>
        <w:rPr>
          <w:rFonts w:hint="eastAsia" w:eastAsia="仿宋_GB2312"/>
          <w:lang w:val="en-US" w:eastAsia="zh-CN"/>
        </w:rPr>
      </w:pPr>
    </w:p>
    <w:p>
      <w:pPr>
        <w:pStyle w:val="2"/>
        <w:rPr>
          <w:rFonts w:hint="eastAsia" w:eastAsia="仿宋_GB2312"/>
          <w:lang w:val="en-US" w:eastAsia="zh-CN"/>
        </w:rPr>
      </w:pPr>
      <w:r>
        <w:drawing>
          <wp:inline distT="0" distB="0" distL="114300" distR="114300">
            <wp:extent cx="4572000" cy="2743200"/>
            <wp:effectExtent l="4445" t="4445" r="14605" b="1460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pStyle w:val="2"/>
        <w:rPr>
          <w:rFonts w:hint="eastAsia" w:eastAsia="仿宋_GB2312"/>
          <w:lang w:val="en-US" w:eastAsia="zh-CN"/>
        </w:rPr>
      </w:pPr>
    </w:p>
    <w:p>
      <w:pPr>
        <w:pStyle w:val="2"/>
        <w:rPr>
          <w:rFonts w:hint="eastAsia" w:eastAsia="仿宋_GB2312"/>
          <w:lang w:val="en-US" w:eastAsia="zh-CN"/>
        </w:rPr>
      </w:pPr>
      <w:r>
        <w:drawing>
          <wp:inline distT="0" distB="0" distL="114300" distR="114300">
            <wp:extent cx="4826000" cy="2743200"/>
            <wp:effectExtent l="4445" t="4445" r="8255" b="1460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spacing w:line="600" w:lineRule="exact"/>
        <w:ind w:firstLine="640" w:firstLineChars="200"/>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：收、支决算总计变动情况图）（柱状图）</w:t>
      </w:r>
    </w:p>
    <w:p>
      <w:pPr>
        <w:spacing w:line="600" w:lineRule="exact"/>
        <w:ind w:firstLine="640" w:firstLineChars="200"/>
        <w:jc w:val="left"/>
        <w:rPr>
          <w:rFonts w:ascii="仿宋_GB2312" w:eastAsia="仿宋_GB2312"/>
          <w:sz w:val="32"/>
          <w:szCs w:val="32"/>
        </w:rPr>
      </w:pPr>
    </w:p>
    <w:p>
      <w:pPr>
        <w:pStyle w:val="30"/>
        <w:numPr>
          <w:ilvl w:val="0"/>
          <w:numId w:val="4"/>
        </w:numPr>
        <w:spacing w:line="600" w:lineRule="exact"/>
        <w:ind w:firstLineChars="0"/>
        <w:outlineLvl w:val="1"/>
        <w:rPr>
          <w:rStyle w:val="32"/>
          <w:rFonts w:ascii="黑体" w:hAnsi="黑体" w:eastAsia="黑体"/>
          <w:b w:val="0"/>
        </w:rPr>
      </w:pPr>
      <w:bookmarkStart w:id="20" w:name="_Toc15377206"/>
      <w:bookmarkStart w:id="21" w:name="_Toc15396604"/>
      <w:r>
        <w:rPr>
          <w:rFonts w:hint="eastAsia" w:ascii="黑体" w:hAnsi="黑体" w:eastAsia="黑体"/>
          <w:sz w:val="32"/>
          <w:szCs w:val="32"/>
        </w:rPr>
        <w:t>收</w:t>
      </w:r>
      <w:r>
        <w:rPr>
          <w:rStyle w:val="32"/>
          <w:rFonts w:hint="eastAsia" w:ascii="黑体" w:hAnsi="黑体" w:eastAsia="黑体"/>
          <w:b w:val="0"/>
        </w:rPr>
        <w:t>入决算情况说明</w:t>
      </w:r>
      <w:bookmarkEnd w:id="20"/>
      <w:bookmarkEnd w:id="21"/>
    </w:p>
    <w:p>
      <w:pPr>
        <w:keepNext w:val="0"/>
        <w:keepLines w:val="0"/>
        <w:pageBreakBefore w:val="0"/>
        <w:widowControl w:val="0"/>
        <w:numPr>
          <w:ilvl w:val="0"/>
          <w:numId w:val="0"/>
        </w:numPr>
        <w:kinsoku/>
        <w:wordWrap/>
        <w:overflowPunct/>
        <w:topLinePunct w:val="0"/>
        <w:bidi w:val="0"/>
        <w:spacing w:line="576" w:lineRule="exact"/>
        <w:ind w:right="0" w:rightChars="0" w:firstLine="640" w:firstLineChars="200"/>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2022年本年收入合计</w:t>
      </w:r>
      <w:r>
        <w:rPr>
          <w:rFonts w:hint="eastAsia" w:eastAsia="仿宋_GB2312"/>
          <w:color w:val="000000"/>
          <w:sz w:val="32"/>
          <w:szCs w:val="32"/>
          <w:lang w:val="en-US" w:eastAsia="zh-CN"/>
        </w:rPr>
        <w:t>5365.87</w:t>
      </w:r>
      <w:r>
        <w:rPr>
          <w:rFonts w:hint="eastAsia" w:ascii="仿宋" w:hAnsi="仿宋" w:eastAsia="仿宋" w:cs="仿宋"/>
          <w:color w:val="000000"/>
          <w:sz w:val="32"/>
          <w:szCs w:val="32"/>
          <w:lang w:val="en-US" w:eastAsia="zh-CN"/>
        </w:rPr>
        <w:t>万元，其中：一般公共预算财政拨款收入5334.83万元，占99.42%；政府性基金预算财政拨款收入31.04万元，占0.58%，国有资本经营预算财政拨款收入0 万元，占0%，事业收入0万元，占0%，经营收入0 万元，占0%，附属单位上缴收入0 万元，占0%，其他收入0万元，占0%。</w:t>
      </w:r>
    </w:p>
    <w:p>
      <w:pPr>
        <w:spacing w:line="600" w:lineRule="exact"/>
        <w:ind w:firstLine="643" w:firstLineChars="200"/>
        <w:outlineLvl w:val="1"/>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01表</w:t>
      </w:r>
      <w:r>
        <w:rPr>
          <w:rFonts w:hint="eastAsia" w:ascii="仿宋" w:hAnsi="仿宋" w:eastAsia="仿宋"/>
          <w:b/>
          <w:sz w:val="32"/>
          <w:szCs w:val="32"/>
        </w:rPr>
        <w:t>，仅罗列本部门涉及的收入。</w:t>
      </w:r>
      <w:r>
        <w:rPr>
          <w:rFonts w:ascii="仿宋" w:hAnsi="仿宋" w:eastAsia="仿宋"/>
          <w:b/>
          <w:sz w:val="32"/>
          <w:szCs w:val="32"/>
        </w:rPr>
        <w:t>）</w:t>
      </w:r>
    </w:p>
    <w:p>
      <w:pPr>
        <w:spacing w:line="600" w:lineRule="exact"/>
        <w:rPr>
          <w:rFonts w:hint="eastAsia" w:ascii="仿宋" w:hAnsi="仿宋" w:eastAsia="仿宋"/>
          <w:sz w:val="32"/>
          <w:szCs w:val="32"/>
        </w:rPr>
      </w:pPr>
    </w:p>
    <w:p>
      <w:pPr>
        <w:pStyle w:val="2"/>
        <w:rPr>
          <w:rFonts w:hint="eastAsia" w:ascii="仿宋" w:hAnsi="仿宋" w:eastAsia="仿宋"/>
          <w:sz w:val="32"/>
          <w:szCs w:val="32"/>
        </w:rPr>
      </w:pPr>
      <w:r>
        <w:drawing>
          <wp:inline distT="0" distB="0" distL="114300" distR="114300">
            <wp:extent cx="4572000" cy="2743200"/>
            <wp:effectExtent l="4445" t="4445" r="14605" b="14605"/>
            <wp:docPr id="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2"/>
        <w:rPr>
          <w:rFonts w:hint="eastAsia" w:ascii="仿宋" w:hAnsi="仿宋" w:eastAsia="仿宋"/>
          <w:sz w:val="32"/>
          <w:szCs w:val="32"/>
        </w:rPr>
      </w:pPr>
    </w:p>
    <w:p>
      <w:pPr>
        <w:spacing w:line="600" w:lineRule="exact"/>
        <w:ind w:firstLine="640" w:firstLineChars="200"/>
        <w:rPr>
          <w:rFonts w:ascii="仿宋" w:hAnsi="仿宋" w:eastAsia="仿宋"/>
          <w:sz w:val="32"/>
          <w:szCs w:val="32"/>
        </w:rPr>
      </w:pPr>
      <w:r>
        <w:rPr>
          <w:rFonts w:hint="eastAsia" w:ascii="仿宋" w:hAnsi="仿宋" w:eastAsia="仿宋"/>
          <w:sz w:val="32"/>
          <w:szCs w:val="32"/>
        </w:rPr>
        <w:t>（图2：收入决算结构图）（饼状图）</w:t>
      </w:r>
    </w:p>
    <w:p>
      <w:pPr>
        <w:spacing w:line="600" w:lineRule="exact"/>
        <w:ind w:firstLine="640" w:firstLineChars="200"/>
        <w:rPr>
          <w:rFonts w:ascii="仿宋_GB2312" w:eastAsia="仿宋_GB2312"/>
          <w:sz w:val="32"/>
          <w:szCs w:val="32"/>
        </w:rPr>
      </w:pPr>
    </w:p>
    <w:p>
      <w:pPr>
        <w:pStyle w:val="30"/>
        <w:numPr>
          <w:ilvl w:val="0"/>
          <w:numId w:val="4"/>
        </w:numPr>
        <w:spacing w:line="600" w:lineRule="exact"/>
        <w:ind w:firstLineChars="0"/>
        <w:outlineLvl w:val="1"/>
        <w:rPr>
          <w:rStyle w:val="32"/>
          <w:rFonts w:ascii="黑体" w:hAnsi="黑体" w:eastAsia="黑体"/>
          <w:b w:val="0"/>
        </w:rPr>
      </w:pPr>
      <w:bookmarkStart w:id="22" w:name="_Toc15377207"/>
      <w:bookmarkStart w:id="23" w:name="_Toc15396605"/>
      <w:r>
        <w:rPr>
          <w:rFonts w:hint="eastAsia" w:ascii="黑体" w:hAnsi="黑体" w:eastAsia="黑体"/>
          <w:sz w:val="32"/>
          <w:szCs w:val="32"/>
        </w:rPr>
        <w:t>支</w:t>
      </w:r>
      <w:r>
        <w:rPr>
          <w:rStyle w:val="32"/>
          <w:rFonts w:hint="eastAsia" w:ascii="黑体" w:hAnsi="黑体" w:eastAsia="黑体"/>
          <w:b w:val="0"/>
        </w:rPr>
        <w:t>出决算情况说明</w:t>
      </w:r>
      <w:bookmarkEnd w:id="22"/>
      <w:bookmarkEnd w:id="23"/>
    </w:p>
    <w:p>
      <w:pPr>
        <w:spacing w:line="600" w:lineRule="exact"/>
        <w:ind w:firstLine="640" w:firstLineChars="200"/>
        <w:rPr>
          <w:rFonts w:hint="eastAsia" w:ascii="仿宋" w:hAnsi="仿宋" w:eastAsia="仿宋" w:cs="仿宋"/>
          <w:color w:val="000000"/>
          <w:sz w:val="32"/>
          <w:szCs w:val="32"/>
          <w:lang w:val="en-US" w:eastAsia="zh-CN"/>
        </w:rPr>
      </w:pPr>
      <w:r>
        <w:rPr>
          <w:rFonts w:hint="eastAsia" w:ascii="仿宋" w:hAnsi="仿宋" w:eastAsia="仿宋" w:cs="仿宋"/>
          <w:color w:val="auto"/>
          <w:sz w:val="32"/>
          <w:szCs w:val="32"/>
          <w:highlight w:val="none"/>
          <w:lang w:val="en-US" w:eastAsia="zh-CN"/>
        </w:rPr>
        <w:t>2022年本年支出合</w:t>
      </w:r>
      <w:r>
        <w:rPr>
          <w:rFonts w:hint="eastAsia" w:ascii="仿宋" w:hAnsi="仿宋" w:eastAsia="仿宋" w:cs="仿宋"/>
          <w:color w:val="000000"/>
          <w:sz w:val="32"/>
          <w:szCs w:val="32"/>
          <w:lang w:val="en-US" w:eastAsia="zh-CN"/>
        </w:rPr>
        <w:t>计</w:t>
      </w:r>
      <w:r>
        <w:rPr>
          <w:rFonts w:hint="eastAsia" w:eastAsia="仿宋_GB2312"/>
          <w:color w:val="000000"/>
          <w:sz w:val="32"/>
          <w:szCs w:val="32"/>
          <w:lang w:val="en-US" w:eastAsia="zh-CN"/>
        </w:rPr>
        <w:t>5365.87</w:t>
      </w:r>
      <w:r>
        <w:rPr>
          <w:rFonts w:hint="eastAsia" w:ascii="仿宋" w:hAnsi="仿宋" w:eastAsia="仿宋" w:cs="仿宋"/>
          <w:color w:val="000000"/>
          <w:sz w:val="32"/>
          <w:szCs w:val="32"/>
          <w:lang w:val="en-US" w:eastAsia="zh-CN"/>
        </w:rPr>
        <w:t>万元，其中：基本支出</w:t>
      </w:r>
      <w:r>
        <w:rPr>
          <w:rFonts w:hint="eastAsia" w:ascii="仿宋_GB2312" w:eastAsia="仿宋_GB2312"/>
          <w:color w:val="000000"/>
          <w:sz w:val="32"/>
          <w:szCs w:val="32"/>
          <w:lang w:val="en-US" w:eastAsia="zh-CN"/>
        </w:rPr>
        <w:t>3294.54</w:t>
      </w:r>
      <w:r>
        <w:rPr>
          <w:rFonts w:hint="eastAsia" w:ascii="仿宋_GB2312" w:eastAsia="仿宋_GB2312"/>
          <w:color w:val="000000"/>
          <w:sz w:val="32"/>
          <w:szCs w:val="32"/>
        </w:rPr>
        <w:t>万元，占</w:t>
      </w:r>
      <w:r>
        <w:rPr>
          <w:rFonts w:hint="eastAsia" w:ascii="仿宋_GB2312" w:eastAsia="仿宋_GB2312"/>
          <w:color w:val="000000"/>
          <w:sz w:val="32"/>
          <w:szCs w:val="32"/>
          <w:lang w:val="en-US" w:eastAsia="zh-CN"/>
        </w:rPr>
        <w:t>61.39%</w:t>
      </w:r>
      <w:r>
        <w:rPr>
          <w:rFonts w:hint="eastAsia" w:ascii="仿宋" w:hAnsi="仿宋" w:eastAsia="仿宋" w:cs="仿宋"/>
          <w:color w:val="000000"/>
          <w:sz w:val="32"/>
          <w:szCs w:val="32"/>
          <w:lang w:val="en-US" w:eastAsia="zh-CN"/>
        </w:rPr>
        <w:t>，项目支出</w:t>
      </w:r>
      <w:r>
        <w:rPr>
          <w:rFonts w:hint="eastAsia" w:eastAsia="仿宋_GB2312"/>
          <w:color w:val="000000"/>
          <w:sz w:val="32"/>
          <w:szCs w:val="32"/>
          <w:lang w:val="en-US" w:eastAsia="zh-CN"/>
        </w:rPr>
        <w:t>2071.32</w:t>
      </w:r>
      <w:r>
        <w:rPr>
          <w:rFonts w:hint="eastAsia" w:ascii="仿宋_GB2312" w:eastAsia="仿宋_GB2312"/>
          <w:color w:val="000000"/>
          <w:sz w:val="32"/>
          <w:szCs w:val="32"/>
        </w:rPr>
        <w:t>万元，占</w:t>
      </w:r>
      <w:r>
        <w:rPr>
          <w:rFonts w:hint="eastAsia" w:ascii="仿宋_GB2312" w:eastAsia="仿宋_GB2312"/>
          <w:color w:val="000000"/>
          <w:sz w:val="32"/>
          <w:szCs w:val="32"/>
          <w:lang w:val="en-US" w:eastAsia="zh-CN"/>
        </w:rPr>
        <w:t>38.61%，</w:t>
      </w:r>
      <w:r>
        <w:rPr>
          <w:rFonts w:hint="eastAsia" w:ascii="仿宋" w:hAnsi="仿宋" w:eastAsia="仿宋" w:cs="仿宋"/>
          <w:color w:val="000000"/>
          <w:sz w:val="32"/>
          <w:szCs w:val="32"/>
          <w:lang w:val="en-US" w:eastAsia="zh-CN"/>
        </w:rPr>
        <w:t>上缴上级支出0万元，占0%，经营支出0万元，占0%，对附属单位补助支出万元，占0%。</w:t>
      </w:r>
    </w:p>
    <w:p>
      <w:pPr>
        <w:spacing w:line="600" w:lineRule="exact"/>
        <w:ind w:firstLine="643" w:firstLineChars="200"/>
        <w:outlineLvl w:val="1"/>
        <w:rPr>
          <w:rFonts w:hint="eastAsia" w:ascii="仿宋" w:hAnsi="仿宋" w:eastAsia="仿宋"/>
          <w:sz w:val="32"/>
          <w:szCs w:val="32"/>
        </w:rPr>
      </w:pPr>
      <w:r>
        <w:rPr>
          <w:rFonts w:hint="eastAsia" w:ascii="仿宋" w:hAnsi="仿宋" w:eastAsia="仿宋"/>
          <w:b/>
          <w:sz w:val="32"/>
          <w:szCs w:val="32"/>
        </w:rPr>
        <w:t>（注：数据来源于财决</w:t>
      </w:r>
      <w:r>
        <w:rPr>
          <w:rFonts w:ascii="仿宋" w:hAnsi="仿宋" w:eastAsia="仿宋"/>
          <w:b/>
          <w:sz w:val="32"/>
          <w:szCs w:val="32"/>
        </w:rPr>
        <w:t>04</w:t>
      </w:r>
      <w:r>
        <w:rPr>
          <w:rFonts w:hint="eastAsia" w:ascii="仿宋" w:hAnsi="仿宋" w:eastAsia="仿宋"/>
          <w:b/>
          <w:sz w:val="32"/>
          <w:szCs w:val="32"/>
        </w:rPr>
        <w:t>表，仅罗列本部门涉及的支出。）</w:t>
      </w:r>
    </w:p>
    <w:p>
      <w:pPr>
        <w:spacing w:line="600" w:lineRule="exact"/>
        <w:rPr>
          <w:rFonts w:hint="eastAsia" w:ascii="仿宋" w:hAnsi="仿宋" w:eastAsia="仿宋"/>
          <w:sz w:val="32"/>
          <w:szCs w:val="32"/>
        </w:rPr>
      </w:pPr>
    </w:p>
    <w:p>
      <w:pPr>
        <w:pStyle w:val="2"/>
        <w:rPr>
          <w:rFonts w:hint="eastAsia" w:ascii="仿宋" w:hAnsi="仿宋" w:eastAsia="仿宋"/>
          <w:sz w:val="32"/>
          <w:szCs w:val="32"/>
          <w:lang w:eastAsia="zh-CN"/>
        </w:rPr>
      </w:pPr>
      <w:r>
        <w:drawing>
          <wp:inline distT="0" distB="0" distL="114300" distR="114300">
            <wp:extent cx="4572000" cy="2743200"/>
            <wp:effectExtent l="4445" t="4445" r="14605" b="1460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2"/>
        <w:rPr>
          <w:rFonts w:hint="eastAsia" w:ascii="仿宋" w:hAnsi="仿宋" w:eastAsia="仿宋"/>
          <w:sz w:val="32"/>
          <w:szCs w:val="32"/>
        </w:rPr>
      </w:pPr>
    </w:p>
    <w:p>
      <w:pPr>
        <w:spacing w:line="600" w:lineRule="exact"/>
        <w:ind w:firstLine="640" w:firstLineChars="200"/>
        <w:rPr>
          <w:rFonts w:ascii="仿宋" w:hAnsi="仿宋" w:eastAsia="仿宋"/>
          <w:sz w:val="32"/>
          <w:szCs w:val="32"/>
        </w:rPr>
      </w:pPr>
      <w:r>
        <w:rPr>
          <w:rFonts w:hint="eastAsia" w:ascii="仿宋" w:hAnsi="仿宋" w:eastAsia="仿宋"/>
          <w:sz w:val="32"/>
          <w:szCs w:val="32"/>
        </w:rPr>
        <w:t>（图3：支出决算结构图）（饼状图）</w:t>
      </w:r>
    </w:p>
    <w:p>
      <w:pPr>
        <w:spacing w:line="600" w:lineRule="exact"/>
        <w:ind w:firstLine="640" w:firstLineChars="200"/>
        <w:rPr>
          <w:rFonts w:ascii="仿宋_GB2312" w:eastAsia="仿宋_GB2312"/>
          <w:sz w:val="32"/>
          <w:szCs w:val="32"/>
        </w:rPr>
      </w:pPr>
    </w:p>
    <w:p>
      <w:pPr>
        <w:spacing w:line="600" w:lineRule="exact"/>
        <w:ind w:firstLine="640" w:firstLineChars="200"/>
        <w:outlineLvl w:val="1"/>
        <w:rPr>
          <w:rStyle w:val="32"/>
          <w:rFonts w:ascii="黑体" w:hAnsi="黑体" w:eastAsia="黑体"/>
          <w:b w:val="0"/>
        </w:rPr>
      </w:pPr>
      <w:bookmarkStart w:id="24" w:name="_Toc15377208"/>
      <w:bookmarkStart w:id="25" w:name="_Toc15396606"/>
      <w:r>
        <w:rPr>
          <w:rFonts w:hint="eastAsia" w:ascii="黑体" w:hAnsi="黑体" w:eastAsia="黑体"/>
          <w:sz w:val="32"/>
          <w:szCs w:val="32"/>
        </w:rPr>
        <w:t>四、财</w:t>
      </w:r>
      <w:r>
        <w:rPr>
          <w:rStyle w:val="32"/>
          <w:rFonts w:hint="eastAsia" w:ascii="黑体" w:hAnsi="黑体" w:eastAsia="黑体"/>
          <w:b w:val="0"/>
        </w:rPr>
        <w:t>政拨款收入支出决算总体情况说明</w:t>
      </w:r>
      <w:bookmarkEnd w:id="24"/>
      <w:bookmarkEnd w:id="25"/>
    </w:p>
    <w:p>
      <w:pPr>
        <w:keepNext w:val="0"/>
        <w:keepLines w:val="0"/>
        <w:pageBreakBefore w:val="0"/>
        <w:widowControl w:val="0"/>
        <w:kinsoku/>
        <w:wordWrap/>
        <w:overflowPunct/>
        <w:topLinePunct w:val="0"/>
        <w:bidi w:val="0"/>
        <w:spacing w:line="576" w:lineRule="exact"/>
        <w:ind w:left="0" w:leftChars="0" w:right="0" w:rightChars="0" w:firstLine="640" w:firstLineChars="200"/>
        <w:textAlignment w:val="auto"/>
        <w:rPr>
          <w:rFonts w:hint="default" w:ascii="仿宋_GB2312" w:eastAsia="仿宋_GB2312"/>
          <w:color w:val="000000"/>
          <w:sz w:val="32"/>
          <w:szCs w:val="32"/>
          <w:lang w:val="en-US" w:eastAsia="zh-CN"/>
        </w:rPr>
      </w:pPr>
      <w:r>
        <w:rPr>
          <w:rFonts w:hint="eastAsia" w:ascii="仿宋_GB2312" w:eastAsia="仿宋_GB2312"/>
          <w:color w:val="000000"/>
          <w:sz w:val="32"/>
          <w:szCs w:val="32"/>
          <w:lang w:eastAsia="zh-CN"/>
        </w:rPr>
        <w:t>普安镇人民政府202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年度财政拨款收</w:t>
      </w:r>
      <w:r>
        <w:rPr>
          <w:rFonts w:hint="eastAsia" w:ascii="仿宋_GB2312" w:eastAsia="仿宋_GB2312"/>
          <w:color w:val="000000"/>
          <w:sz w:val="32"/>
          <w:szCs w:val="32"/>
          <w:lang w:val="en-US" w:eastAsia="zh-CN"/>
        </w:rPr>
        <w:t>入</w:t>
      </w:r>
      <w:r>
        <w:rPr>
          <w:rFonts w:hint="eastAsia" w:ascii="仿宋_GB2312" w:eastAsia="仿宋_GB2312"/>
          <w:color w:val="000000"/>
          <w:sz w:val="32"/>
          <w:szCs w:val="32"/>
        </w:rPr>
        <w:t>合计</w:t>
      </w:r>
      <w:r>
        <w:rPr>
          <w:rFonts w:hint="eastAsia" w:eastAsia="仿宋_GB2312"/>
          <w:color w:val="000000"/>
          <w:sz w:val="32"/>
          <w:szCs w:val="32"/>
          <w:lang w:val="en-US" w:eastAsia="zh-CN"/>
        </w:rPr>
        <w:t>5365.87</w:t>
      </w:r>
      <w:r>
        <w:rPr>
          <w:rFonts w:hint="eastAsia" w:ascii="仿宋_GB2312" w:eastAsia="仿宋_GB2312"/>
          <w:color w:val="000000"/>
          <w:sz w:val="32"/>
          <w:szCs w:val="32"/>
        </w:rPr>
        <w:t>万元，</w:t>
      </w:r>
      <w:r>
        <w:rPr>
          <w:rFonts w:hint="eastAsia" w:ascii="仿宋_GB2312" w:eastAsia="仿宋_GB2312"/>
          <w:color w:val="000000"/>
          <w:sz w:val="32"/>
          <w:szCs w:val="32"/>
          <w:lang w:val="en-US" w:eastAsia="zh-CN"/>
        </w:rPr>
        <w:t>与2021年相比，下降0.62%。</w:t>
      </w:r>
    </w:p>
    <w:p>
      <w:pPr>
        <w:keepNext w:val="0"/>
        <w:keepLines w:val="0"/>
        <w:pageBreakBefore w:val="0"/>
        <w:widowControl w:val="0"/>
        <w:kinsoku/>
        <w:wordWrap/>
        <w:overflowPunct/>
        <w:topLinePunct w:val="0"/>
        <w:bidi w:val="0"/>
        <w:spacing w:line="576" w:lineRule="exact"/>
        <w:ind w:left="0" w:leftChars="0" w:right="0" w:rightChars="0" w:firstLine="640" w:firstLineChars="200"/>
        <w:textAlignment w:val="auto"/>
        <w:rPr>
          <w:rFonts w:hint="default" w:ascii="仿宋_GB2312" w:eastAsia="仿宋_GB2312"/>
          <w:color w:val="000000"/>
          <w:sz w:val="32"/>
          <w:szCs w:val="32"/>
          <w:lang w:val="en-US" w:eastAsia="zh-CN"/>
        </w:rPr>
      </w:pPr>
      <w:r>
        <w:rPr>
          <w:rFonts w:hint="eastAsia" w:ascii="仿宋_GB2312" w:eastAsia="仿宋_GB2312"/>
          <w:color w:val="000000"/>
          <w:sz w:val="32"/>
          <w:szCs w:val="32"/>
        </w:rPr>
        <w:t>支</w:t>
      </w:r>
      <w:r>
        <w:rPr>
          <w:rFonts w:hint="eastAsia" w:ascii="仿宋_GB2312" w:eastAsia="仿宋_GB2312"/>
          <w:color w:val="000000"/>
          <w:sz w:val="32"/>
          <w:szCs w:val="32"/>
          <w:lang w:val="en-US" w:eastAsia="zh-CN"/>
        </w:rPr>
        <w:t>出</w:t>
      </w:r>
      <w:r>
        <w:rPr>
          <w:rFonts w:hint="eastAsia" w:ascii="仿宋_GB2312" w:eastAsia="仿宋_GB2312"/>
          <w:color w:val="000000"/>
          <w:sz w:val="32"/>
          <w:szCs w:val="32"/>
        </w:rPr>
        <w:t>总决算</w:t>
      </w:r>
      <w:r>
        <w:rPr>
          <w:rFonts w:hint="eastAsia" w:eastAsia="仿宋_GB2312"/>
          <w:color w:val="000000"/>
          <w:sz w:val="32"/>
          <w:szCs w:val="32"/>
          <w:lang w:val="en-US" w:eastAsia="zh-CN"/>
        </w:rPr>
        <w:t>5365.87</w:t>
      </w:r>
      <w:r>
        <w:rPr>
          <w:rFonts w:hint="eastAsia" w:ascii="仿宋_GB2312" w:eastAsia="仿宋_GB2312"/>
          <w:color w:val="000000"/>
          <w:sz w:val="32"/>
          <w:szCs w:val="32"/>
        </w:rPr>
        <w:t>万元。</w:t>
      </w:r>
      <w:r>
        <w:rPr>
          <w:rFonts w:hint="eastAsia" w:ascii="仿宋_GB2312" w:eastAsia="仿宋_GB2312"/>
          <w:color w:val="000000"/>
          <w:sz w:val="32"/>
          <w:szCs w:val="32"/>
          <w:lang w:val="en-US" w:eastAsia="zh-CN"/>
        </w:rPr>
        <w:t>与2021年相比，下降1.35%，主要变动原因是人员减少。</w:t>
      </w:r>
    </w:p>
    <w:p>
      <w:pPr>
        <w:spacing w:line="600" w:lineRule="exact"/>
        <w:ind w:firstLine="640"/>
        <w:rPr>
          <w:rFonts w:ascii="仿宋" w:hAnsi="仿宋" w:eastAsia="仿宋"/>
          <w:sz w:val="32"/>
          <w:szCs w:val="32"/>
        </w:rPr>
      </w:pPr>
      <w:r>
        <w:rPr>
          <w:rFonts w:hint="eastAsia" w:ascii="仿宋" w:hAnsi="仿宋" w:eastAsia="仿宋"/>
          <w:b/>
          <w:sz w:val="32"/>
          <w:szCs w:val="32"/>
        </w:rPr>
        <w:t>（注：数据来源于财决</w:t>
      </w:r>
      <w:r>
        <w:rPr>
          <w:rFonts w:ascii="仿宋" w:hAnsi="仿宋" w:eastAsia="仿宋"/>
          <w:b/>
          <w:sz w:val="32"/>
          <w:szCs w:val="32"/>
        </w:rPr>
        <w:t>01-1</w:t>
      </w:r>
      <w:r>
        <w:rPr>
          <w:rFonts w:hint="eastAsia" w:ascii="仿宋" w:hAnsi="仿宋" w:eastAsia="仿宋"/>
          <w:b/>
          <w:sz w:val="32"/>
          <w:szCs w:val="32"/>
        </w:rPr>
        <w:t>表</w:t>
      </w:r>
      <w:r>
        <w:rPr>
          <w:rFonts w:ascii="仿宋" w:hAnsi="仿宋" w:eastAsia="仿宋"/>
          <w:b/>
          <w:sz w:val="32"/>
          <w:szCs w:val="32"/>
        </w:rPr>
        <w:t>）</w:t>
      </w:r>
    </w:p>
    <w:p>
      <w:pPr>
        <w:pStyle w:val="2"/>
        <w:rPr>
          <w:rFonts w:ascii="仿宋" w:hAnsi="仿宋" w:eastAsia="仿宋"/>
          <w:sz w:val="32"/>
          <w:szCs w:val="32"/>
        </w:rPr>
      </w:pPr>
      <w:r>
        <w:drawing>
          <wp:inline distT="0" distB="0" distL="114300" distR="114300">
            <wp:extent cx="4572000" cy="2743200"/>
            <wp:effectExtent l="4445" t="4445" r="14605" b="14605"/>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2"/>
        <w:rPr>
          <w:rFonts w:hint="eastAsia" w:ascii="仿宋" w:hAnsi="仿宋" w:eastAsia="仿宋"/>
          <w:sz w:val="32"/>
          <w:szCs w:val="32"/>
          <w:lang w:eastAsia="zh-CN"/>
        </w:rPr>
      </w:pPr>
    </w:p>
    <w:p>
      <w:pPr>
        <w:spacing w:line="600" w:lineRule="exact"/>
        <w:ind w:firstLine="640" w:firstLineChars="200"/>
        <w:rPr>
          <w:rFonts w:ascii="仿宋" w:hAnsi="仿宋" w:eastAsia="仿宋"/>
          <w:sz w:val="32"/>
          <w:szCs w:val="32"/>
        </w:rPr>
      </w:pPr>
      <w:r>
        <w:rPr>
          <w:rFonts w:hint="eastAsia" w:ascii="仿宋" w:hAnsi="仿宋" w:eastAsia="仿宋"/>
          <w:sz w:val="32"/>
          <w:szCs w:val="32"/>
        </w:rPr>
        <w:t>（图4：财政拨款收、支决算总计变动情况）（柱状图）</w:t>
      </w:r>
    </w:p>
    <w:p>
      <w:pPr>
        <w:spacing w:line="600" w:lineRule="exact"/>
        <w:ind w:firstLine="640"/>
        <w:rPr>
          <w:rFonts w:ascii="仿宋" w:hAnsi="仿宋" w:eastAsia="仿宋"/>
          <w:b/>
          <w:sz w:val="32"/>
          <w:szCs w:val="32"/>
        </w:rPr>
      </w:pPr>
    </w:p>
    <w:p>
      <w:pPr>
        <w:spacing w:line="600" w:lineRule="exact"/>
        <w:ind w:firstLine="640" w:firstLineChars="200"/>
        <w:outlineLvl w:val="1"/>
        <w:rPr>
          <w:rStyle w:val="32"/>
          <w:rFonts w:ascii="黑体" w:hAnsi="黑体" w:eastAsia="黑体"/>
          <w:b w:val="0"/>
        </w:rPr>
      </w:pPr>
      <w:bookmarkStart w:id="26" w:name="_Toc15396607"/>
      <w:bookmarkStart w:id="27" w:name="_Toc15377209"/>
      <w:r>
        <w:rPr>
          <w:rFonts w:hint="eastAsia" w:ascii="黑体" w:hAnsi="黑体" w:eastAsia="黑体"/>
          <w:sz w:val="32"/>
          <w:szCs w:val="32"/>
        </w:rPr>
        <w:t>五、</w:t>
      </w:r>
      <w:r>
        <w:rPr>
          <w:rFonts w:hint="eastAsia" w:ascii="黑体" w:hAnsi="黑体" w:eastAsia="黑体"/>
          <w:b/>
          <w:sz w:val="32"/>
          <w:szCs w:val="32"/>
        </w:rPr>
        <w:t>一</w:t>
      </w:r>
      <w:r>
        <w:rPr>
          <w:rStyle w:val="32"/>
          <w:rFonts w:hint="eastAsia" w:ascii="黑体" w:hAnsi="黑体" w:eastAsia="黑体"/>
          <w:b w:val="0"/>
        </w:rPr>
        <w:t>般公共预算财政拨款支出决算情况说明</w:t>
      </w:r>
      <w:bookmarkEnd w:id="26"/>
      <w:bookmarkEnd w:id="27"/>
    </w:p>
    <w:p>
      <w:pPr>
        <w:spacing w:line="600" w:lineRule="exact"/>
        <w:ind w:firstLine="643" w:firstLineChars="200"/>
        <w:outlineLvl w:val="2"/>
        <w:rPr>
          <w:rFonts w:ascii="仿宋" w:hAnsi="仿宋" w:eastAsia="仿宋"/>
          <w:b/>
          <w:sz w:val="32"/>
          <w:szCs w:val="32"/>
        </w:rPr>
      </w:pPr>
      <w:bookmarkStart w:id="28" w:name="_Toc15377210"/>
      <w:r>
        <w:rPr>
          <w:rFonts w:hint="eastAsia" w:ascii="仿宋" w:hAnsi="仿宋" w:eastAsia="仿宋"/>
          <w:b/>
          <w:sz w:val="32"/>
          <w:szCs w:val="32"/>
        </w:rPr>
        <w:t>（一）一般公共预算财政拨款支出决算总体情况</w:t>
      </w:r>
      <w:bookmarkEnd w:id="28"/>
    </w:p>
    <w:p>
      <w:pPr>
        <w:spacing w:line="6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lang w:eastAsia="zh-CN"/>
        </w:rPr>
        <w:t>普安镇人民政府202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年度一般公共预算财政拨款支出</w:t>
      </w:r>
      <w:r>
        <w:rPr>
          <w:rFonts w:hint="eastAsia" w:ascii="仿宋" w:hAnsi="仿宋" w:eastAsia="仿宋" w:cs="仿宋"/>
          <w:color w:val="000000"/>
          <w:sz w:val="32"/>
          <w:szCs w:val="32"/>
          <w:lang w:val="en-US" w:eastAsia="zh-CN"/>
        </w:rPr>
        <w:t>5334.83</w:t>
      </w:r>
      <w:r>
        <w:rPr>
          <w:rFonts w:hint="eastAsia" w:ascii="仿宋_GB2312" w:eastAsia="仿宋_GB2312"/>
          <w:color w:val="000000"/>
          <w:sz w:val="32"/>
          <w:szCs w:val="32"/>
        </w:rPr>
        <w:t>万元，占本年支出合计的</w:t>
      </w:r>
      <w:r>
        <w:rPr>
          <w:rFonts w:hint="eastAsia" w:ascii="仿宋" w:hAnsi="仿宋" w:eastAsia="仿宋" w:cs="仿宋"/>
          <w:color w:val="000000"/>
          <w:sz w:val="32"/>
          <w:szCs w:val="32"/>
          <w:lang w:val="en-US" w:eastAsia="zh-CN"/>
        </w:rPr>
        <w:t>99.42%%</w:t>
      </w:r>
      <w:r>
        <w:rPr>
          <w:rFonts w:hint="eastAsia" w:ascii="仿宋_GB2312" w:eastAsia="仿宋_GB2312"/>
          <w:color w:val="000000"/>
          <w:sz w:val="32"/>
          <w:szCs w:val="32"/>
        </w:rPr>
        <w:t>。与</w:t>
      </w:r>
      <w:r>
        <w:rPr>
          <w:rFonts w:hint="eastAsia" w:ascii="仿宋_GB2312" w:eastAsia="仿宋_GB2312"/>
          <w:color w:val="000000"/>
          <w:sz w:val="32"/>
          <w:szCs w:val="32"/>
          <w:lang w:eastAsia="zh-CN"/>
        </w:rPr>
        <w:t>20</w:t>
      </w:r>
      <w:r>
        <w:rPr>
          <w:rFonts w:hint="eastAsia" w:ascii="仿宋_GB2312" w:eastAsia="仿宋_GB2312"/>
          <w:color w:val="000000"/>
          <w:sz w:val="32"/>
          <w:szCs w:val="32"/>
          <w:lang w:val="en-US" w:eastAsia="zh-CN"/>
        </w:rPr>
        <w:t>21</w:t>
      </w:r>
      <w:r>
        <w:rPr>
          <w:rFonts w:hint="eastAsia" w:ascii="仿宋_GB2312" w:eastAsia="仿宋_GB2312"/>
          <w:color w:val="000000"/>
          <w:sz w:val="32"/>
          <w:szCs w:val="32"/>
        </w:rPr>
        <w:t>年相比，一般公共预算财政拨款</w:t>
      </w:r>
      <w:r>
        <w:rPr>
          <w:rFonts w:hint="eastAsia" w:ascii="仿宋_GB2312" w:eastAsia="仿宋_GB2312"/>
          <w:color w:val="000000"/>
          <w:sz w:val="32"/>
          <w:szCs w:val="32"/>
          <w:lang w:val="en-US" w:eastAsia="zh-CN"/>
        </w:rPr>
        <w:t>增加549.25</w:t>
      </w:r>
      <w:r>
        <w:rPr>
          <w:rFonts w:hint="eastAsia" w:ascii="仿宋_GB2312" w:eastAsia="仿宋_GB2312"/>
          <w:color w:val="000000"/>
          <w:sz w:val="32"/>
          <w:szCs w:val="32"/>
        </w:rPr>
        <w:t>万元，</w:t>
      </w:r>
      <w:r>
        <w:rPr>
          <w:rFonts w:hint="eastAsia" w:ascii="仿宋_GB2312" w:eastAsia="仿宋_GB2312"/>
          <w:color w:val="000000"/>
          <w:sz w:val="32"/>
          <w:szCs w:val="32"/>
          <w:lang w:val="en-US" w:eastAsia="zh-CN"/>
        </w:rPr>
        <w:t>增长11.47</w:t>
      </w:r>
      <w:r>
        <w:rPr>
          <w:rFonts w:hint="eastAsia" w:ascii="仿宋_GB2312" w:eastAsia="仿宋_GB2312"/>
          <w:color w:val="000000"/>
          <w:sz w:val="32"/>
          <w:szCs w:val="32"/>
        </w:rPr>
        <w:t>%。</w:t>
      </w:r>
    </w:p>
    <w:p>
      <w:pPr>
        <w:spacing w:line="600" w:lineRule="exact"/>
        <w:ind w:firstLine="640" w:firstLineChars="200"/>
        <w:rPr>
          <w:rFonts w:hint="eastAsia" w:ascii="仿宋" w:hAnsi="仿宋" w:eastAsia="仿宋"/>
          <w:sz w:val="32"/>
          <w:szCs w:val="32"/>
          <w:lang w:eastAsia="zh-CN"/>
        </w:rPr>
      </w:pPr>
      <w:r>
        <w:rPr>
          <w:rFonts w:hint="eastAsia" w:ascii="仿宋" w:hAnsi="仿宋" w:eastAsia="仿宋"/>
          <w:sz w:val="32"/>
          <w:szCs w:val="32"/>
        </w:rPr>
        <w:t>（图5：一般公共预算财政拨款支出决算变动情况）（柱状图）</w:t>
      </w:r>
    </w:p>
    <w:p>
      <w:pPr>
        <w:pStyle w:val="2"/>
        <w:rPr>
          <w:rFonts w:ascii="仿宋" w:hAnsi="仿宋" w:eastAsia="仿宋"/>
          <w:sz w:val="32"/>
          <w:szCs w:val="32"/>
        </w:rPr>
      </w:pPr>
      <w:r>
        <w:drawing>
          <wp:inline distT="0" distB="0" distL="114300" distR="114300">
            <wp:extent cx="4572000" cy="2743200"/>
            <wp:effectExtent l="4445" t="4445" r="14605" b="14605"/>
            <wp:docPr id="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spacing w:line="600" w:lineRule="exact"/>
        <w:ind w:firstLine="643" w:firstLineChars="200"/>
        <w:outlineLvl w:val="2"/>
        <w:rPr>
          <w:rFonts w:ascii="仿宋" w:hAnsi="仿宋" w:eastAsia="仿宋"/>
          <w:b/>
          <w:sz w:val="32"/>
          <w:szCs w:val="32"/>
        </w:rPr>
      </w:pPr>
      <w:bookmarkStart w:id="29" w:name="_Toc15377211"/>
      <w:r>
        <w:rPr>
          <w:rFonts w:hint="eastAsia" w:ascii="仿宋" w:hAnsi="仿宋" w:eastAsia="仿宋"/>
          <w:b/>
          <w:sz w:val="32"/>
          <w:szCs w:val="32"/>
        </w:rPr>
        <w:t>（二）一般公共预算财政拨款支出决算结构情况</w:t>
      </w:r>
      <w:bookmarkEnd w:id="29"/>
    </w:p>
    <w:p>
      <w:pPr>
        <w:keepNext w:val="0"/>
        <w:keepLines w:val="0"/>
        <w:pageBreakBefore w:val="0"/>
        <w:widowControl w:val="0"/>
        <w:kinsoku/>
        <w:wordWrap/>
        <w:overflowPunct/>
        <w:topLinePunct w:val="0"/>
        <w:bidi w:val="0"/>
        <w:spacing w:line="576" w:lineRule="exact"/>
        <w:ind w:left="0" w:leftChars="0" w:right="0" w:rightChars="0" w:firstLine="640" w:firstLineChars="200"/>
        <w:textAlignment w:val="auto"/>
        <w:rPr>
          <w:rFonts w:hint="eastAsia" w:ascii="仿宋_GB2312" w:eastAsia="仿宋_GB2312"/>
          <w:color w:val="000000"/>
          <w:sz w:val="32"/>
          <w:szCs w:val="32"/>
          <w:lang w:val="en-US" w:eastAsia="zh-CN"/>
        </w:rPr>
      </w:pPr>
      <w:r>
        <w:rPr>
          <w:rFonts w:hint="eastAsia" w:ascii="仿宋_GB2312" w:eastAsia="仿宋_GB2312"/>
          <w:color w:val="000000"/>
          <w:sz w:val="32"/>
          <w:szCs w:val="32"/>
          <w:lang w:eastAsia="zh-CN"/>
        </w:rPr>
        <w:t>普安镇人民政府202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年一般公共预算财政拨款支出</w:t>
      </w:r>
      <w:r>
        <w:rPr>
          <w:rFonts w:hint="eastAsia" w:ascii="仿宋" w:hAnsi="仿宋" w:eastAsia="仿宋" w:cs="仿宋"/>
          <w:color w:val="000000"/>
          <w:sz w:val="32"/>
          <w:szCs w:val="32"/>
          <w:lang w:val="en-US" w:eastAsia="zh-CN"/>
        </w:rPr>
        <w:t>5334.83</w:t>
      </w:r>
      <w:r>
        <w:rPr>
          <w:rFonts w:hint="eastAsia" w:ascii="仿宋_GB2312" w:eastAsia="仿宋_GB2312"/>
          <w:color w:val="000000"/>
          <w:sz w:val="32"/>
          <w:szCs w:val="32"/>
        </w:rPr>
        <w:t>万元，主要用于以下方面</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201</w:t>
      </w:r>
      <w:r>
        <w:rPr>
          <w:rFonts w:hint="eastAsia" w:ascii="仿宋_GB2312" w:eastAsia="仿宋_GB2312"/>
          <w:color w:val="000000"/>
          <w:sz w:val="32"/>
          <w:szCs w:val="32"/>
        </w:rPr>
        <w:t>一般公共服务</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类）</w:t>
      </w:r>
      <w:r>
        <w:rPr>
          <w:rFonts w:hint="eastAsia" w:eastAsia="仿宋_GB2312"/>
          <w:color w:val="000000"/>
          <w:sz w:val="32"/>
          <w:szCs w:val="32"/>
          <w:lang w:val="en-US" w:eastAsia="zh-CN"/>
        </w:rPr>
        <w:t>1344.30</w:t>
      </w:r>
      <w:r>
        <w:rPr>
          <w:rFonts w:hint="eastAsia" w:ascii="仿宋_GB2312" w:eastAsia="仿宋_GB2312"/>
          <w:color w:val="000000"/>
          <w:sz w:val="32"/>
          <w:szCs w:val="32"/>
        </w:rPr>
        <w:t>万元，占</w:t>
      </w:r>
      <w:r>
        <w:rPr>
          <w:rFonts w:hint="eastAsia" w:ascii="仿宋_GB2312" w:eastAsia="仿宋_GB2312"/>
          <w:color w:val="000000"/>
          <w:sz w:val="32"/>
          <w:szCs w:val="32"/>
          <w:lang w:val="en-US" w:eastAsia="zh-CN"/>
        </w:rPr>
        <w:t>25.19</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203国防（类）0.5万元，占0.009%，207</w:t>
      </w:r>
      <w:r>
        <w:rPr>
          <w:rFonts w:hint="eastAsia" w:ascii="仿宋_GB2312" w:eastAsia="仿宋_GB2312"/>
          <w:color w:val="000000"/>
          <w:sz w:val="32"/>
          <w:szCs w:val="32"/>
        </w:rPr>
        <w:t>文化体育与传媒</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类</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101.13</w:t>
      </w:r>
      <w:r>
        <w:rPr>
          <w:rFonts w:hint="eastAsia" w:ascii="仿宋_GB2312" w:eastAsia="仿宋_GB2312"/>
          <w:color w:val="000000"/>
          <w:sz w:val="32"/>
          <w:szCs w:val="32"/>
          <w:lang w:eastAsia="zh-CN"/>
        </w:rPr>
        <w:t>万元，</w:t>
      </w:r>
      <w:r>
        <w:rPr>
          <w:rFonts w:hint="eastAsia" w:ascii="仿宋_GB2312" w:eastAsia="仿宋_GB2312"/>
          <w:color w:val="000000"/>
          <w:sz w:val="32"/>
          <w:szCs w:val="32"/>
        </w:rPr>
        <w:t>占</w:t>
      </w:r>
      <w:r>
        <w:rPr>
          <w:rFonts w:hint="eastAsia" w:ascii="仿宋_GB2312" w:eastAsia="仿宋_GB2312"/>
          <w:color w:val="000000"/>
          <w:sz w:val="32"/>
          <w:szCs w:val="32"/>
          <w:lang w:val="en-US" w:eastAsia="zh-CN"/>
        </w:rPr>
        <w:t>1.89</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208</w:t>
      </w:r>
      <w:r>
        <w:rPr>
          <w:rFonts w:hint="eastAsia" w:ascii="仿宋_GB2312" w:eastAsia="仿宋_GB2312"/>
          <w:color w:val="000000"/>
          <w:sz w:val="32"/>
          <w:szCs w:val="32"/>
        </w:rPr>
        <w:t>社会保障和就业</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类</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886.18</w:t>
      </w:r>
      <w:r>
        <w:rPr>
          <w:rFonts w:hint="eastAsia" w:ascii="仿宋_GB2312" w:eastAsia="仿宋_GB2312"/>
          <w:color w:val="000000"/>
          <w:sz w:val="32"/>
          <w:szCs w:val="32"/>
        </w:rPr>
        <w:t>万元，占</w:t>
      </w:r>
      <w:r>
        <w:rPr>
          <w:rFonts w:hint="eastAsia" w:ascii="仿宋_GB2312" w:eastAsia="仿宋_GB2312"/>
          <w:color w:val="000000"/>
          <w:sz w:val="32"/>
          <w:szCs w:val="32"/>
          <w:lang w:val="en-US" w:eastAsia="zh-CN"/>
        </w:rPr>
        <w:t>16.61</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210</w:t>
      </w:r>
      <w:r>
        <w:rPr>
          <w:rFonts w:hint="eastAsia" w:ascii="仿宋_GB2312" w:eastAsia="仿宋_GB2312"/>
          <w:color w:val="000000"/>
          <w:sz w:val="32"/>
          <w:szCs w:val="32"/>
        </w:rPr>
        <w:t>医疗卫生</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类</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421.36</w:t>
      </w:r>
      <w:r>
        <w:rPr>
          <w:rFonts w:hint="eastAsia" w:ascii="仿宋_GB2312" w:eastAsia="仿宋_GB2312"/>
          <w:color w:val="000000"/>
          <w:sz w:val="32"/>
          <w:szCs w:val="32"/>
        </w:rPr>
        <w:t>万元，占</w:t>
      </w:r>
      <w:r>
        <w:rPr>
          <w:rFonts w:hint="eastAsia" w:ascii="仿宋_GB2312" w:eastAsia="仿宋_GB2312"/>
          <w:color w:val="000000"/>
          <w:sz w:val="32"/>
          <w:szCs w:val="32"/>
          <w:lang w:val="en-US" w:eastAsia="zh-CN"/>
        </w:rPr>
        <w:t>7.89</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211</w:t>
      </w:r>
      <w:r>
        <w:rPr>
          <w:rFonts w:hint="eastAsia" w:ascii="仿宋_GB2312" w:hAnsi="仿宋_GB2312" w:cs="仿宋_GB2312"/>
          <w:b w:val="0"/>
          <w:bCs/>
          <w:sz w:val="32"/>
          <w:szCs w:val="32"/>
          <w:lang w:val="en-US" w:eastAsia="zh-CN"/>
        </w:rPr>
        <w:t>节能环保</w:t>
      </w:r>
      <w:r>
        <w:rPr>
          <w:rFonts w:hint="default" w:ascii="仿宋_GB2312" w:hAnsi="仿宋_GB2312" w:cs="仿宋_GB2312"/>
          <w:b w:val="0"/>
          <w:bCs/>
          <w:sz w:val="32"/>
          <w:szCs w:val="32"/>
          <w:lang w:val="en-US" w:eastAsia="zh-CN"/>
        </w:rPr>
        <w:t>（类）</w:t>
      </w:r>
      <w:r>
        <w:rPr>
          <w:rFonts w:hint="eastAsia" w:ascii="仿宋_GB2312" w:eastAsia="仿宋_GB2312"/>
          <w:color w:val="000000"/>
          <w:sz w:val="32"/>
          <w:szCs w:val="32"/>
          <w:lang w:val="en-US" w:eastAsia="zh-CN"/>
        </w:rPr>
        <w:t>60万元，占1.12%，212</w:t>
      </w:r>
      <w:r>
        <w:rPr>
          <w:rFonts w:hint="eastAsia" w:ascii="仿宋_GB2312" w:eastAsia="仿宋_GB2312"/>
          <w:color w:val="000000"/>
          <w:sz w:val="32"/>
          <w:szCs w:val="32"/>
        </w:rPr>
        <w:t>城乡社区</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类</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20</w:t>
      </w:r>
      <w:r>
        <w:rPr>
          <w:rFonts w:hint="eastAsia" w:ascii="仿宋_GB2312" w:eastAsia="仿宋_GB2312"/>
          <w:color w:val="000000"/>
          <w:sz w:val="32"/>
          <w:szCs w:val="32"/>
          <w:lang w:eastAsia="zh-CN"/>
        </w:rPr>
        <w:t>万元，</w:t>
      </w:r>
      <w:r>
        <w:rPr>
          <w:rFonts w:hint="eastAsia" w:ascii="仿宋_GB2312" w:eastAsia="仿宋_GB2312"/>
          <w:color w:val="000000"/>
          <w:sz w:val="32"/>
          <w:szCs w:val="32"/>
        </w:rPr>
        <w:t>占</w:t>
      </w:r>
      <w:r>
        <w:rPr>
          <w:rFonts w:hint="eastAsia" w:ascii="仿宋_GB2312" w:eastAsia="仿宋_GB2312"/>
          <w:color w:val="000000"/>
          <w:sz w:val="32"/>
          <w:szCs w:val="32"/>
          <w:lang w:val="en-US" w:eastAsia="zh-CN"/>
        </w:rPr>
        <w:t>0.37</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213</w:t>
      </w:r>
      <w:r>
        <w:rPr>
          <w:rFonts w:hint="eastAsia" w:ascii="仿宋_GB2312" w:eastAsia="仿宋_GB2312"/>
          <w:color w:val="000000"/>
          <w:sz w:val="32"/>
          <w:szCs w:val="32"/>
        </w:rPr>
        <w:t>农林水</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类</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2266.30</w:t>
      </w:r>
      <w:r>
        <w:rPr>
          <w:rFonts w:hint="eastAsia" w:ascii="仿宋_GB2312" w:eastAsia="仿宋_GB2312"/>
          <w:color w:val="000000"/>
          <w:sz w:val="32"/>
          <w:szCs w:val="32"/>
          <w:lang w:eastAsia="zh-CN"/>
        </w:rPr>
        <w:t>万元，</w:t>
      </w:r>
      <w:r>
        <w:rPr>
          <w:rFonts w:hint="eastAsia" w:ascii="仿宋_GB2312" w:eastAsia="仿宋_GB2312"/>
          <w:color w:val="000000"/>
          <w:sz w:val="32"/>
          <w:szCs w:val="32"/>
        </w:rPr>
        <w:t>占</w:t>
      </w:r>
      <w:r>
        <w:rPr>
          <w:rFonts w:hint="eastAsia" w:ascii="仿宋_GB2312" w:eastAsia="仿宋_GB2312"/>
          <w:color w:val="000000"/>
          <w:sz w:val="32"/>
          <w:szCs w:val="32"/>
          <w:lang w:val="en-US" w:eastAsia="zh-CN"/>
        </w:rPr>
        <w:t>42.48</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214</w:t>
      </w:r>
      <w:r>
        <w:rPr>
          <w:rFonts w:hint="eastAsia" w:ascii="仿宋_GB2312" w:hAnsi="仿宋_GB2312" w:cs="仿宋_GB2312"/>
          <w:b w:val="0"/>
          <w:bCs/>
          <w:sz w:val="32"/>
          <w:szCs w:val="32"/>
          <w:lang w:val="en-US" w:eastAsia="zh-CN"/>
        </w:rPr>
        <w:t>交通运输</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 xml:space="preserve">4万元，占0.07%， </w:t>
      </w:r>
      <w:r>
        <w:rPr>
          <w:rFonts w:hint="eastAsia" w:ascii="仿宋_GB2312" w:eastAsia="仿宋_GB2312"/>
          <w:color w:val="000000"/>
          <w:sz w:val="32"/>
          <w:szCs w:val="32"/>
          <w:lang w:val="en-US" w:eastAsia="zh-CN"/>
        </w:rPr>
        <w:t>221</w:t>
      </w:r>
      <w:r>
        <w:rPr>
          <w:rFonts w:hint="eastAsia" w:ascii="仿宋_GB2312" w:eastAsia="仿宋_GB2312"/>
          <w:color w:val="000000"/>
          <w:sz w:val="32"/>
          <w:szCs w:val="32"/>
        </w:rPr>
        <w:t>住房保障</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类</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191.04</w:t>
      </w:r>
      <w:r>
        <w:rPr>
          <w:rFonts w:hint="eastAsia" w:ascii="仿宋_GB2312" w:eastAsia="仿宋_GB2312"/>
          <w:color w:val="000000"/>
          <w:sz w:val="32"/>
          <w:szCs w:val="32"/>
        </w:rPr>
        <w:t>万元，占</w:t>
      </w:r>
      <w:r>
        <w:rPr>
          <w:rFonts w:hint="eastAsia" w:ascii="仿宋_GB2312" w:eastAsia="仿宋_GB2312"/>
          <w:color w:val="000000"/>
          <w:sz w:val="32"/>
          <w:szCs w:val="32"/>
          <w:lang w:val="en-US" w:eastAsia="zh-CN"/>
        </w:rPr>
        <w:t>3.58</w:t>
      </w:r>
      <w:r>
        <w:rPr>
          <w:rFonts w:hint="eastAsia" w:ascii="仿宋_GB2312" w:eastAsia="仿宋_GB2312"/>
          <w:color w:val="000000"/>
          <w:sz w:val="32"/>
          <w:szCs w:val="32"/>
        </w:rPr>
        <w:t>%</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224</w:t>
      </w:r>
      <w:r>
        <w:rPr>
          <w:rFonts w:hint="eastAsia" w:ascii="仿宋_GB2312" w:eastAsia="仿宋_GB2312"/>
          <w:color w:val="000000"/>
          <w:sz w:val="32"/>
          <w:szCs w:val="32"/>
          <w:lang w:eastAsia="zh-CN"/>
        </w:rPr>
        <w:t>灾害防治及应急管理（</w:t>
      </w:r>
      <w:r>
        <w:rPr>
          <w:rFonts w:hint="eastAsia" w:ascii="仿宋_GB2312" w:eastAsia="仿宋_GB2312"/>
          <w:color w:val="000000"/>
          <w:sz w:val="32"/>
          <w:szCs w:val="32"/>
          <w:lang w:val="en-US" w:eastAsia="zh-CN"/>
        </w:rPr>
        <w:t>类</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40万元，</w:t>
      </w:r>
      <w:r>
        <w:rPr>
          <w:rFonts w:hint="eastAsia" w:ascii="仿宋_GB2312" w:eastAsia="仿宋_GB2312"/>
          <w:color w:val="000000"/>
          <w:sz w:val="32"/>
          <w:szCs w:val="32"/>
        </w:rPr>
        <w:t>占</w:t>
      </w:r>
      <w:r>
        <w:rPr>
          <w:rFonts w:hint="eastAsia" w:ascii="仿宋_GB2312" w:eastAsia="仿宋_GB2312"/>
          <w:color w:val="000000"/>
          <w:sz w:val="32"/>
          <w:szCs w:val="32"/>
          <w:lang w:val="en-US" w:eastAsia="zh-CN"/>
        </w:rPr>
        <w:t>0.75</w:t>
      </w:r>
      <w:r>
        <w:rPr>
          <w:rFonts w:hint="eastAsia" w:ascii="仿宋_GB2312" w:eastAsia="仿宋_GB2312"/>
          <w:color w:val="000000"/>
          <w:sz w:val="32"/>
          <w:szCs w:val="32"/>
        </w:rPr>
        <w:t>%</w:t>
      </w:r>
      <w:r>
        <w:rPr>
          <w:rFonts w:hint="eastAsia" w:ascii="仿宋_GB2312" w:eastAsia="仿宋_GB2312"/>
          <w:color w:val="000000"/>
          <w:sz w:val="32"/>
          <w:szCs w:val="32"/>
          <w:lang w:eastAsia="zh-CN"/>
        </w:rPr>
        <w:t>。</w:t>
      </w:r>
    </w:p>
    <w:p>
      <w:pPr>
        <w:spacing w:line="600" w:lineRule="exact"/>
        <w:ind w:firstLine="640"/>
        <w:rPr>
          <w:rFonts w:hint="eastAsia" w:ascii="仿宋" w:hAnsi="仿宋" w:eastAsia="仿宋"/>
          <w:b/>
          <w:sz w:val="32"/>
          <w:szCs w:val="32"/>
        </w:rPr>
      </w:pPr>
      <w:r>
        <w:rPr>
          <w:rFonts w:hint="eastAsia" w:ascii="仿宋" w:hAnsi="仿宋" w:eastAsia="仿宋"/>
          <w:b/>
          <w:sz w:val="32"/>
          <w:szCs w:val="32"/>
        </w:rPr>
        <w:t>（注：数据来源于财决01-1表，仅罗列本部门涉及的全部功能分类科目，至类级。）</w:t>
      </w:r>
    </w:p>
    <w:p>
      <w:pPr>
        <w:pStyle w:val="2"/>
      </w:pPr>
      <w:r>
        <w:drawing>
          <wp:inline distT="0" distB="0" distL="114300" distR="114300">
            <wp:extent cx="4572000" cy="2743200"/>
            <wp:effectExtent l="4445" t="4445" r="14605" b="1460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spacing w:line="600" w:lineRule="exact"/>
        <w:ind w:firstLine="640" w:firstLineChars="200"/>
        <w:rPr>
          <w:rFonts w:ascii="仿宋" w:hAnsi="仿宋" w:eastAsia="仿宋"/>
          <w:sz w:val="32"/>
          <w:szCs w:val="32"/>
        </w:rPr>
      </w:pPr>
      <w:r>
        <w:rPr>
          <w:rFonts w:hint="eastAsia" w:ascii="仿宋" w:hAnsi="仿宋" w:eastAsia="仿宋"/>
          <w:sz w:val="32"/>
          <w:szCs w:val="32"/>
        </w:rPr>
        <w:t>（图6：一般公共预算财政拨款支出决算结构）（饼状图）</w:t>
      </w:r>
    </w:p>
    <w:p>
      <w:pPr>
        <w:spacing w:line="600" w:lineRule="exact"/>
        <w:ind w:firstLine="643" w:firstLineChars="200"/>
        <w:outlineLvl w:val="2"/>
        <w:rPr>
          <w:rFonts w:ascii="仿宋" w:hAnsi="仿宋" w:eastAsia="仿宋"/>
          <w:b/>
          <w:sz w:val="32"/>
          <w:szCs w:val="32"/>
        </w:rPr>
      </w:pPr>
      <w:bookmarkStart w:id="30" w:name="_Toc15377212"/>
      <w:r>
        <w:rPr>
          <w:rFonts w:hint="eastAsia" w:ascii="仿宋" w:hAnsi="仿宋" w:eastAsia="仿宋"/>
          <w:b/>
          <w:sz w:val="32"/>
          <w:szCs w:val="32"/>
        </w:rPr>
        <w:t>（三）一般公共预算财政拨款支出决算具体情况</w:t>
      </w:r>
      <w:bookmarkEnd w:id="30"/>
    </w:p>
    <w:p>
      <w:pPr>
        <w:keepNext w:val="0"/>
        <w:keepLines w:val="0"/>
        <w:pageBreakBefore w:val="0"/>
        <w:widowControl w:val="0"/>
        <w:kinsoku/>
        <w:wordWrap/>
        <w:overflowPunct/>
        <w:topLinePunct w:val="0"/>
        <w:bidi w:val="0"/>
        <w:spacing w:line="576" w:lineRule="exact"/>
        <w:ind w:left="0" w:leftChars="0" w:right="0" w:rightChars="0" w:firstLine="643" w:firstLineChars="200"/>
        <w:textAlignment w:val="auto"/>
        <w:rPr>
          <w:rFonts w:hint="eastAsia" w:ascii="仿宋_GB2312" w:eastAsia="仿宋_GB2312"/>
          <w:color w:val="000000"/>
          <w:sz w:val="32"/>
          <w:szCs w:val="32"/>
          <w:lang w:eastAsia="zh-CN"/>
        </w:rPr>
      </w:pPr>
      <w:r>
        <w:rPr>
          <w:rStyle w:val="20"/>
          <w:rFonts w:hint="eastAsia" w:ascii="仿宋_GB2312" w:eastAsia="仿宋_GB2312"/>
          <w:color w:val="000000"/>
          <w:sz w:val="32"/>
          <w:szCs w:val="32"/>
        </w:rPr>
        <w:t xml:space="preserve">1.一般公共服务 </w:t>
      </w:r>
      <w:r>
        <w:rPr>
          <w:rStyle w:val="20"/>
          <w:rFonts w:hint="eastAsia" w:ascii="仿宋_GB2312" w:eastAsia="仿宋_GB2312"/>
          <w:color w:val="000000"/>
          <w:sz w:val="32"/>
          <w:szCs w:val="32"/>
          <w:lang w:eastAsia="zh-CN"/>
        </w:rPr>
        <w:t>：</w:t>
      </w:r>
      <w:r>
        <w:rPr>
          <w:rFonts w:hint="eastAsia" w:ascii="仿宋_GB2312" w:hAnsi="仿宋_GB2312" w:cs="仿宋_GB2312"/>
          <w:b w:val="0"/>
          <w:bCs/>
          <w:sz w:val="32"/>
          <w:szCs w:val="32"/>
          <w:lang w:val="en-US" w:eastAsia="zh-CN"/>
        </w:rPr>
        <w:t>一般公共服务</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）人大事务</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人大会议</w:t>
      </w:r>
      <w:r>
        <w:rPr>
          <w:rFonts w:hint="default" w:ascii="仿宋_GB2312" w:hAnsi="仿宋_GB2312" w:cs="仿宋_GB2312"/>
          <w:b w:val="0"/>
          <w:bCs/>
          <w:sz w:val="32"/>
          <w:szCs w:val="32"/>
          <w:lang w:val="en-US" w:eastAsia="zh-CN"/>
        </w:rPr>
        <w:t>（项）</w:t>
      </w:r>
      <w:r>
        <w:rPr>
          <w:rFonts w:hint="eastAsia" w:ascii="仿宋_GB2312" w:eastAsia="仿宋_GB2312"/>
          <w:color w:val="000000"/>
          <w:sz w:val="32"/>
          <w:szCs w:val="32"/>
          <w:lang w:eastAsia="zh-CN"/>
        </w:rPr>
        <w:t>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年决算数为</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万元，完成预算</w:t>
      </w:r>
      <w:r>
        <w:rPr>
          <w:rFonts w:hint="eastAsia" w:eastAsia="仿宋_GB2312"/>
          <w:color w:val="000000"/>
          <w:sz w:val="32"/>
          <w:szCs w:val="32"/>
          <w:lang w:val="en-US" w:eastAsia="zh-CN"/>
        </w:rPr>
        <w:t>100</w:t>
      </w:r>
      <w:r>
        <w:rPr>
          <w:rFonts w:hint="eastAsia" w:ascii="仿宋_GB2312" w:eastAsia="仿宋_GB2312"/>
          <w:color w:val="000000"/>
          <w:sz w:val="32"/>
          <w:szCs w:val="32"/>
        </w:rPr>
        <w:t>%</w:t>
      </w:r>
      <w:r>
        <w:rPr>
          <w:rFonts w:hint="eastAsia" w:ascii="仿宋_GB2312" w:eastAsia="仿宋_GB2312"/>
          <w:color w:val="000000"/>
          <w:sz w:val="32"/>
          <w:szCs w:val="32"/>
          <w:lang w:eastAsia="zh-CN"/>
        </w:rPr>
        <w:t>；</w:t>
      </w:r>
      <w:r>
        <w:rPr>
          <w:rFonts w:hint="eastAsia" w:ascii="仿宋_GB2312" w:hAnsi="仿宋_GB2312" w:cs="仿宋_GB2312"/>
          <w:b w:val="0"/>
          <w:bCs/>
          <w:sz w:val="32"/>
          <w:szCs w:val="32"/>
          <w:lang w:val="en-US" w:eastAsia="zh-CN"/>
        </w:rPr>
        <w:t>一般公共服务</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）政府办公厅（室）及相关机构事务</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行政运行</w:t>
      </w:r>
      <w:r>
        <w:rPr>
          <w:rFonts w:hint="default" w:ascii="仿宋_GB2312" w:hAnsi="仿宋_GB2312" w:cs="仿宋_GB2312"/>
          <w:b w:val="0"/>
          <w:bCs/>
          <w:sz w:val="32"/>
          <w:szCs w:val="32"/>
          <w:lang w:val="en-US" w:eastAsia="zh-CN"/>
        </w:rPr>
        <w:t>（项）</w:t>
      </w:r>
      <w:r>
        <w:rPr>
          <w:rFonts w:hint="eastAsia" w:ascii="仿宋_GB2312" w:eastAsia="仿宋_GB2312"/>
          <w:color w:val="000000"/>
          <w:sz w:val="32"/>
          <w:szCs w:val="32"/>
          <w:lang w:eastAsia="zh-CN"/>
        </w:rPr>
        <w:t>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年决算数为</w:t>
      </w:r>
      <w:r>
        <w:rPr>
          <w:rFonts w:hint="eastAsia" w:ascii="仿宋_GB2312" w:eastAsia="仿宋_GB2312"/>
          <w:color w:val="000000"/>
          <w:sz w:val="32"/>
          <w:szCs w:val="32"/>
          <w:lang w:val="en-US" w:eastAsia="zh-CN"/>
        </w:rPr>
        <w:t>1320.30</w:t>
      </w:r>
      <w:r>
        <w:rPr>
          <w:rFonts w:hint="eastAsia" w:ascii="仿宋_GB2312" w:eastAsia="仿宋_GB2312"/>
          <w:color w:val="000000"/>
          <w:sz w:val="32"/>
          <w:szCs w:val="32"/>
        </w:rPr>
        <w:t>万元，完成预算</w:t>
      </w:r>
      <w:r>
        <w:rPr>
          <w:rFonts w:hint="eastAsia" w:eastAsia="仿宋_GB2312"/>
          <w:color w:val="000000"/>
          <w:sz w:val="32"/>
          <w:szCs w:val="32"/>
          <w:lang w:val="en-US" w:eastAsia="zh-CN"/>
        </w:rPr>
        <w:t>100</w:t>
      </w:r>
      <w:r>
        <w:rPr>
          <w:rFonts w:hint="eastAsia" w:ascii="仿宋_GB2312" w:eastAsia="仿宋_GB2312"/>
          <w:color w:val="000000"/>
          <w:sz w:val="32"/>
          <w:szCs w:val="32"/>
        </w:rPr>
        <w:t>%</w:t>
      </w:r>
      <w:r>
        <w:rPr>
          <w:rFonts w:hint="eastAsia" w:ascii="仿宋_GB2312" w:eastAsia="仿宋_GB2312"/>
          <w:color w:val="000000"/>
          <w:sz w:val="32"/>
          <w:szCs w:val="32"/>
          <w:lang w:eastAsia="zh-CN"/>
        </w:rPr>
        <w:t>；</w:t>
      </w:r>
      <w:r>
        <w:rPr>
          <w:rFonts w:hint="eastAsia" w:ascii="仿宋_GB2312" w:hAnsi="仿宋_GB2312" w:cs="仿宋_GB2312"/>
          <w:b w:val="0"/>
          <w:bCs/>
          <w:sz w:val="32"/>
          <w:szCs w:val="32"/>
          <w:lang w:val="en-US" w:eastAsia="zh-CN"/>
        </w:rPr>
        <w:t>一般公共服务</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）政府办公厅（室）及相关机构事务</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一般行政管理事务</w:t>
      </w:r>
      <w:r>
        <w:rPr>
          <w:rFonts w:hint="default" w:ascii="仿宋_GB2312" w:hAnsi="仿宋_GB2312" w:cs="仿宋_GB2312"/>
          <w:b w:val="0"/>
          <w:bCs/>
          <w:sz w:val="32"/>
          <w:szCs w:val="32"/>
          <w:lang w:val="en-US" w:eastAsia="zh-CN"/>
        </w:rPr>
        <w:t>（项）</w:t>
      </w:r>
      <w:r>
        <w:rPr>
          <w:rFonts w:hint="eastAsia" w:ascii="仿宋_GB2312" w:eastAsia="仿宋_GB2312"/>
          <w:color w:val="000000"/>
          <w:sz w:val="32"/>
          <w:szCs w:val="32"/>
          <w:lang w:eastAsia="zh-CN"/>
        </w:rPr>
        <w:t>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年决算数为</w:t>
      </w:r>
      <w:r>
        <w:rPr>
          <w:rFonts w:hint="eastAsia" w:eastAsia="仿宋_GB2312"/>
          <w:color w:val="000000"/>
          <w:sz w:val="32"/>
          <w:szCs w:val="32"/>
          <w:lang w:val="en-US" w:eastAsia="zh-CN"/>
        </w:rPr>
        <w:t>11</w:t>
      </w:r>
      <w:r>
        <w:rPr>
          <w:rFonts w:hint="eastAsia" w:ascii="仿宋_GB2312" w:eastAsia="仿宋_GB2312"/>
          <w:color w:val="000000"/>
          <w:sz w:val="32"/>
          <w:szCs w:val="32"/>
        </w:rPr>
        <w:t>万元，完成预算</w:t>
      </w:r>
      <w:r>
        <w:rPr>
          <w:rFonts w:hint="eastAsia" w:eastAsia="仿宋_GB2312"/>
          <w:color w:val="000000"/>
          <w:sz w:val="32"/>
          <w:szCs w:val="32"/>
          <w:lang w:val="en-US" w:eastAsia="zh-CN"/>
        </w:rPr>
        <w:t>100</w:t>
      </w:r>
      <w:r>
        <w:rPr>
          <w:rFonts w:hint="eastAsia" w:ascii="仿宋_GB2312" w:eastAsia="仿宋_GB2312"/>
          <w:color w:val="000000"/>
          <w:sz w:val="32"/>
          <w:szCs w:val="32"/>
        </w:rPr>
        <w:t>%</w:t>
      </w:r>
      <w:r>
        <w:rPr>
          <w:rFonts w:hint="eastAsia" w:ascii="仿宋_GB2312" w:eastAsia="仿宋_GB2312"/>
          <w:color w:val="000000"/>
          <w:sz w:val="32"/>
          <w:szCs w:val="32"/>
          <w:lang w:eastAsia="zh-CN"/>
        </w:rPr>
        <w:t>；</w:t>
      </w:r>
      <w:r>
        <w:rPr>
          <w:rFonts w:hint="eastAsia" w:ascii="仿宋_GB2312" w:hAnsi="仿宋_GB2312" w:cs="仿宋_GB2312"/>
          <w:b w:val="0"/>
          <w:bCs/>
          <w:sz w:val="32"/>
          <w:szCs w:val="32"/>
          <w:lang w:val="en-US" w:eastAsia="zh-CN"/>
        </w:rPr>
        <w:t>一般公共服务</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）政府办公厅（室）及相关机构事务</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信访事务</w:t>
      </w:r>
      <w:r>
        <w:rPr>
          <w:rFonts w:hint="default" w:ascii="仿宋_GB2312" w:hAnsi="仿宋_GB2312" w:cs="仿宋_GB2312"/>
          <w:b w:val="0"/>
          <w:bCs/>
          <w:sz w:val="32"/>
          <w:szCs w:val="32"/>
          <w:lang w:val="en-US" w:eastAsia="zh-CN"/>
        </w:rPr>
        <w:t>（项）</w:t>
      </w:r>
      <w:r>
        <w:rPr>
          <w:rFonts w:hint="eastAsia" w:ascii="仿宋_GB2312" w:eastAsia="仿宋_GB2312"/>
          <w:color w:val="000000"/>
          <w:sz w:val="32"/>
          <w:szCs w:val="32"/>
          <w:lang w:eastAsia="zh-CN"/>
        </w:rPr>
        <w:t>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年决算数为</w:t>
      </w:r>
      <w:r>
        <w:rPr>
          <w:rFonts w:hint="eastAsia" w:ascii="仿宋_GB2312" w:eastAsia="仿宋_GB2312"/>
          <w:color w:val="000000"/>
          <w:sz w:val="32"/>
          <w:szCs w:val="32"/>
          <w:lang w:val="en-US" w:eastAsia="zh-CN"/>
        </w:rPr>
        <w:t>1万元，</w:t>
      </w:r>
      <w:r>
        <w:rPr>
          <w:rFonts w:hint="eastAsia" w:ascii="仿宋_GB2312" w:eastAsia="仿宋_GB2312"/>
          <w:color w:val="000000"/>
          <w:sz w:val="32"/>
          <w:szCs w:val="32"/>
        </w:rPr>
        <w:t>完成预算</w:t>
      </w:r>
      <w:r>
        <w:rPr>
          <w:rFonts w:hint="eastAsia" w:eastAsia="仿宋_GB2312"/>
          <w:color w:val="000000"/>
          <w:sz w:val="32"/>
          <w:szCs w:val="32"/>
          <w:lang w:val="en-US" w:eastAsia="zh-CN"/>
        </w:rPr>
        <w:t>100</w:t>
      </w:r>
      <w:r>
        <w:rPr>
          <w:rFonts w:hint="eastAsia" w:ascii="仿宋_GB2312" w:eastAsia="仿宋_GB2312"/>
          <w:color w:val="000000"/>
          <w:sz w:val="32"/>
          <w:szCs w:val="32"/>
        </w:rPr>
        <w:t>%</w:t>
      </w:r>
      <w:r>
        <w:rPr>
          <w:rFonts w:hint="eastAsia" w:ascii="仿宋_GB2312" w:eastAsia="仿宋_GB2312"/>
          <w:color w:val="000000"/>
          <w:sz w:val="32"/>
          <w:szCs w:val="32"/>
          <w:lang w:eastAsia="zh-CN"/>
        </w:rPr>
        <w:t>；</w:t>
      </w:r>
      <w:r>
        <w:rPr>
          <w:rFonts w:hint="eastAsia" w:ascii="仿宋_GB2312" w:hAnsi="仿宋_GB2312" w:cs="仿宋_GB2312"/>
          <w:b w:val="0"/>
          <w:bCs/>
          <w:sz w:val="32"/>
          <w:szCs w:val="32"/>
          <w:lang w:val="en-US" w:eastAsia="zh-CN"/>
        </w:rPr>
        <w:t>一般公共服务</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）纪检监察事务</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派驻派出机构</w:t>
      </w:r>
      <w:r>
        <w:rPr>
          <w:rFonts w:hint="default" w:ascii="仿宋_GB2312" w:hAnsi="仿宋_GB2312" w:cs="仿宋_GB2312"/>
          <w:b w:val="0"/>
          <w:bCs/>
          <w:sz w:val="32"/>
          <w:szCs w:val="32"/>
          <w:lang w:val="en-US" w:eastAsia="zh-CN"/>
        </w:rPr>
        <w:t>（项）</w:t>
      </w:r>
      <w:r>
        <w:rPr>
          <w:rFonts w:hint="eastAsia" w:ascii="仿宋_GB2312" w:eastAsia="仿宋_GB2312"/>
          <w:color w:val="000000"/>
          <w:sz w:val="32"/>
          <w:szCs w:val="32"/>
          <w:lang w:eastAsia="zh-CN"/>
        </w:rPr>
        <w:t>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年决算数为</w:t>
      </w:r>
      <w:r>
        <w:rPr>
          <w:rFonts w:hint="eastAsia" w:ascii="仿宋_GB2312" w:eastAsia="仿宋_GB2312"/>
          <w:color w:val="000000"/>
          <w:sz w:val="32"/>
          <w:szCs w:val="32"/>
          <w:lang w:val="en-US" w:eastAsia="zh-CN"/>
        </w:rPr>
        <w:t>8万元，</w:t>
      </w:r>
      <w:r>
        <w:rPr>
          <w:rFonts w:hint="eastAsia" w:ascii="仿宋_GB2312" w:eastAsia="仿宋_GB2312"/>
          <w:color w:val="000000"/>
          <w:sz w:val="32"/>
          <w:szCs w:val="32"/>
        </w:rPr>
        <w:t>完成预算</w:t>
      </w:r>
      <w:r>
        <w:rPr>
          <w:rFonts w:hint="eastAsia" w:eastAsia="仿宋_GB2312"/>
          <w:color w:val="000000"/>
          <w:sz w:val="32"/>
          <w:szCs w:val="32"/>
          <w:lang w:val="en-US" w:eastAsia="zh-CN"/>
        </w:rPr>
        <w:t>100</w:t>
      </w:r>
      <w:r>
        <w:rPr>
          <w:rFonts w:hint="eastAsia" w:ascii="仿宋_GB2312" w:eastAsia="仿宋_GB2312"/>
          <w:color w:val="000000"/>
          <w:sz w:val="32"/>
          <w:szCs w:val="32"/>
        </w:rPr>
        <w:t>%</w:t>
      </w:r>
      <w:r>
        <w:rPr>
          <w:rFonts w:hint="eastAsia" w:ascii="仿宋_GB2312" w:eastAsia="仿宋_GB2312"/>
          <w:color w:val="000000"/>
          <w:sz w:val="32"/>
          <w:szCs w:val="32"/>
          <w:lang w:eastAsia="zh-CN"/>
        </w:rPr>
        <w:t>；</w:t>
      </w:r>
      <w:r>
        <w:rPr>
          <w:rFonts w:hint="eastAsia" w:ascii="仿宋_GB2312" w:hAnsi="仿宋_GB2312" w:cs="仿宋_GB2312"/>
          <w:b w:val="0"/>
          <w:bCs/>
          <w:sz w:val="32"/>
          <w:szCs w:val="32"/>
          <w:lang w:val="en-US" w:eastAsia="zh-CN"/>
        </w:rPr>
        <w:t>一般公共服务</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）党委办公厅（室）及相关机构事务</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一般行政管理事务</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2022年决算数为2万元，</w:t>
      </w:r>
      <w:r>
        <w:rPr>
          <w:rFonts w:hint="eastAsia" w:ascii="仿宋_GB2312" w:eastAsia="仿宋_GB2312"/>
          <w:color w:val="000000"/>
          <w:sz w:val="32"/>
          <w:szCs w:val="32"/>
        </w:rPr>
        <w:t>完成预算</w:t>
      </w:r>
      <w:r>
        <w:rPr>
          <w:rFonts w:hint="eastAsia" w:eastAsia="仿宋_GB2312"/>
          <w:color w:val="000000"/>
          <w:sz w:val="32"/>
          <w:szCs w:val="32"/>
          <w:lang w:val="en-US" w:eastAsia="zh-CN"/>
        </w:rPr>
        <w:t>100</w:t>
      </w:r>
      <w:r>
        <w:rPr>
          <w:rFonts w:hint="eastAsia" w:ascii="仿宋_GB2312" w:eastAsia="仿宋_GB2312"/>
          <w:color w:val="000000"/>
          <w:sz w:val="32"/>
          <w:szCs w:val="32"/>
        </w:rPr>
        <w:t>%</w:t>
      </w:r>
      <w:r>
        <w:rPr>
          <w:rFonts w:hint="eastAsia" w:ascii="仿宋_GB2312" w:eastAsia="仿宋_GB2312"/>
          <w:color w:val="000000"/>
          <w:sz w:val="32"/>
          <w:szCs w:val="32"/>
          <w:lang w:eastAsia="zh-CN"/>
        </w:rPr>
        <w:t>。</w:t>
      </w:r>
    </w:p>
    <w:p>
      <w:pPr>
        <w:keepNext w:val="0"/>
        <w:keepLines w:val="0"/>
        <w:pageBreakBefore w:val="0"/>
        <w:widowControl w:val="0"/>
        <w:kinsoku/>
        <w:wordWrap/>
        <w:overflowPunct/>
        <w:topLinePunct w:val="0"/>
        <w:bidi w:val="0"/>
        <w:spacing w:line="576" w:lineRule="exact"/>
        <w:ind w:left="0" w:leftChars="0" w:right="0" w:rightChars="0" w:firstLine="643" w:firstLineChars="200"/>
        <w:textAlignment w:val="auto"/>
        <w:rPr>
          <w:rFonts w:hint="eastAsia" w:ascii="仿宋_GB2312" w:eastAsia="仿宋_GB2312"/>
          <w:color w:val="000000"/>
          <w:sz w:val="32"/>
          <w:szCs w:val="32"/>
          <w:lang w:val="en-US" w:eastAsia="zh-CN"/>
        </w:rPr>
      </w:pPr>
      <w:r>
        <w:rPr>
          <w:rStyle w:val="20"/>
          <w:rFonts w:hint="eastAsia" w:ascii="仿宋_GB2312" w:hAnsi="Times New Roman" w:eastAsia="仿宋_GB2312" w:cs="Times New Roman"/>
          <w:color w:val="000000"/>
          <w:kern w:val="2"/>
          <w:sz w:val="32"/>
          <w:szCs w:val="32"/>
          <w:lang w:val="en-US" w:eastAsia="zh-CN" w:bidi="ar-SA"/>
        </w:rPr>
        <w:t>2.</w:t>
      </w:r>
      <w:r>
        <w:rPr>
          <w:rStyle w:val="20"/>
          <w:rFonts w:hint="eastAsia" w:ascii="仿宋_GB2312" w:hAnsi="Times New Roman" w:eastAsia="仿宋_GB2312" w:cs="Times New Roman"/>
          <w:color w:val="000000"/>
          <w:sz w:val="32"/>
          <w:szCs w:val="32"/>
          <w:lang w:val="en-US" w:eastAsia="zh-CN"/>
        </w:rPr>
        <w:t>国防支出</w:t>
      </w:r>
      <w:r>
        <w:rPr>
          <w:rFonts w:hint="eastAsia" w:ascii="仿宋" w:hAnsi="仿宋" w:eastAsia="仿宋" w:cs="仿宋"/>
          <w:sz w:val="32"/>
          <w:szCs w:val="32"/>
          <w:lang w:val="en-US" w:eastAsia="zh-CN"/>
        </w:rPr>
        <w:t>：</w:t>
      </w:r>
      <w:r>
        <w:rPr>
          <w:rFonts w:hint="eastAsia" w:ascii="仿宋_GB2312" w:hAnsi="仿宋_GB2312" w:cs="仿宋_GB2312"/>
          <w:b w:val="0"/>
          <w:bCs/>
          <w:sz w:val="32"/>
          <w:szCs w:val="32"/>
          <w:lang w:val="en-US" w:eastAsia="zh-CN"/>
        </w:rPr>
        <w:t>国防</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）国防动员</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兵役征集</w:t>
      </w:r>
      <w:r>
        <w:rPr>
          <w:rFonts w:hint="default" w:ascii="仿宋_GB2312" w:hAnsi="仿宋_GB2312" w:cs="仿宋_GB2312"/>
          <w:b w:val="0"/>
          <w:bCs/>
          <w:sz w:val="32"/>
          <w:szCs w:val="32"/>
          <w:lang w:val="en-US" w:eastAsia="zh-CN"/>
        </w:rPr>
        <w:t>（项）</w:t>
      </w:r>
      <w:r>
        <w:rPr>
          <w:rFonts w:hint="eastAsia" w:ascii="仿宋_GB2312" w:hAnsi="Times New Roman" w:eastAsia="仿宋_GB2312" w:cs="Times New Roman"/>
          <w:color w:val="000000"/>
          <w:sz w:val="32"/>
          <w:szCs w:val="32"/>
          <w:lang w:val="en-US" w:eastAsia="zh-CN"/>
        </w:rPr>
        <w:t>2</w:t>
      </w:r>
      <w:r>
        <w:rPr>
          <w:rFonts w:hint="eastAsia" w:ascii="仿宋_GB2312" w:eastAsia="仿宋_GB2312"/>
          <w:color w:val="000000"/>
          <w:sz w:val="32"/>
          <w:szCs w:val="32"/>
          <w:lang w:eastAsia="zh-CN"/>
        </w:rPr>
        <w:t>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年决算数为0.5</w:t>
      </w:r>
      <w:r>
        <w:rPr>
          <w:rFonts w:hint="eastAsia" w:ascii="仿宋_GB2312" w:eastAsia="仿宋_GB2312"/>
          <w:color w:val="000000"/>
          <w:sz w:val="32"/>
          <w:szCs w:val="32"/>
          <w:lang w:val="en-US" w:eastAsia="zh-CN"/>
        </w:rPr>
        <w:t>万元，完成预算100%。</w:t>
      </w:r>
    </w:p>
    <w:p>
      <w:pPr>
        <w:keepNext w:val="0"/>
        <w:keepLines w:val="0"/>
        <w:pageBreakBefore w:val="0"/>
        <w:widowControl w:val="0"/>
        <w:kinsoku/>
        <w:wordWrap/>
        <w:overflowPunct/>
        <w:topLinePunct w:val="0"/>
        <w:bidi w:val="0"/>
        <w:spacing w:line="576" w:lineRule="exact"/>
        <w:ind w:left="0" w:leftChars="0" w:right="0" w:rightChars="0" w:firstLine="643" w:firstLineChars="200"/>
        <w:textAlignment w:val="auto"/>
        <w:rPr>
          <w:rFonts w:hint="eastAsia" w:ascii="仿宋_GB2312" w:eastAsia="仿宋_GB2312"/>
          <w:color w:val="000000"/>
          <w:sz w:val="32"/>
          <w:szCs w:val="32"/>
          <w:lang w:val="en-US" w:eastAsia="zh-CN"/>
        </w:rPr>
      </w:pPr>
      <w:r>
        <w:rPr>
          <w:rStyle w:val="20"/>
          <w:rFonts w:hint="eastAsia" w:ascii="仿宋_GB2312" w:eastAsia="仿宋_GB2312"/>
          <w:color w:val="000000"/>
          <w:sz w:val="32"/>
          <w:szCs w:val="32"/>
          <w:lang w:val="en-US" w:eastAsia="zh-CN"/>
        </w:rPr>
        <w:t>3</w:t>
      </w:r>
      <w:r>
        <w:rPr>
          <w:rStyle w:val="20"/>
          <w:rFonts w:hint="eastAsia" w:ascii="仿宋_GB2312" w:eastAsia="仿宋_GB2312"/>
          <w:color w:val="000000"/>
          <w:sz w:val="32"/>
          <w:szCs w:val="32"/>
        </w:rPr>
        <w:t>.文化旅游体育与传媒支出</w:t>
      </w:r>
      <w:r>
        <w:rPr>
          <w:rStyle w:val="20"/>
          <w:rFonts w:hint="eastAsia" w:ascii="仿宋_GB2312" w:eastAsia="仿宋_GB2312"/>
          <w:color w:val="000000"/>
          <w:sz w:val="32"/>
          <w:szCs w:val="32"/>
          <w:lang w:eastAsia="zh-CN"/>
        </w:rPr>
        <w:t>：</w:t>
      </w:r>
      <w:r>
        <w:rPr>
          <w:rFonts w:hint="eastAsia" w:ascii="仿宋_GB2312" w:hAnsi="仿宋_GB2312" w:cs="仿宋_GB2312"/>
          <w:b w:val="0"/>
          <w:bCs/>
          <w:sz w:val="32"/>
          <w:szCs w:val="32"/>
          <w:lang w:val="en-US" w:eastAsia="zh-CN"/>
        </w:rPr>
        <w:t>文化旅游体育与传媒</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）文化和旅游</w:t>
      </w:r>
      <w:r>
        <w:rPr>
          <w:rFonts w:hint="default" w:ascii="仿宋_GB2312" w:hAnsi="仿宋_GB2312" w:cs="仿宋_GB2312"/>
          <w:b w:val="0"/>
          <w:bCs/>
          <w:sz w:val="32"/>
          <w:szCs w:val="32"/>
          <w:lang w:val="en-US" w:eastAsia="zh-CN"/>
        </w:rPr>
        <w:t>（款）</w:t>
      </w:r>
      <w:r>
        <w:rPr>
          <w:rFonts w:hint="eastAsia" w:ascii="仿宋_GB2312" w:eastAsia="仿宋_GB2312"/>
          <w:color w:val="000000"/>
          <w:sz w:val="32"/>
          <w:szCs w:val="32"/>
          <w:lang w:val="en-US" w:eastAsia="zh-CN"/>
        </w:rPr>
        <w:t>文化和旅游管理事务（项）</w:t>
      </w:r>
      <w:r>
        <w:rPr>
          <w:rFonts w:hint="eastAsia" w:ascii="仿宋_GB2312" w:eastAsia="仿宋_GB2312"/>
          <w:color w:val="000000"/>
          <w:sz w:val="32"/>
          <w:szCs w:val="32"/>
          <w:lang w:eastAsia="zh-CN"/>
        </w:rPr>
        <w:t>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年决算数为</w:t>
      </w:r>
      <w:r>
        <w:rPr>
          <w:rFonts w:hint="eastAsia" w:ascii="仿宋_GB2312" w:eastAsia="仿宋_GB2312"/>
          <w:color w:val="000000"/>
          <w:sz w:val="32"/>
          <w:szCs w:val="32"/>
          <w:lang w:val="en-US" w:eastAsia="zh-CN"/>
        </w:rPr>
        <w:t>101.13万元，完成预算100%。</w:t>
      </w:r>
    </w:p>
    <w:p>
      <w:pPr>
        <w:keepNext w:val="0"/>
        <w:keepLines w:val="0"/>
        <w:pageBreakBefore w:val="0"/>
        <w:widowControl w:val="0"/>
        <w:kinsoku/>
        <w:wordWrap/>
        <w:overflowPunct/>
        <w:topLinePunct w:val="0"/>
        <w:bidi w:val="0"/>
        <w:spacing w:line="576" w:lineRule="exact"/>
        <w:ind w:left="0" w:leftChars="0" w:right="0" w:rightChars="0" w:firstLine="643" w:firstLineChars="200"/>
        <w:textAlignment w:val="auto"/>
        <w:rPr>
          <w:rFonts w:hint="default" w:ascii="仿宋_GB2312" w:eastAsia="仿宋_GB2312"/>
          <w:color w:val="000000"/>
          <w:sz w:val="32"/>
          <w:szCs w:val="32"/>
          <w:lang w:val="en-US" w:eastAsia="zh-CN"/>
        </w:rPr>
      </w:pPr>
      <w:r>
        <w:rPr>
          <w:rStyle w:val="20"/>
          <w:rFonts w:hint="eastAsia" w:ascii="仿宋_GB2312" w:eastAsia="仿宋_GB2312"/>
          <w:color w:val="000000"/>
          <w:sz w:val="32"/>
          <w:szCs w:val="32"/>
          <w:lang w:val="en-US" w:eastAsia="zh-CN"/>
        </w:rPr>
        <w:t>4</w:t>
      </w:r>
      <w:r>
        <w:rPr>
          <w:rStyle w:val="20"/>
          <w:rFonts w:hint="eastAsia" w:ascii="仿宋_GB2312" w:eastAsia="仿宋_GB2312"/>
          <w:color w:val="000000"/>
          <w:sz w:val="32"/>
          <w:szCs w:val="32"/>
        </w:rPr>
        <w:t>.社会保障和就业支出</w:t>
      </w:r>
      <w:r>
        <w:rPr>
          <w:rStyle w:val="20"/>
          <w:rFonts w:hint="eastAsia" w:ascii="仿宋_GB2312" w:eastAsia="仿宋_GB2312"/>
          <w:color w:val="000000"/>
          <w:sz w:val="32"/>
          <w:szCs w:val="32"/>
          <w:lang w:eastAsia="zh-CN"/>
        </w:rPr>
        <w:t>：</w:t>
      </w:r>
      <w:r>
        <w:rPr>
          <w:rFonts w:hint="default" w:ascii="仿宋_GB2312" w:hAnsi="仿宋_GB2312" w:cs="仿宋_GB2312"/>
          <w:b w:val="0"/>
          <w:bCs/>
          <w:sz w:val="32"/>
          <w:szCs w:val="32"/>
          <w:lang w:val="en-US" w:eastAsia="zh-CN"/>
        </w:rPr>
        <w:t>社会保障和就业（类</w:t>
      </w:r>
      <w:r>
        <w:rPr>
          <w:rFonts w:hint="eastAsia" w:ascii="仿宋_GB2312" w:hAnsi="仿宋_GB2312" w:cs="仿宋_GB2312"/>
          <w:b w:val="0"/>
          <w:bCs/>
          <w:sz w:val="32"/>
          <w:szCs w:val="32"/>
          <w:lang w:val="en-US" w:eastAsia="zh-CN"/>
        </w:rPr>
        <w:t>）</w:t>
      </w:r>
      <w:r>
        <w:rPr>
          <w:rStyle w:val="20"/>
          <w:rFonts w:hint="eastAsia" w:ascii="仿宋_GB2312" w:eastAsia="仿宋_GB2312"/>
          <w:color w:val="000000"/>
          <w:sz w:val="32"/>
          <w:szCs w:val="32"/>
          <w:lang w:val="en-US" w:eastAsia="zh-CN"/>
        </w:rPr>
        <w:t>民政管理事务</w:t>
      </w:r>
      <w:r>
        <w:rPr>
          <w:rStyle w:val="20"/>
          <w:rFonts w:hint="eastAsia" w:ascii="仿宋_GB2312" w:eastAsia="仿宋_GB2312"/>
          <w:color w:val="000000"/>
          <w:sz w:val="32"/>
          <w:szCs w:val="32"/>
          <w:lang w:eastAsia="zh-CN"/>
        </w:rPr>
        <w:t>（</w:t>
      </w:r>
      <w:r>
        <w:rPr>
          <w:rStyle w:val="20"/>
          <w:rFonts w:hint="eastAsia" w:ascii="仿宋_GB2312" w:eastAsia="仿宋_GB2312"/>
          <w:color w:val="000000"/>
          <w:sz w:val="32"/>
          <w:szCs w:val="32"/>
          <w:lang w:val="en-US" w:eastAsia="zh-CN"/>
        </w:rPr>
        <w:t>款</w:t>
      </w:r>
      <w:r>
        <w:rPr>
          <w:rStyle w:val="20"/>
          <w:rFonts w:hint="eastAsia" w:ascii="仿宋_GB2312" w:eastAsia="仿宋_GB2312"/>
          <w:color w:val="000000"/>
          <w:sz w:val="32"/>
          <w:szCs w:val="32"/>
          <w:lang w:eastAsia="zh-CN"/>
        </w:rPr>
        <w:t>）</w:t>
      </w:r>
      <w:r>
        <w:rPr>
          <w:rStyle w:val="20"/>
          <w:rFonts w:hint="eastAsia" w:ascii="仿宋_GB2312" w:eastAsia="仿宋_GB2312"/>
          <w:color w:val="000000"/>
          <w:sz w:val="32"/>
          <w:szCs w:val="32"/>
          <w:lang w:val="en-US" w:eastAsia="zh-CN"/>
        </w:rPr>
        <w:t>基层政权建设和社区治理</w:t>
      </w:r>
      <w:r>
        <w:rPr>
          <w:rStyle w:val="20"/>
          <w:rFonts w:hint="eastAsia" w:ascii="仿宋_GB2312" w:eastAsia="仿宋_GB2312"/>
          <w:color w:val="000000"/>
          <w:sz w:val="32"/>
          <w:szCs w:val="32"/>
          <w:lang w:eastAsia="zh-CN"/>
        </w:rPr>
        <w:t>（</w:t>
      </w:r>
      <w:r>
        <w:rPr>
          <w:rStyle w:val="20"/>
          <w:rFonts w:hint="eastAsia" w:ascii="仿宋_GB2312" w:eastAsia="仿宋_GB2312"/>
          <w:color w:val="000000"/>
          <w:sz w:val="32"/>
          <w:szCs w:val="32"/>
          <w:lang w:val="en-US" w:eastAsia="zh-CN"/>
        </w:rPr>
        <w:t>项</w:t>
      </w:r>
      <w:r>
        <w:rPr>
          <w:rStyle w:val="20"/>
          <w:rFonts w:hint="eastAsia" w:ascii="仿宋_GB2312" w:eastAsia="仿宋_GB2312"/>
          <w:color w:val="000000"/>
          <w:sz w:val="32"/>
          <w:szCs w:val="32"/>
          <w:lang w:eastAsia="zh-CN"/>
        </w:rPr>
        <w:t>）</w:t>
      </w:r>
      <w:r>
        <w:rPr>
          <w:rFonts w:hint="eastAsia" w:ascii="仿宋_GB2312" w:eastAsia="仿宋_GB2312"/>
          <w:color w:val="000000"/>
          <w:sz w:val="32"/>
          <w:szCs w:val="32"/>
          <w:lang w:eastAsia="zh-CN"/>
        </w:rPr>
        <w:t>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年决算数为</w:t>
      </w:r>
      <w:r>
        <w:rPr>
          <w:rFonts w:hint="eastAsia" w:ascii="仿宋_GB2312" w:eastAsia="仿宋_GB2312"/>
          <w:color w:val="000000"/>
          <w:sz w:val="32"/>
          <w:szCs w:val="32"/>
          <w:lang w:val="en-US" w:eastAsia="zh-CN"/>
        </w:rPr>
        <w:t>611.45万元，</w:t>
      </w:r>
      <w:r>
        <w:rPr>
          <w:rFonts w:hint="eastAsia" w:ascii="仿宋_GB2312" w:eastAsia="仿宋_GB2312"/>
          <w:color w:val="000000"/>
          <w:sz w:val="32"/>
          <w:szCs w:val="32"/>
        </w:rPr>
        <w:t>完成预算</w:t>
      </w:r>
      <w:r>
        <w:rPr>
          <w:rFonts w:hint="eastAsia" w:eastAsia="仿宋_GB2312"/>
          <w:color w:val="000000"/>
          <w:sz w:val="32"/>
          <w:szCs w:val="32"/>
          <w:lang w:val="en-US" w:eastAsia="zh-CN"/>
        </w:rPr>
        <w:t>100</w:t>
      </w:r>
      <w:r>
        <w:rPr>
          <w:rFonts w:hint="eastAsia" w:ascii="仿宋_GB2312" w:eastAsia="仿宋_GB2312"/>
          <w:color w:val="000000"/>
          <w:sz w:val="32"/>
          <w:szCs w:val="32"/>
        </w:rPr>
        <w:t>%</w:t>
      </w:r>
      <w:r>
        <w:rPr>
          <w:rFonts w:hint="eastAsia" w:ascii="仿宋_GB2312" w:eastAsia="仿宋_GB2312"/>
          <w:color w:val="000000"/>
          <w:sz w:val="32"/>
          <w:szCs w:val="32"/>
          <w:lang w:eastAsia="zh-CN"/>
        </w:rPr>
        <w:t>；</w:t>
      </w:r>
      <w:r>
        <w:rPr>
          <w:rFonts w:hint="default" w:ascii="仿宋_GB2312" w:hAnsi="仿宋_GB2312" w:cs="仿宋_GB2312"/>
          <w:b w:val="0"/>
          <w:bCs/>
          <w:sz w:val="32"/>
          <w:szCs w:val="32"/>
          <w:lang w:val="en-US" w:eastAsia="zh-CN"/>
        </w:rPr>
        <w:t>社会保障和就业（类</w:t>
      </w:r>
      <w:r>
        <w:rPr>
          <w:rFonts w:hint="eastAsia" w:ascii="仿宋_GB2312" w:hAnsi="仿宋_GB2312" w:cs="仿宋_GB2312"/>
          <w:b w:val="0"/>
          <w:bCs/>
          <w:sz w:val="32"/>
          <w:szCs w:val="32"/>
          <w:lang w:val="en-US" w:eastAsia="zh-CN"/>
        </w:rPr>
        <w:t>）</w:t>
      </w:r>
      <w:r>
        <w:rPr>
          <w:rStyle w:val="20"/>
          <w:rFonts w:hint="eastAsia" w:ascii="仿宋_GB2312" w:eastAsia="仿宋_GB2312"/>
          <w:color w:val="000000"/>
          <w:sz w:val="32"/>
          <w:szCs w:val="32"/>
          <w:lang w:val="en-US" w:eastAsia="zh-CN"/>
        </w:rPr>
        <w:t>民政管理事务</w:t>
      </w:r>
      <w:r>
        <w:rPr>
          <w:rStyle w:val="20"/>
          <w:rFonts w:hint="eastAsia" w:ascii="仿宋_GB2312" w:eastAsia="仿宋_GB2312"/>
          <w:color w:val="000000"/>
          <w:sz w:val="32"/>
          <w:szCs w:val="32"/>
          <w:lang w:eastAsia="zh-CN"/>
        </w:rPr>
        <w:t>（</w:t>
      </w:r>
      <w:r>
        <w:rPr>
          <w:rStyle w:val="20"/>
          <w:rFonts w:hint="eastAsia" w:ascii="仿宋_GB2312" w:eastAsia="仿宋_GB2312"/>
          <w:color w:val="000000"/>
          <w:sz w:val="32"/>
          <w:szCs w:val="32"/>
          <w:lang w:val="en-US" w:eastAsia="zh-CN"/>
        </w:rPr>
        <w:t>款</w:t>
      </w:r>
      <w:r>
        <w:rPr>
          <w:rStyle w:val="20"/>
          <w:rFonts w:hint="eastAsia" w:ascii="仿宋_GB2312" w:eastAsia="仿宋_GB2312"/>
          <w:color w:val="000000"/>
          <w:sz w:val="32"/>
          <w:szCs w:val="32"/>
          <w:lang w:eastAsia="zh-CN"/>
        </w:rPr>
        <w:t>）</w:t>
      </w:r>
      <w:r>
        <w:rPr>
          <w:rStyle w:val="20"/>
          <w:rFonts w:hint="eastAsia" w:ascii="仿宋_GB2312" w:eastAsia="仿宋_GB2312"/>
          <w:color w:val="000000"/>
          <w:sz w:val="32"/>
          <w:szCs w:val="32"/>
          <w:lang w:val="en-US" w:eastAsia="zh-CN"/>
        </w:rPr>
        <w:t>其他民政管理事务支出（项）</w:t>
      </w:r>
      <w:r>
        <w:rPr>
          <w:rStyle w:val="20"/>
          <w:rFonts w:hint="eastAsia" w:ascii="仿宋_GB2312" w:eastAsia="仿宋_GB2312"/>
          <w:b w:val="0"/>
          <w:bCs/>
          <w:color w:val="000000"/>
          <w:sz w:val="32"/>
          <w:szCs w:val="32"/>
          <w:lang w:val="en-US" w:eastAsia="zh-CN"/>
        </w:rPr>
        <w:t>2022年决算数为20万元</w:t>
      </w:r>
      <w:r>
        <w:rPr>
          <w:rStyle w:val="20"/>
          <w:rFonts w:hint="eastAsia" w:ascii="仿宋_GB2312" w:eastAsia="仿宋_GB2312"/>
          <w:color w:val="000000"/>
          <w:sz w:val="32"/>
          <w:szCs w:val="32"/>
          <w:lang w:val="en-US" w:eastAsia="zh-CN"/>
        </w:rPr>
        <w:t>，</w:t>
      </w:r>
      <w:r>
        <w:rPr>
          <w:rFonts w:hint="default" w:ascii="仿宋_GB2312" w:hAnsi="仿宋_GB2312" w:cs="仿宋_GB2312"/>
          <w:b w:val="0"/>
          <w:bCs/>
          <w:sz w:val="32"/>
          <w:szCs w:val="32"/>
          <w:lang w:val="en-US" w:eastAsia="zh-CN"/>
        </w:rPr>
        <w:t>社会保障和就业（类</w:t>
      </w:r>
      <w:r>
        <w:rPr>
          <w:rFonts w:hint="eastAsia" w:ascii="仿宋_GB2312" w:hAnsi="仿宋_GB2312" w:cs="仿宋_GB2312"/>
          <w:b w:val="0"/>
          <w:bCs/>
          <w:sz w:val="32"/>
          <w:szCs w:val="32"/>
          <w:lang w:val="en-US" w:eastAsia="zh-CN"/>
        </w:rPr>
        <w:t>）行政事业单位养老支出</w:t>
      </w:r>
      <w:r>
        <w:rPr>
          <w:rFonts w:hint="default" w:ascii="仿宋_GB2312" w:hAnsi="仿宋_GB2312" w:cs="仿宋_GB2312"/>
          <w:b w:val="0"/>
          <w:bCs/>
          <w:sz w:val="32"/>
          <w:szCs w:val="32"/>
          <w:lang w:val="en-US" w:eastAsia="zh-CN"/>
        </w:rPr>
        <w:t>（款）机关事业单位基本养老保险缴费支出（项）</w:t>
      </w:r>
      <w:r>
        <w:rPr>
          <w:rFonts w:hint="eastAsia" w:ascii="仿宋_GB2312" w:eastAsia="仿宋_GB2312"/>
          <w:color w:val="000000"/>
          <w:sz w:val="32"/>
          <w:szCs w:val="32"/>
          <w:lang w:eastAsia="zh-CN"/>
        </w:rPr>
        <w:t>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年决算数为</w:t>
      </w:r>
      <w:r>
        <w:rPr>
          <w:rFonts w:hint="eastAsia" w:ascii="仿宋_GB2312" w:eastAsia="仿宋_GB2312"/>
          <w:color w:val="000000"/>
          <w:sz w:val="32"/>
          <w:szCs w:val="32"/>
          <w:lang w:val="en-US" w:eastAsia="zh-CN"/>
        </w:rPr>
        <w:t>254.73万元，</w:t>
      </w:r>
      <w:r>
        <w:rPr>
          <w:rFonts w:hint="eastAsia" w:ascii="仿宋_GB2312" w:eastAsia="仿宋_GB2312"/>
          <w:color w:val="000000"/>
          <w:sz w:val="32"/>
          <w:szCs w:val="32"/>
        </w:rPr>
        <w:t>完成预算</w:t>
      </w:r>
      <w:r>
        <w:rPr>
          <w:rFonts w:hint="eastAsia" w:eastAsia="仿宋_GB2312"/>
          <w:color w:val="000000"/>
          <w:sz w:val="32"/>
          <w:szCs w:val="32"/>
          <w:lang w:val="en-US" w:eastAsia="zh-CN"/>
        </w:rPr>
        <w:t>100</w:t>
      </w:r>
      <w:r>
        <w:rPr>
          <w:rFonts w:hint="eastAsia" w:ascii="仿宋_GB2312" w:eastAsia="仿宋_GB2312"/>
          <w:color w:val="000000"/>
          <w:sz w:val="32"/>
          <w:szCs w:val="32"/>
        </w:rPr>
        <w:t>%</w:t>
      </w:r>
      <w:r>
        <w:rPr>
          <w:rFonts w:hint="eastAsia" w:ascii="仿宋_GB2312" w:eastAsia="仿宋_GB2312"/>
          <w:color w:val="000000"/>
          <w:sz w:val="32"/>
          <w:szCs w:val="32"/>
          <w:lang w:eastAsia="zh-CN"/>
        </w:rPr>
        <w:t>；</w:t>
      </w:r>
    </w:p>
    <w:p>
      <w:pPr>
        <w:keepNext w:val="0"/>
        <w:keepLines w:val="0"/>
        <w:pageBreakBefore w:val="0"/>
        <w:widowControl w:val="0"/>
        <w:kinsoku/>
        <w:wordWrap/>
        <w:overflowPunct/>
        <w:topLinePunct w:val="0"/>
        <w:bidi w:val="0"/>
        <w:spacing w:line="576" w:lineRule="exact"/>
        <w:ind w:right="0" w:rightChars="0" w:firstLine="640" w:firstLineChars="200"/>
        <w:textAlignment w:val="auto"/>
        <w:rPr>
          <w:rFonts w:hint="eastAsia" w:ascii="仿宋_GB2312" w:hAnsi="仿宋_GB2312" w:cs="仿宋_GB2312"/>
          <w:b w:val="0"/>
          <w:bCs/>
          <w:sz w:val="32"/>
          <w:szCs w:val="32"/>
          <w:lang w:val="en-US" w:eastAsia="zh-CN"/>
        </w:rPr>
      </w:pPr>
      <w:r>
        <w:rPr>
          <w:rFonts w:hint="eastAsia" w:ascii="仿宋_GB2312" w:eastAsia="仿宋_GB2312"/>
          <w:color w:val="000000"/>
          <w:sz w:val="32"/>
          <w:szCs w:val="32"/>
          <w:lang w:val="en-US" w:eastAsia="zh-CN"/>
        </w:rPr>
        <w:t xml:space="preserve"> </w:t>
      </w:r>
      <w:r>
        <w:rPr>
          <w:rStyle w:val="20"/>
          <w:rFonts w:hint="eastAsia" w:ascii="仿宋_GB2312" w:eastAsia="仿宋_GB2312"/>
          <w:color w:val="000000"/>
          <w:sz w:val="32"/>
          <w:szCs w:val="32"/>
          <w:lang w:val="en-US" w:eastAsia="zh-CN"/>
        </w:rPr>
        <w:t>5</w:t>
      </w:r>
      <w:r>
        <w:rPr>
          <w:rStyle w:val="20"/>
          <w:rFonts w:hint="eastAsia" w:ascii="仿宋_GB2312" w:eastAsia="仿宋_GB2312"/>
          <w:color w:val="000000"/>
          <w:sz w:val="32"/>
          <w:szCs w:val="32"/>
        </w:rPr>
        <w:t>.卫生健康支出</w:t>
      </w:r>
      <w:r>
        <w:rPr>
          <w:rStyle w:val="20"/>
          <w:rFonts w:hint="eastAsia" w:ascii="仿宋_GB2312" w:eastAsia="仿宋_GB2312"/>
          <w:color w:val="000000"/>
          <w:sz w:val="32"/>
          <w:szCs w:val="32"/>
          <w:lang w:eastAsia="zh-CN"/>
        </w:rPr>
        <w:t>：</w:t>
      </w:r>
      <w:r>
        <w:rPr>
          <w:rStyle w:val="20"/>
          <w:rFonts w:hint="eastAsia" w:ascii="仿宋_GB2312" w:eastAsia="仿宋_GB2312"/>
          <w:color w:val="000000"/>
          <w:sz w:val="32"/>
          <w:szCs w:val="32"/>
        </w:rPr>
        <w:t>卫生健康</w:t>
      </w:r>
      <w:r>
        <w:rPr>
          <w:rStyle w:val="20"/>
          <w:rFonts w:hint="eastAsia" w:ascii="仿宋_GB2312" w:eastAsia="仿宋_GB2312"/>
          <w:color w:val="000000"/>
          <w:sz w:val="32"/>
          <w:szCs w:val="32"/>
          <w:lang w:eastAsia="zh-CN"/>
        </w:rPr>
        <w:t>（</w:t>
      </w:r>
      <w:r>
        <w:rPr>
          <w:rStyle w:val="20"/>
          <w:rFonts w:hint="eastAsia" w:ascii="仿宋_GB2312" w:eastAsia="仿宋_GB2312"/>
          <w:color w:val="000000"/>
          <w:sz w:val="32"/>
          <w:szCs w:val="32"/>
          <w:lang w:val="en-US" w:eastAsia="zh-CN"/>
        </w:rPr>
        <w:t>类</w:t>
      </w:r>
      <w:r>
        <w:rPr>
          <w:rStyle w:val="20"/>
          <w:rFonts w:hint="eastAsia" w:ascii="仿宋_GB2312" w:eastAsia="仿宋_GB2312"/>
          <w:color w:val="000000"/>
          <w:sz w:val="32"/>
          <w:szCs w:val="32"/>
          <w:lang w:eastAsia="zh-CN"/>
        </w:rPr>
        <w:t>）</w:t>
      </w:r>
      <w:r>
        <w:rPr>
          <w:rStyle w:val="20"/>
          <w:rFonts w:hint="eastAsia" w:ascii="仿宋_GB2312" w:eastAsia="仿宋_GB2312"/>
          <w:color w:val="000000"/>
          <w:sz w:val="32"/>
          <w:szCs w:val="32"/>
          <w:lang w:val="en-US" w:eastAsia="zh-CN"/>
        </w:rPr>
        <w:t>公共卫生</w:t>
      </w:r>
      <w:r>
        <w:rPr>
          <w:rStyle w:val="20"/>
          <w:rFonts w:hint="eastAsia" w:ascii="仿宋_GB2312" w:eastAsia="仿宋_GB2312"/>
          <w:color w:val="000000"/>
          <w:sz w:val="32"/>
          <w:szCs w:val="32"/>
          <w:lang w:eastAsia="zh-CN"/>
        </w:rPr>
        <w:t>（</w:t>
      </w:r>
      <w:r>
        <w:rPr>
          <w:rStyle w:val="20"/>
          <w:rFonts w:hint="eastAsia" w:ascii="仿宋_GB2312" w:eastAsia="仿宋_GB2312"/>
          <w:color w:val="000000"/>
          <w:sz w:val="32"/>
          <w:szCs w:val="32"/>
          <w:lang w:val="en-US" w:eastAsia="zh-CN"/>
        </w:rPr>
        <w:t>款</w:t>
      </w:r>
      <w:r>
        <w:rPr>
          <w:rStyle w:val="20"/>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重大公共卫生服务（项）</w:t>
      </w:r>
      <w:r>
        <w:rPr>
          <w:rFonts w:hint="eastAsia" w:ascii="仿宋_GB2312" w:eastAsia="仿宋_GB2312"/>
          <w:color w:val="000000"/>
          <w:sz w:val="32"/>
          <w:szCs w:val="32"/>
          <w:lang w:eastAsia="zh-CN"/>
        </w:rPr>
        <w:t>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年决算数为</w:t>
      </w:r>
      <w:r>
        <w:rPr>
          <w:rFonts w:hint="eastAsia" w:ascii="仿宋_GB2312" w:eastAsia="仿宋_GB2312"/>
          <w:color w:val="000000"/>
          <w:sz w:val="32"/>
          <w:szCs w:val="32"/>
          <w:lang w:val="en-US" w:eastAsia="zh-CN"/>
        </w:rPr>
        <w:t>294万元，</w:t>
      </w:r>
      <w:r>
        <w:rPr>
          <w:rFonts w:hint="eastAsia" w:ascii="仿宋_GB2312" w:eastAsia="仿宋_GB2312"/>
          <w:color w:val="000000"/>
          <w:sz w:val="32"/>
          <w:szCs w:val="32"/>
        </w:rPr>
        <w:t>完成预算</w:t>
      </w:r>
      <w:r>
        <w:rPr>
          <w:rFonts w:hint="eastAsia" w:eastAsia="仿宋_GB2312"/>
          <w:color w:val="000000"/>
          <w:sz w:val="32"/>
          <w:szCs w:val="32"/>
          <w:lang w:val="en-US" w:eastAsia="zh-CN"/>
        </w:rPr>
        <w:t>100</w:t>
      </w:r>
      <w:r>
        <w:rPr>
          <w:rFonts w:hint="eastAsia" w:ascii="仿宋_GB2312" w:eastAsia="仿宋_GB2312"/>
          <w:color w:val="000000"/>
          <w:sz w:val="32"/>
          <w:szCs w:val="32"/>
        </w:rPr>
        <w:t>%</w:t>
      </w:r>
      <w:r>
        <w:rPr>
          <w:rFonts w:hint="eastAsia" w:ascii="仿宋_GB2312" w:eastAsia="仿宋_GB2312"/>
          <w:color w:val="000000"/>
          <w:sz w:val="32"/>
          <w:szCs w:val="32"/>
          <w:lang w:eastAsia="zh-CN"/>
        </w:rPr>
        <w:t>，</w:t>
      </w:r>
      <w:r>
        <w:rPr>
          <w:rFonts w:hint="default" w:ascii="仿宋_GB2312" w:hAnsi="仿宋_GB2312" w:cs="仿宋_GB2312"/>
          <w:b w:val="0"/>
          <w:bCs/>
          <w:sz w:val="32"/>
          <w:szCs w:val="32"/>
          <w:lang w:val="en-US" w:eastAsia="zh-CN"/>
        </w:rPr>
        <w:t>卫生健康（类）行政事业单位医疗（款）事业单位医疗（项）</w:t>
      </w:r>
      <w:r>
        <w:rPr>
          <w:rFonts w:hint="eastAsia" w:ascii="仿宋_GB2312" w:hAnsi="仿宋_GB2312" w:cs="仿宋_GB2312"/>
          <w:b w:val="0"/>
          <w:bCs/>
          <w:sz w:val="32"/>
          <w:szCs w:val="32"/>
          <w:lang w:val="en-US" w:eastAsia="zh-CN"/>
        </w:rPr>
        <w:t>2022年决算数77.76万元，完成预算100%，</w:t>
      </w:r>
      <w:r>
        <w:rPr>
          <w:rFonts w:hint="default" w:ascii="仿宋_GB2312" w:hAnsi="仿宋_GB2312" w:cs="仿宋_GB2312"/>
          <w:b w:val="0"/>
          <w:bCs/>
          <w:sz w:val="32"/>
          <w:szCs w:val="32"/>
          <w:lang w:val="en-US" w:eastAsia="zh-CN"/>
        </w:rPr>
        <w:t>卫生健康（类）行政事业单位医疗（款）</w:t>
      </w:r>
      <w:r>
        <w:rPr>
          <w:rFonts w:hint="eastAsia" w:ascii="仿宋_GB2312" w:hAnsi="仿宋_GB2312" w:cs="仿宋_GB2312"/>
          <w:b w:val="0"/>
          <w:bCs/>
          <w:sz w:val="32"/>
          <w:szCs w:val="32"/>
          <w:lang w:val="en-US" w:eastAsia="zh-CN"/>
        </w:rPr>
        <w:t>行政</w:t>
      </w:r>
      <w:r>
        <w:rPr>
          <w:rFonts w:hint="default" w:ascii="仿宋_GB2312" w:hAnsi="仿宋_GB2312" w:cs="仿宋_GB2312"/>
          <w:b w:val="0"/>
          <w:bCs/>
          <w:sz w:val="32"/>
          <w:szCs w:val="32"/>
          <w:lang w:val="en-US" w:eastAsia="zh-CN"/>
        </w:rPr>
        <w:t>单位医疗（项）</w:t>
      </w:r>
      <w:r>
        <w:rPr>
          <w:rFonts w:hint="eastAsia" w:ascii="仿宋_GB2312" w:hAnsi="仿宋_GB2312" w:cs="仿宋_GB2312"/>
          <w:b w:val="0"/>
          <w:bCs/>
          <w:sz w:val="32"/>
          <w:szCs w:val="32"/>
          <w:lang w:val="en-US" w:eastAsia="zh-CN"/>
        </w:rPr>
        <w:t>2022年决算数49.60万元，完成预算100%。</w:t>
      </w:r>
    </w:p>
    <w:p>
      <w:pPr>
        <w:pStyle w:val="2"/>
        <w:ind w:firstLine="643" w:firstLineChars="200"/>
        <w:rPr>
          <w:rFonts w:hint="eastAsia" w:eastAsia="仿宋_GB2312"/>
          <w:lang w:val="en-US" w:eastAsia="zh-CN"/>
        </w:rPr>
      </w:pPr>
      <w:r>
        <w:rPr>
          <w:rFonts w:hint="eastAsia" w:hAnsi="仿宋_GB2312" w:cs="仿宋_GB2312"/>
          <w:b/>
          <w:bCs w:val="0"/>
          <w:sz w:val="32"/>
          <w:szCs w:val="32"/>
          <w:lang w:val="en-US" w:eastAsia="zh-CN"/>
        </w:rPr>
        <w:t>6.</w:t>
      </w:r>
      <w:r>
        <w:rPr>
          <w:rFonts w:hint="eastAsia" w:ascii="仿宋_GB2312" w:hAnsi="仿宋_GB2312" w:cs="仿宋_GB2312"/>
          <w:b/>
          <w:bCs w:val="0"/>
          <w:sz w:val="32"/>
          <w:szCs w:val="32"/>
          <w:lang w:val="en-US" w:eastAsia="zh-CN"/>
        </w:rPr>
        <w:t>节能环保</w:t>
      </w:r>
      <w:r>
        <w:rPr>
          <w:rFonts w:hint="eastAsia" w:hAnsi="仿宋_GB2312" w:cs="仿宋_GB2312"/>
          <w:b/>
          <w:bCs w:val="0"/>
          <w:sz w:val="32"/>
          <w:szCs w:val="32"/>
          <w:lang w:val="en-US" w:eastAsia="zh-CN"/>
        </w:rPr>
        <w:t>支出：</w:t>
      </w:r>
      <w:r>
        <w:rPr>
          <w:rFonts w:hint="eastAsia" w:ascii="仿宋_GB2312" w:hAnsi="仿宋_GB2312" w:cs="仿宋_GB2312"/>
          <w:b/>
          <w:bCs w:val="0"/>
          <w:sz w:val="32"/>
          <w:szCs w:val="32"/>
          <w:lang w:val="en-US" w:eastAsia="zh-CN"/>
        </w:rPr>
        <w:t>节能环保</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自然生态保护</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农村环境保护</w:t>
      </w:r>
      <w:r>
        <w:rPr>
          <w:rFonts w:hint="default" w:ascii="仿宋_GB2312" w:hAnsi="仿宋_GB2312" w:cs="仿宋_GB2312"/>
          <w:b w:val="0"/>
          <w:bCs/>
          <w:sz w:val="32"/>
          <w:szCs w:val="32"/>
          <w:lang w:val="en-US" w:eastAsia="zh-CN"/>
        </w:rPr>
        <w:t>（项）</w:t>
      </w:r>
      <w:r>
        <w:rPr>
          <w:rFonts w:hint="eastAsia" w:hAnsi="仿宋_GB2312" w:cs="仿宋_GB2312"/>
          <w:b w:val="0"/>
          <w:bCs/>
          <w:sz w:val="32"/>
          <w:szCs w:val="32"/>
          <w:lang w:val="en-US" w:eastAsia="zh-CN"/>
        </w:rPr>
        <w:t>2022年决算数为60万元，</w:t>
      </w:r>
      <w:r>
        <w:rPr>
          <w:rFonts w:hint="eastAsia" w:ascii="仿宋_GB2312" w:eastAsia="仿宋_GB2312"/>
          <w:color w:val="000000"/>
          <w:sz w:val="32"/>
          <w:szCs w:val="32"/>
        </w:rPr>
        <w:t>完成预算</w:t>
      </w:r>
      <w:r>
        <w:rPr>
          <w:rFonts w:hint="eastAsia" w:eastAsia="仿宋_GB2312"/>
          <w:color w:val="000000"/>
          <w:sz w:val="32"/>
          <w:szCs w:val="32"/>
          <w:lang w:val="en-US" w:eastAsia="zh-CN"/>
        </w:rPr>
        <w:t>100</w:t>
      </w:r>
      <w:r>
        <w:rPr>
          <w:rFonts w:hint="eastAsia" w:ascii="仿宋_GB2312" w:eastAsia="仿宋_GB2312"/>
          <w:color w:val="000000"/>
          <w:sz w:val="32"/>
          <w:szCs w:val="32"/>
        </w:rPr>
        <w:t>%</w:t>
      </w:r>
      <w:r>
        <w:rPr>
          <w:rFonts w:hint="eastAsia"/>
          <w:color w:val="000000"/>
          <w:sz w:val="32"/>
          <w:szCs w:val="32"/>
          <w:lang w:eastAsia="zh-CN"/>
        </w:rPr>
        <w:t>。</w:t>
      </w:r>
    </w:p>
    <w:p>
      <w:pPr>
        <w:keepNext w:val="0"/>
        <w:keepLines w:val="0"/>
        <w:pageBreakBefore w:val="0"/>
        <w:widowControl w:val="0"/>
        <w:kinsoku/>
        <w:wordWrap/>
        <w:overflowPunct/>
        <w:topLinePunct w:val="0"/>
        <w:bidi w:val="0"/>
        <w:spacing w:line="576" w:lineRule="exact"/>
        <w:ind w:right="0" w:rightChars="0"/>
        <w:textAlignment w:val="auto"/>
        <w:rPr>
          <w:rFonts w:hint="eastAsia" w:ascii="仿宋_GB2312" w:eastAsia="仿宋_GB2312"/>
          <w:color w:val="000000"/>
          <w:sz w:val="32"/>
          <w:szCs w:val="32"/>
          <w:lang w:eastAsia="zh-CN"/>
        </w:rPr>
      </w:pPr>
      <w:r>
        <w:rPr>
          <w:rFonts w:hint="eastAsia" w:ascii="仿宋_GB2312" w:eastAsia="仿宋_GB2312"/>
          <w:color w:val="000000"/>
          <w:sz w:val="32"/>
          <w:szCs w:val="32"/>
        </w:rPr>
        <w:t xml:space="preserve">    </w:t>
      </w:r>
      <w:r>
        <w:rPr>
          <w:rStyle w:val="20"/>
          <w:rFonts w:hint="eastAsia" w:ascii="仿宋_GB2312" w:eastAsia="仿宋_GB2312"/>
          <w:b/>
          <w:bCs/>
          <w:color w:val="000000"/>
          <w:sz w:val="32"/>
          <w:szCs w:val="32"/>
          <w:lang w:val="en-US" w:eastAsia="zh-CN"/>
        </w:rPr>
        <w:t>7.城乡社区支出：</w:t>
      </w:r>
      <w:r>
        <w:rPr>
          <w:rFonts w:hint="eastAsia" w:ascii="仿宋_GB2312" w:hAnsi="仿宋_GB2312" w:cs="仿宋_GB2312"/>
          <w:b w:val="0"/>
          <w:bCs/>
          <w:sz w:val="32"/>
          <w:szCs w:val="32"/>
          <w:lang w:val="en-US" w:eastAsia="zh-CN"/>
        </w:rPr>
        <w:t>城乡社区</w:t>
      </w:r>
      <w:r>
        <w:rPr>
          <w:rFonts w:hint="default" w:ascii="仿宋_GB2312" w:hAnsi="仿宋_GB2312" w:cs="仿宋_GB2312"/>
          <w:b w:val="0"/>
          <w:bCs/>
          <w:sz w:val="32"/>
          <w:szCs w:val="32"/>
          <w:lang w:val="en-US" w:eastAsia="zh-CN"/>
        </w:rPr>
        <w:t>（类）</w:t>
      </w:r>
      <w:r>
        <w:rPr>
          <w:rStyle w:val="20"/>
          <w:rFonts w:hint="eastAsia" w:ascii="仿宋_GB2312" w:eastAsia="仿宋_GB2312"/>
          <w:b/>
          <w:bCs/>
          <w:color w:val="000000"/>
          <w:sz w:val="32"/>
          <w:szCs w:val="32"/>
          <w:lang w:val="en-US" w:eastAsia="zh-CN"/>
        </w:rPr>
        <w:t>城乡社区管理事务（款）</w:t>
      </w:r>
      <w:r>
        <w:rPr>
          <w:rFonts w:hint="eastAsia" w:ascii="仿宋_GB2312" w:eastAsia="仿宋_GB2312"/>
          <w:color w:val="000000"/>
          <w:sz w:val="32"/>
          <w:szCs w:val="32"/>
          <w:lang w:val="en-US" w:eastAsia="zh-CN"/>
        </w:rPr>
        <w:t>城管执法（项）</w:t>
      </w:r>
      <w:r>
        <w:rPr>
          <w:rFonts w:hint="eastAsia" w:ascii="仿宋_GB2312" w:eastAsia="仿宋_GB2312"/>
          <w:color w:val="000000"/>
          <w:sz w:val="32"/>
          <w:szCs w:val="32"/>
          <w:lang w:eastAsia="zh-CN"/>
        </w:rPr>
        <w:t>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年决算数为</w:t>
      </w:r>
      <w:r>
        <w:rPr>
          <w:rFonts w:hint="eastAsia" w:ascii="仿宋_GB2312" w:eastAsia="仿宋_GB2312"/>
          <w:color w:val="000000"/>
          <w:sz w:val="32"/>
          <w:szCs w:val="32"/>
          <w:lang w:val="en-US" w:eastAsia="zh-CN"/>
        </w:rPr>
        <w:t>15万元，</w:t>
      </w:r>
      <w:r>
        <w:rPr>
          <w:rFonts w:hint="eastAsia" w:ascii="仿宋_GB2312" w:eastAsia="仿宋_GB2312"/>
          <w:color w:val="000000"/>
          <w:sz w:val="32"/>
          <w:szCs w:val="32"/>
        </w:rPr>
        <w:t>完成预算</w:t>
      </w:r>
      <w:r>
        <w:rPr>
          <w:rFonts w:hint="eastAsia" w:eastAsia="仿宋_GB2312"/>
          <w:color w:val="000000"/>
          <w:sz w:val="32"/>
          <w:szCs w:val="32"/>
          <w:lang w:val="en-US" w:eastAsia="zh-CN"/>
        </w:rPr>
        <w:t>100</w:t>
      </w:r>
      <w:r>
        <w:rPr>
          <w:rFonts w:hint="eastAsia" w:ascii="仿宋_GB2312" w:eastAsia="仿宋_GB2312"/>
          <w:color w:val="000000"/>
          <w:sz w:val="32"/>
          <w:szCs w:val="32"/>
        </w:rPr>
        <w:t>%</w:t>
      </w:r>
      <w:r>
        <w:rPr>
          <w:rFonts w:hint="eastAsia" w:ascii="仿宋_GB2312" w:eastAsia="仿宋_GB2312"/>
          <w:color w:val="000000"/>
          <w:sz w:val="32"/>
          <w:szCs w:val="32"/>
          <w:lang w:eastAsia="zh-CN"/>
        </w:rPr>
        <w:t>，</w:t>
      </w:r>
      <w:r>
        <w:rPr>
          <w:rFonts w:hint="eastAsia" w:ascii="仿宋_GB2312" w:hAnsi="仿宋_GB2312" w:cs="仿宋_GB2312"/>
          <w:b w:val="0"/>
          <w:bCs/>
          <w:sz w:val="32"/>
          <w:szCs w:val="32"/>
          <w:lang w:val="en-US" w:eastAsia="zh-CN"/>
        </w:rPr>
        <w:t>城乡社区</w:t>
      </w:r>
      <w:r>
        <w:rPr>
          <w:rFonts w:hint="default" w:ascii="仿宋_GB2312" w:hAnsi="仿宋_GB2312" w:cs="仿宋_GB2312"/>
          <w:b w:val="0"/>
          <w:bCs/>
          <w:sz w:val="32"/>
          <w:szCs w:val="32"/>
          <w:lang w:val="en-US" w:eastAsia="zh-CN"/>
        </w:rPr>
        <w:t>（类）</w:t>
      </w:r>
      <w:r>
        <w:rPr>
          <w:rFonts w:hint="eastAsia" w:ascii="仿宋_GB2312" w:eastAsia="仿宋_GB2312"/>
          <w:color w:val="000000"/>
          <w:sz w:val="32"/>
          <w:szCs w:val="32"/>
          <w:lang w:eastAsia="zh-CN"/>
        </w:rPr>
        <w:t>城乡社区环境卫生（</w:t>
      </w:r>
      <w:r>
        <w:rPr>
          <w:rFonts w:hint="eastAsia" w:ascii="仿宋_GB2312" w:eastAsia="仿宋_GB2312"/>
          <w:color w:val="000000"/>
          <w:sz w:val="32"/>
          <w:szCs w:val="32"/>
          <w:lang w:val="en-US" w:eastAsia="zh-CN"/>
        </w:rPr>
        <w:t>款</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城乡社区环境卫生（项）</w:t>
      </w:r>
      <w:r>
        <w:rPr>
          <w:rFonts w:hint="eastAsia" w:ascii="仿宋_GB2312" w:eastAsia="仿宋_GB2312"/>
          <w:color w:val="000000"/>
          <w:sz w:val="32"/>
          <w:szCs w:val="32"/>
          <w:lang w:eastAsia="zh-CN"/>
        </w:rPr>
        <w:t>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年决算数为</w:t>
      </w:r>
      <w:r>
        <w:rPr>
          <w:rFonts w:hint="eastAsia" w:ascii="仿宋_GB2312" w:eastAsia="仿宋_GB2312"/>
          <w:color w:val="000000"/>
          <w:sz w:val="32"/>
          <w:szCs w:val="32"/>
          <w:lang w:val="en-US" w:eastAsia="zh-CN"/>
        </w:rPr>
        <w:t>5万元，</w:t>
      </w:r>
      <w:r>
        <w:rPr>
          <w:rFonts w:hint="eastAsia" w:ascii="仿宋_GB2312" w:eastAsia="仿宋_GB2312"/>
          <w:color w:val="000000"/>
          <w:sz w:val="32"/>
          <w:szCs w:val="32"/>
        </w:rPr>
        <w:t>完成预算</w:t>
      </w:r>
      <w:r>
        <w:rPr>
          <w:rFonts w:hint="eastAsia" w:eastAsia="仿宋_GB2312"/>
          <w:color w:val="000000"/>
          <w:sz w:val="32"/>
          <w:szCs w:val="32"/>
          <w:lang w:val="en-US" w:eastAsia="zh-CN"/>
        </w:rPr>
        <w:t>100</w:t>
      </w:r>
      <w:r>
        <w:rPr>
          <w:rFonts w:hint="eastAsia" w:ascii="仿宋_GB2312" w:eastAsia="仿宋_GB2312"/>
          <w:color w:val="000000"/>
          <w:sz w:val="32"/>
          <w:szCs w:val="32"/>
        </w:rPr>
        <w:t>%</w:t>
      </w:r>
      <w:r>
        <w:rPr>
          <w:rFonts w:hint="eastAsia" w:ascii="仿宋_GB2312" w:eastAsia="仿宋_GB2312"/>
          <w:color w:val="000000"/>
          <w:sz w:val="32"/>
          <w:szCs w:val="32"/>
          <w:lang w:eastAsia="zh-CN"/>
        </w:rPr>
        <w:t>。</w:t>
      </w:r>
    </w:p>
    <w:p>
      <w:pPr>
        <w:keepNext w:val="0"/>
        <w:keepLines w:val="0"/>
        <w:pageBreakBefore w:val="0"/>
        <w:widowControl w:val="0"/>
        <w:kinsoku/>
        <w:wordWrap/>
        <w:overflowPunct/>
        <w:topLinePunct w:val="0"/>
        <w:bidi w:val="0"/>
        <w:spacing w:line="576" w:lineRule="exact"/>
        <w:ind w:left="0" w:leftChars="0" w:right="0" w:rightChars="0" w:firstLine="643" w:firstLineChars="200"/>
        <w:textAlignment w:val="auto"/>
        <w:rPr>
          <w:rFonts w:hint="eastAsia" w:ascii="仿宋_GB2312" w:eastAsia="仿宋_GB2312"/>
          <w:color w:val="000000"/>
          <w:sz w:val="32"/>
          <w:szCs w:val="32"/>
          <w:lang w:eastAsia="zh-CN"/>
        </w:rPr>
      </w:pPr>
      <w:r>
        <w:rPr>
          <w:rStyle w:val="20"/>
          <w:rFonts w:hint="eastAsia" w:ascii="仿宋_GB2312" w:eastAsia="仿宋_GB2312"/>
          <w:b/>
          <w:bCs/>
          <w:color w:val="000000"/>
          <w:sz w:val="32"/>
          <w:szCs w:val="32"/>
          <w:lang w:val="en-US" w:eastAsia="zh-CN"/>
        </w:rPr>
        <w:t>8.农林水支出：</w:t>
      </w:r>
      <w:r>
        <w:rPr>
          <w:rFonts w:hint="eastAsia" w:ascii="仿宋_GB2312" w:hAnsi="仿宋_GB2312" w:cs="仿宋_GB2312"/>
          <w:b w:val="0"/>
          <w:bCs/>
          <w:sz w:val="32"/>
          <w:szCs w:val="32"/>
          <w:lang w:val="en-US" w:eastAsia="zh-CN"/>
        </w:rPr>
        <w:t>农林水</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农业农村</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事业运行</w:t>
      </w:r>
      <w:r>
        <w:rPr>
          <w:rFonts w:hint="default" w:ascii="仿宋_GB2312" w:hAnsi="仿宋_GB2312" w:cs="仿宋_GB2312"/>
          <w:b w:val="0"/>
          <w:bCs/>
          <w:sz w:val="32"/>
          <w:szCs w:val="32"/>
          <w:lang w:val="en-US" w:eastAsia="zh-CN"/>
        </w:rPr>
        <w:t>（项）</w:t>
      </w:r>
      <w:r>
        <w:rPr>
          <w:rFonts w:hint="eastAsia" w:ascii="仿宋_GB2312" w:eastAsia="仿宋_GB2312"/>
          <w:color w:val="000000"/>
          <w:sz w:val="32"/>
          <w:szCs w:val="32"/>
          <w:lang w:eastAsia="zh-CN"/>
        </w:rPr>
        <w:t>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年决算数为</w:t>
      </w:r>
      <w:r>
        <w:rPr>
          <w:rFonts w:hint="eastAsia" w:ascii="仿宋_GB2312" w:eastAsia="仿宋_GB2312"/>
          <w:color w:val="000000"/>
          <w:sz w:val="32"/>
          <w:szCs w:val="32"/>
          <w:lang w:val="en-US" w:eastAsia="zh-CN"/>
        </w:rPr>
        <w:t>688.51万元，</w:t>
      </w:r>
      <w:r>
        <w:rPr>
          <w:rFonts w:hint="eastAsia" w:ascii="仿宋_GB2312" w:eastAsia="仿宋_GB2312"/>
          <w:color w:val="000000"/>
          <w:sz w:val="32"/>
          <w:szCs w:val="32"/>
        </w:rPr>
        <w:t>完成预算</w:t>
      </w:r>
      <w:r>
        <w:rPr>
          <w:rFonts w:hint="eastAsia" w:eastAsia="仿宋_GB2312"/>
          <w:color w:val="000000"/>
          <w:sz w:val="32"/>
          <w:szCs w:val="32"/>
          <w:lang w:val="en-US" w:eastAsia="zh-CN"/>
        </w:rPr>
        <w:t>100</w:t>
      </w:r>
      <w:r>
        <w:rPr>
          <w:rFonts w:hint="eastAsia" w:ascii="仿宋_GB2312" w:eastAsia="仿宋_GB2312"/>
          <w:color w:val="000000"/>
          <w:sz w:val="32"/>
          <w:szCs w:val="32"/>
        </w:rPr>
        <w:t>%</w:t>
      </w:r>
      <w:r>
        <w:rPr>
          <w:rFonts w:hint="eastAsia" w:ascii="仿宋_GB2312" w:eastAsia="仿宋_GB2312"/>
          <w:color w:val="000000"/>
          <w:sz w:val="32"/>
          <w:szCs w:val="32"/>
          <w:lang w:eastAsia="zh-CN"/>
        </w:rPr>
        <w:t>；</w:t>
      </w:r>
      <w:r>
        <w:rPr>
          <w:rStyle w:val="20"/>
          <w:rFonts w:hint="eastAsia" w:ascii="仿宋_GB2312" w:eastAsia="仿宋_GB2312"/>
          <w:b/>
          <w:bCs/>
          <w:color w:val="000000"/>
          <w:sz w:val="32"/>
          <w:szCs w:val="32"/>
          <w:lang w:val="en-US" w:eastAsia="zh-CN"/>
        </w:rPr>
        <w:t>农林水（类）农业农村（款）</w:t>
      </w:r>
      <w:r>
        <w:rPr>
          <w:rFonts w:hint="eastAsia" w:ascii="仿宋_GB2312" w:eastAsia="仿宋_GB2312"/>
          <w:color w:val="000000"/>
          <w:sz w:val="32"/>
          <w:szCs w:val="32"/>
          <w:lang w:val="en-US" w:eastAsia="zh-CN"/>
        </w:rPr>
        <w:t>防灾救灾</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项</w:t>
      </w:r>
      <w:r>
        <w:rPr>
          <w:rFonts w:hint="eastAsia" w:ascii="仿宋_GB2312" w:eastAsia="仿宋_GB2312"/>
          <w:color w:val="000000"/>
          <w:sz w:val="32"/>
          <w:szCs w:val="32"/>
          <w:lang w:eastAsia="zh-CN"/>
        </w:rPr>
        <w:t>）202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年决算数为</w:t>
      </w:r>
      <w:r>
        <w:rPr>
          <w:rFonts w:hint="eastAsia" w:ascii="仿宋_GB2312" w:eastAsia="仿宋_GB2312"/>
          <w:color w:val="000000"/>
          <w:sz w:val="32"/>
          <w:szCs w:val="32"/>
          <w:lang w:val="en-US" w:eastAsia="zh-CN"/>
        </w:rPr>
        <w:t>34.2万元，</w:t>
      </w:r>
      <w:r>
        <w:rPr>
          <w:rFonts w:hint="eastAsia" w:ascii="仿宋_GB2312" w:eastAsia="仿宋_GB2312"/>
          <w:color w:val="000000"/>
          <w:sz w:val="32"/>
          <w:szCs w:val="32"/>
        </w:rPr>
        <w:t>完成预算</w:t>
      </w:r>
      <w:r>
        <w:rPr>
          <w:rFonts w:hint="eastAsia" w:eastAsia="仿宋_GB2312"/>
          <w:color w:val="000000"/>
          <w:sz w:val="32"/>
          <w:szCs w:val="32"/>
          <w:lang w:val="en-US" w:eastAsia="zh-CN"/>
        </w:rPr>
        <w:t>100</w:t>
      </w:r>
      <w:r>
        <w:rPr>
          <w:rFonts w:hint="eastAsia" w:ascii="仿宋_GB2312" w:eastAsia="仿宋_GB2312"/>
          <w:color w:val="000000"/>
          <w:sz w:val="32"/>
          <w:szCs w:val="32"/>
        </w:rPr>
        <w:t>%</w:t>
      </w:r>
      <w:r>
        <w:rPr>
          <w:rFonts w:hint="eastAsia" w:ascii="仿宋_GB2312" w:eastAsia="仿宋_GB2312"/>
          <w:color w:val="000000"/>
          <w:sz w:val="32"/>
          <w:szCs w:val="32"/>
          <w:lang w:eastAsia="zh-CN"/>
        </w:rPr>
        <w:t>；</w:t>
      </w:r>
      <w:r>
        <w:rPr>
          <w:rFonts w:hint="eastAsia" w:ascii="仿宋_GB2312" w:hAnsi="仿宋_GB2312" w:cs="仿宋_GB2312"/>
          <w:b w:val="0"/>
          <w:bCs/>
          <w:sz w:val="32"/>
          <w:szCs w:val="32"/>
          <w:lang w:val="en-US" w:eastAsia="zh-CN"/>
        </w:rPr>
        <w:t>农林水</w:t>
      </w:r>
      <w:r>
        <w:rPr>
          <w:rFonts w:hint="default" w:ascii="仿宋_GB2312" w:hAnsi="仿宋_GB2312" w:cs="仿宋_GB2312"/>
          <w:b w:val="0"/>
          <w:bCs/>
          <w:sz w:val="32"/>
          <w:szCs w:val="32"/>
          <w:lang w:val="en-US" w:eastAsia="zh-CN"/>
        </w:rPr>
        <w:t>（类）</w:t>
      </w:r>
      <w:r>
        <w:rPr>
          <w:rFonts w:hint="eastAsia" w:ascii="仿宋_GB2312" w:eastAsia="仿宋_GB2312"/>
          <w:color w:val="000000"/>
          <w:sz w:val="32"/>
          <w:szCs w:val="32"/>
          <w:lang w:eastAsia="zh-CN"/>
        </w:rPr>
        <w:t>林业和草原（</w:t>
      </w:r>
      <w:r>
        <w:rPr>
          <w:rFonts w:hint="eastAsia" w:ascii="仿宋_GB2312" w:eastAsia="仿宋_GB2312"/>
          <w:color w:val="000000"/>
          <w:sz w:val="32"/>
          <w:szCs w:val="32"/>
          <w:lang w:val="en-US" w:eastAsia="zh-CN"/>
        </w:rPr>
        <w:t>款</w:t>
      </w:r>
      <w:r>
        <w:rPr>
          <w:rFonts w:hint="eastAsia" w:ascii="仿宋_GB2312" w:eastAsia="仿宋_GB2312"/>
          <w:color w:val="000000"/>
          <w:sz w:val="32"/>
          <w:szCs w:val="32"/>
          <w:lang w:eastAsia="zh-CN"/>
        </w:rPr>
        <w:t>）林业草原防灾减灾（</w:t>
      </w:r>
      <w:r>
        <w:rPr>
          <w:rFonts w:hint="eastAsia" w:ascii="仿宋_GB2312" w:eastAsia="仿宋_GB2312"/>
          <w:color w:val="000000"/>
          <w:sz w:val="32"/>
          <w:szCs w:val="32"/>
          <w:lang w:val="en-US" w:eastAsia="zh-CN"/>
        </w:rPr>
        <w:t>项</w:t>
      </w:r>
      <w:r>
        <w:rPr>
          <w:rFonts w:hint="eastAsia" w:ascii="仿宋_GB2312" w:eastAsia="仿宋_GB2312"/>
          <w:color w:val="000000"/>
          <w:sz w:val="32"/>
          <w:szCs w:val="32"/>
          <w:lang w:eastAsia="zh-CN"/>
        </w:rPr>
        <w:t>）202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年决算数为</w:t>
      </w:r>
      <w:r>
        <w:rPr>
          <w:rFonts w:hint="eastAsia" w:ascii="仿宋_GB2312" w:eastAsia="仿宋_GB2312"/>
          <w:color w:val="000000"/>
          <w:sz w:val="32"/>
          <w:szCs w:val="32"/>
          <w:lang w:val="en-US" w:eastAsia="zh-CN"/>
        </w:rPr>
        <w:t>2万元，</w:t>
      </w:r>
      <w:r>
        <w:rPr>
          <w:rFonts w:hint="eastAsia" w:ascii="仿宋_GB2312" w:eastAsia="仿宋_GB2312"/>
          <w:color w:val="000000"/>
          <w:sz w:val="32"/>
          <w:szCs w:val="32"/>
        </w:rPr>
        <w:t>完成预算</w:t>
      </w:r>
      <w:r>
        <w:rPr>
          <w:rFonts w:hint="eastAsia" w:eastAsia="仿宋_GB2312"/>
          <w:color w:val="000000"/>
          <w:sz w:val="32"/>
          <w:szCs w:val="32"/>
          <w:lang w:val="en-US" w:eastAsia="zh-CN"/>
        </w:rPr>
        <w:t>100</w:t>
      </w:r>
      <w:r>
        <w:rPr>
          <w:rFonts w:hint="eastAsia" w:ascii="仿宋_GB2312" w:eastAsia="仿宋_GB2312"/>
          <w:color w:val="000000"/>
          <w:sz w:val="32"/>
          <w:szCs w:val="32"/>
        </w:rPr>
        <w:t>%</w:t>
      </w:r>
      <w:r>
        <w:rPr>
          <w:rFonts w:hint="eastAsia" w:ascii="仿宋_GB2312" w:eastAsia="仿宋_GB2312"/>
          <w:color w:val="000000"/>
          <w:sz w:val="32"/>
          <w:szCs w:val="32"/>
          <w:lang w:eastAsia="zh-CN"/>
        </w:rPr>
        <w:t>；农林水（</w:t>
      </w:r>
      <w:r>
        <w:rPr>
          <w:rFonts w:hint="eastAsia" w:ascii="仿宋_GB2312" w:eastAsia="仿宋_GB2312"/>
          <w:color w:val="000000"/>
          <w:sz w:val="32"/>
          <w:szCs w:val="32"/>
          <w:lang w:val="en-US" w:eastAsia="zh-CN"/>
        </w:rPr>
        <w:t>类</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巩固脱贫衔接乡村振兴</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款）</w:t>
      </w:r>
      <w:r>
        <w:rPr>
          <w:rFonts w:hint="eastAsia" w:ascii="仿宋_GB2312" w:eastAsia="仿宋_GB2312"/>
          <w:color w:val="000000"/>
          <w:sz w:val="32"/>
          <w:szCs w:val="32"/>
          <w:lang w:eastAsia="zh-CN"/>
        </w:rPr>
        <w:t>一般行政管理事务（</w:t>
      </w:r>
      <w:r>
        <w:rPr>
          <w:rFonts w:hint="eastAsia" w:ascii="仿宋_GB2312" w:eastAsia="仿宋_GB2312"/>
          <w:color w:val="000000"/>
          <w:sz w:val="32"/>
          <w:szCs w:val="32"/>
          <w:lang w:val="en-US" w:eastAsia="zh-CN"/>
        </w:rPr>
        <w:t>项</w:t>
      </w:r>
      <w:r>
        <w:rPr>
          <w:rFonts w:hint="eastAsia" w:ascii="仿宋_GB2312" w:eastAsia="仿宋_GB2312"/>
          <w:color w:val="000000"/>
          <w:sz w:val="32"/>
          <w:szCs w:val="32"/>
          <w:lang w:eastAsia="zh-CN"/>
        </w:rPr>
        <w:t>）202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年决算数为</w:t>
      </w:r>
      <w:r>
        <w:rPr>
          <w:rFonts w:hint="eastAsia" w:ascii="仿宋_GB2312" w:eastAsia="仿宋_GB2312"/>
          <w:color w:val="000000"/>
          <w:sz w:val="32"/>
          <w:szCs w:val="32"/>
          <w:lang w:val="en-US" w:eastAsia="zh-CN"/>
        </w:rPr>
        <w:t>200万元，</w:t>
      </w:r>
      <w:r>
        <w:rPr>
          <w:rFonts w:hint="eastAsia" w:ascii="仿宋_GB2312" w:eastAsia="仿宋_GB2312"/>
          <w:color w:val="000000"/>
          <w:sz w:val="32"/>
          <w:szCs w:val="32"/>
        </w:rPr>
        <w:t>完成预算</w:t>
      </w:r>
      <w:r>
        <w:rPr>
          <w:rFonts w:hint="eastAsia" w:eastAsia="仿宋_GB2312"/>
          <w:color w:val="000000"/>
          <w:sz w:val="32"/>
          <w:szCs w:val="32"/>
          <w:lang w:val="en-US" w:eastAsia="zh-CN"/>
        </w:rPr>
        <w:t>100</w:t>
      </w:r>
      <w:r>
        <w:rPr>
          <w:rFonts w:hint="eastAsia" w:ascii="仿宋_GB2312" w:eastAsia="仿宋_GB2312"/>
          <w:color w:val="000000"/>
          <w:sz w:val="32"/>
          <w:szCs w:val="32"/>
        </w:rPr>
        <w:t>%</w:t>
      </w:r>
      <w:r>
        <w:rPr>
          <w:rFonts w:hint="eastAsia" w:ascii="仿宋_GB2312" w:eastAsia="仿宋_GB2312"/>
          <w:color w:val="000000"/>
          <w:sz w:val="32"/>
          <w:szCs w:val="32"/>
          <w:lang w:eastAsia="zh-CN"/>
        </w:rPr>
        <w:t>；农林水（</w:t>
      </w:r>
      <w:r>
        <w:rPr>
          <w:rFonts w:hint="eastAsia" w:ascii="仿宋_GB2312" w:eastAsia="仿宋_GB2312"/>
          <w:color w:val="000000"/>
          <w:sz w:val="32"/>
          <w:szCs w:val="32"/>
          <w:lang w:val="en-US" w:eastAsia="zh-CN"/>
        </w:rPr>
        <w:t>类</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巩固脱贫衔接乡村振兴</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款</w:t>
      </w:r>
      <w:r>
        <w:rPr>
          <w:rFonts w:hint="eastAsia" w:ascii="仿宋_GB2312" w:eastAsia="仿宋_GB2312"/>
          <w:color w:val="000000"/>
          <w:sz w:val="32"/>
          <w:szCs w:val="32"/>
          <w:lang w:eastAsia="zh-CN"/>
        </w:rPr>
        <w:t>）农村基础设施建设（</w:t>
      </w:r>
      <w:r>
        <w:rPr>
          <w:rFonts w:hint="eastAsia" w:ascii="仿宋_GB2312" w:eastAsia="仿宋_GB2312"/>
          <w:color w:val="000000"/>
          <w:sz w:val="32"/>
          <w:szCs w:val="32"/>
          <w:lang w:val="en-US" w:eastAsia="zh-CN"/>
        </w:rPr>
        <w:t>项</w:t>
      </w:r>
      <w:r>
        <w:rPr>
          <w:rFonts w:hint="eastAsia" w:ascii="仿宋_GB2312" w:eastAsia="仿宋_GB2312"/>
          <w:color w:val="000000"/>
          <w:sz w:val="32"/>
          <w:szCs w:val="32"/>
          <w:lang w:eastAsia="zh-CN"/>
        </w:rPr>
        <w:t>）202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年决算数为</w:t>
      </w:r>
      <w:r>
        <w:rPr>
          <w:rFonts w:hint="eastAsia" w:ascii="仿宋_GB2312" w:eastAsia="仿宋_GB2312"/>
          <w:color w:val="000000"/>
          <w:sz w:val="32"/>
          <w:szCs w:val="32"/>
          <w:lang w:val="en-US" w:eastAsia="zh-CN"/>
        </w:rPr>
        <w:t>196万元，</w:t>
      </w:r>
      <w:r>
        <w:rPr>
          <w:rFonts w:hint="eastAsia" w:ascii="仿宋_GB2312" w:eastAsia="仿宋_GB2312"/>
          <w:color w:val="000000"/>
          <w:sz w:val="32"/>
          <w:szCs w:val="32"/>
        </w:rPr>
        <w:t>完成预算</w:t>
      </w:r>
      <w:r>
        <w:rPr>
          <w:rFonts w:hint="eastAsia" w:eastAsia="仿宋_GB2312"/>
          <w:color w:val="000000"/>
          <w:sz w:val="32"/>
          <w:szCs w:val="32"/>
          <w:lang w:val="en-US" w:eastAsia="zh-CN"/>
        </w:rPr>
        <w:t>100</w:t>
      </w:r>
      <w:r>
        <w:rPr>
          <w:rFonts w:hint="eastAsia" w:ascii="仿宋_GB2312" w:eastAsia="仿宋_GB2312"/>
          <w:color w:val="000000"/>
          <w:sz w:val="32"/>
          <w:szCs w:val="32"/>
        </w:rPr>
        <w:t>%</w:t>
      </w:r>
      <w:r>
        <w:rPr>
          <w:rFonts w:hint="eastAsia" w:ascii="仿宋_GB2312" w:eastAsia="仿宋_GB2312"/>
          <w:color w:val="000000"/>
          <w:sz w:val="32"/>
          <w:szCs w:val="32"/>
          <w:lang w:eastAsia="zh-CN"/>
        </w:rPr>
        <w:t>；农林水（</w:t>
      </w:r>
      <w:r>
        <w:rPr>
          <w:rFonts w:hint="eastAsia" w:ascii="仿宋_GB2312" w:eastAsia="仿宋_GB2312"/>
          <w:color w:val="000000"/>
          <w:sz w:val="32"/>
          <w:szCs w:val="32"/>
          <w:lang w:val="en-US" w:eastAsia="zh-CN"/>
        </w:rPr>
        <w:t>类</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巩固脱贫衔接乡村振兴</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款</w:t>
      </w:r>
      <w:r>
        <w:rPr>
          <w:rFonts w:hint="eastAsia" w:ascii="仿宋_GB2312" w:eastAsia="仿宋_GB2312"/>
          <w:color w:val="000000"/>
          <w:sz w:val="32"/>
          <w:szCs w:val="32"/>
          <w:lang w:eastAsia="zh-CN"/>
        </w:rPr>
        <w:t>）生产发展（</w:t>
      </w:r>
      <w:r>
        <w:rPr>
          <w:rFonts w:hint="eastAsia" w:ascii="仿宋_GB2312" w:eastAsia="仿宋_GB2312"/>
          <w:color w:val="000000"/>
          <w:sz w:val="32"/>
          <w:szCs w:val="32"/>
          <w:lang w:val="en-US" w:eastAsia="zh-CN"/>
        </w:rPr>
        <w:t>项</w:t>
      </w:r>
      <w:r>
        <w:rPr>
          <w:rFonts w:hint="eastAsia" w:ascii="仿宋_GB2312" w:eastAsia="仿宋_GB2312"/>
          <w:color w:val="000000"/>
          <w:sz w:val="32"/>
          <w:szCs w:val="32"/>
          <w:lang w:eastAsia="zh-CN"/>
        </w:rPr>
        <w:t>）202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年决算数为</w:t>
      </w:r>
      <w:r>
        <w:rPr>
          <w:rFonts w:hint="eastAsia" w:ascii="仿宋_GB2312" w:eastAsia="仿宋_GB2312"/>
          <w:color w:val="000000"/>
          <w:sz w:val="32"/>
          <w:szCs w:val="32"/>
          <w:lang w:val="en-US" w:eastAsia="zh-CN"/>
        </w:rPr>
        <w:t>150万元，</w:t>
      </w:r>
      <w:r>
        <w:rPr>
          <w:rFonts w:hint="eastAsia" w:ascii="仿宋_GB2312" w:eastAsia="仿宋_GB2312"/>
          <w:color w:val="000000"/>
          <w:sz w:val="32"/>
          <w:szCs w:val="32"/>
        </w:rPr>
        <w:t>完成预算</w:t>
      </w:r>
      <w:r>
        <w:rPr>
          <w:rFonts w:hint="eastAsia" w:eastAsia="仿宋_GB2312"/>
          <w:color w:val="000000"/>
          <w:sz w:val="32"/>
          <w:szCs w:val="32"/>
          <w:lang w:val="en-US" w:eastAsia="zh-CN"/>
        </w:rPr>
        <w:t>100</w:t>
      </w:r>
      <w:r>
        <w:rPr>
          <w:rFonts w:hint="eastAsia" w:ascii="仿宋_GB2312" w:eastAsia="仿宋_GB2312"/>
          <w:color w:val="000000"/>
          <w:sz w:val="32"/>
          <w:szCs w:val="32"/>
        </w:rPr>
        <w:t>%</w:t>
      </w:r>
      <w:r>
        <w:rPr>
          <w:rFonts w:hint="eastAsia" w:ascii="仿宋_GB2312" w:eastAsia="仿宋_GB2312"/>
          <w:color w:val="000000"/>
          <w:sz w:val="32"/>
          <w:szCs w:val="32"/>
          <w:lang w:eastAsia="zh-CN"/>
        </w:rPr>
        <w:t>；农林水</w:t>
      </w:r>
      <w:r>
        <w:rPr>
          <w:rFonts w:hint="eastAsia" w:ascii="仿宋_GB2312" w:eastAsia="仿宋_GB2312"/>
          <w:color w:val="000000"/>
          <w:sz w:val="32"/>
          <w:szCs w:val="32"/>
          <w:lang w:val="en-US" w:eastAsia="zh-CN"/>
        </w:rPr>
        <w:t>(类）巩固脱贫衔接乡村振兴</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款</w:t>
      </w:r>
      <w:r>
        <w:rPr>
          <w:rFonts w:hint="eastAsia" w:ascii="仿宋_GB2312" w:eastAsia="仿宋_GB2312"/>
          <w:color w:val="000000"/>
          <w:sz w:val="32"/>
          <w:szCs w:val="32"/>
          <w:lang w:eastAsia="zh-CN"/>
        </w:rPr>
        <w:t>）其他巩固脱贫衔接乡村振兴支出（</w:t>
      </w:r>
      <w:r>
        <w:rPr>
          <w:rFonts w:hint="eastAsia" w:ascii="仿宋_GB2312" w:eastAsia="仿宋_GB2312"/>
          <w:color w:val="000000"/>
          <w:sz w:val="32"/>
          <w:szCs w:val="32"/>
          <w:lang w:val="en-US" w:eastAsia="zh-CN"/>
        </w:rPr>
        <w:t>项</w:t>
      </w:r>
      <w:r>
        <w:rPr>
          <w:rFonts w:hint="eastAsia" w:ascii="仿宋_GB2312" w:eastAsia="仿宋_GB2312"/>
          <w:color w:val="000000"/>
          <w:sz w:val="32"/>
          <w:szCs w:val="32"/>
          <w:lang w:eastAsia="zh-CN"/>
        </w:rPr>
        <w:t>）202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年决算数为</w:t>
      </w:r>
      <w:r>
        <w:rPr>
          <w:rFonts w:hint="eastAsia" w:ascii="仿宋_GB2312" w:eastAsia="仿宋_GB2312"/>
          <w:color w:val="000000"/>
          <w:sz w:val="32"/>
          <w:szCs w:val="32"/>
          <w:lang w:val="en-US" w:eastAsia="zh-CN"/>
        </w:rPr>
        <w:t>41.19万元，</w:t>
      </w:r>
      <w:r>
        <w:rPr>
          <w:rFonts w:hint="eastAsia" w:ascii="仿宋_GB2312" w:eastAsia="仿宋_GB2312"/>
          <w:color w:val="000000"/>
          <w:sz w:val="32"/>
          <w:szCs w:val="32"/>
        </w:rPr>
        <w:t>完成预算</w:t>
      </w:r>
      <w:r>
        <w:rPr>
          <w:rFonts w:hint="eastAsia" w:eastAsia="仿宋_GB2312"/>
          <w:color w:val="000000"/>
          <w:sz w:val="32"/>
          <w:szCs w:val="32"/>
          <w:lang w:val="en-US" w:eastAsia="zh-CN"/>
        </w:rPr>
        <w:t>100</w:t>
      </w:r>
      <w:r>
        <w:rPr>
          <w:rFonts w:hint="eastAsia" w:ascii="仿宋_GB2312" w:eastAsia="仿宋_GB2312"/>
          <w:color w:val="000000"/>
          <w:sz w:val="32"/>
          <w:szCs w:val="32"/>
        </w:rPr>
        <w:t>%</w:t>
      </w:r>
      <w:r>
        <w:rPr>
          <w:rFonts w:hint="eastAsia" w:ascii="仿宋_GB2312" w:eastAsia="仿宋_GB2312"/>
          <w:color w:val="000000"/>
          <w:sz w:val="32"/>
          <w:szCs w:val="32"/>
          <w:lang w:eastAsia="zh-CN"/>
        </w:rPr>
        <w:t>；农林水（</w:t>
      </w:r>
      <w:r>
        <w:rPr>
          <w:rFonts w:hint="eastAsia" w:ascii="仿宋_GB2312" w:eastAsia="仿宋_GB2312"/>
          <w:color w:val="000000"/>
          <w:sz w:val="32"/>
          <w:szCs w:val="32"/>
          <w:lang w:val="en-US" w:eastAsia="zh-CN"/>
        </w:rPr>
        <w:t>类</w:t>
      </w:r>
      <w:r>
        <w:rPr>
          <w:rFonts w:hint="eastAsia" w:ascii="仿宋_GB2312" w:eastAsia="仿宋_GB2312"/>
          <w:color w:val="000000"/>
          <w:sz w:val="32"/>
          <w:szCs w:val="32"/>
          <w:lang w:eastAsia="zh-CN"/>
        </w:rPr>
        <w:t>）农村综合改革（</w:t>
      </w:r>
      <w:r>
        <w:rPr>
          <w:rFonts w:hint="eastAsia" w:ascii="仿宋_GB2312" w:eastAsia="仿宋_GB2312"/>
          <w:color w:val="000000"/>
          <w:sz w:val="32"/>
          <w:szCs w:val="32"/>
          <w:lang w:val="en-US" w:eastAsia="zh-CN"/>
        </w:rPr>
        <w:t>款</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村民委员会和村党支部的补助（项）894.39万元，</w:t>
      </w:r>
      <w:r>
        <w:rPr>
          <w:rFonts w:hint="eastAsia" w:ascii="仿宋_GB2312" w:eastAsia="仿宋_GB2312"/>
          <w:color w:val="000000"/>
          <w:sz w:val="32"/>
          <w:szCs w:val="32"/>
        </w:rPr>
        <w:t>完成预算</w:t>
      </w:r>
      <w:r>
        <w:rPr>
          <w:rFonts w:hint="eastAsia" w:eastAsia="仿宋_GB2312"/>
          <w:color w:val="000000"/>
          <w:sz w:val="32"/>
          <w:szCs w:val="32"/>
          <w:lang w:val="en-US" w:eastAsia="zh-CN"/>
        </w:rPr>
        <w:t>100</w:t>
      </w:r>
      <w:r>
        <w:rPr>
          <w:rFonts w:hint="eastAsia" w:ascii="仿宋_GB2312" w:eastAsia="仿宋_GB2312"/>
          <w:color w:val="000000"/>
          <w:sz w:val="32"/>
          <w:szCs w:val="32"/>
        </w:rPr>
        <w:t>%</w:t>
      </w:r>
      <w:r>
        <w:rPr>
          <w:rFonts w:hint="eastAsia" w:ascii="仿宋_GB2312" w:eastAsia="仿宋_GB2312"/>
          <w:color w:val="000000"/>
          <w:sz w:val="32"/>
          <w:szCs w:val="32"/>
          <w:lang w:eastAsia="zh-CN"/>
        </w:rPr>
        <w:t>；农林水（</w:t>
      </w:r>
      <w:r>
        <w:rPr>
          <w:rFonts w:hint="eastAsia" w:ascii="仿宋_GB2312" w:eastAsia="仿宋_GB2312"/>
          <w:color w:val="000000"/>
          <w:sz w:val="32"/>
          <w:szCs w:val="32"/>
          <w:lang w:val="en-US" w:eastAsia="zh-CN"/>
        </w:rPr>
        <w:t>类</w:t>
      </w:r>
      <w:r>
        <w:rPr>
          <w:rFonts w:hint="eastAsia" w:ascii="仿宋_GB2312" w:eastAsia="仿宋_GB2312"/>
          <w:color w:val="000000"/>
          <w:sz w:val="32"/>
          <w:szCs w:val="32"/>
          <w:lang w:eastAsia="zh-CN"/>
        </w:rPr>
        <w:t>）农村综合改革（</w:t>
      </w:r>
      <w:r>
        <w:rPr>
          <w:rFonts w:hint="eastAsia" w:ascii="仿宋_GB2312" w:eastAsia="仿宋_GB2312"/>
          <w:color w:val="000000"/>
          <w:sz w:val="32"/>
          <w:szCs w:val="32"/>
          <w:lang w:val="en-US" w:eastAsia="zh-CN"/>
        </w:rPr>
        <w:t>款</w:t>
      </w:r>
      <w:r>
        <w:rPr>
          <w:rFonts w:hint="eastAsia" w:ascii="仿宋_GB2312" w:eastAsia="仿宋_GB2312"/>
          <w:color w:val="000000"/>
          <w:sz w:val="32"/>
          <w:szCs w:val="32"/>
          <w:lang w:eastAsia="zh-CN"/>
        </w:rPr>
        <w:t>）其他农村综合改革支出（</w:t>
      </w:r>
      <w:r>
        <w:rPr>
          <w:rFonts w:hint="eastAsia" w:ascii="仿宋_GB2312" w:eastAsia="仿宋_GB2312"/>
          <w:color w:val="000000"/>
          <w:sz w:val="32"/>
          <w:szCs w:val="32"/>
          <w:lang w:val="en-US" w:eastAsia="zh-CN"/>
        </w:rPr>
        <w:t>项</w:t>
      </w:r>
      <w:r>
        <w:rPr>
          <w:rFonts w:hint="eastAsia" w:ascii="仿宋_GB2312" w:eastAsia="仿宋_GB2312"/>
          <w:color w:val="000000"/>
          <w:sz w:val="32"/>
          <w:szCs w:val="32"/>
          <w:lang w:eastAsia="zh-CN"/>
        </w:rPr>
        <w:t>）202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年决算数为</w:t>
      </w:r>
      <w:r>
        <w:rPr>
          <w:rFonts w:hint="eastAsia" w:ascii="仿宋_GB2312" w:eastAsia="仿宋_GB2312"/>
          <w:color w:val="000000"/>
          <w:sz w:val="32"/>
          <w:szCs w:val="32"/>
          <w:lang w:val="en-US" w:eastAsia="zh-CN"/>
        </w:rPr>
        <w:t>60万元，</w:t>
      </w:r>
      <w:r>
        <w:rPr>
          <w:rFonts w:hint="eastAsia" w:ascii="仿宋_GB2312" w:eastAsia="仿宋_GB2312"/>
          <w:color w:val="000000"/>
          <w:sz w:val="32"/>
          <w:szCs w:val="32"/>
        </w:rPr>
        <w:t>完成预算</w:t>
      </w:r>
      <w:r>
        <w:rPr>
          <w:rFonts w:hint="eastAsia" w:eastAsia="仿宋_GB2312"/>
          <w:color w:val="000000"/>
          <w:sz w:val="32"/>
          <w:szCs w:val="32"/>
          <w:lang w:val="en-US" w:eastAsia="zh-CN"/>
        </w:rPr>
        <w:t>100</w:t>
      </w:r>
      <w:r>
        <w:rPr>
          <w:rFonts w:hint="eastAsia" w:ascii="仿宋_GB2312" w:eastAsia="仿宋_GB2312"/>
          <w:color w:val="000000"/>
          <w:sz w:val="32"/>
          <w:szCs w:val="32"/>
        </w:rPr>
        <w:t>%</w:t>
      </w:r>
      <w:r>
        <w:rPr>
          <w:rFonts w:hint="eastAsia" w:ascii="仿宋_GB2312" w:eastAsia="仿宋_GB2312"/>
          <w:color w:val="000000"/>
          <w:sz w:val="32"/>
          <w:szCs w:val="32"/>
          <w:lang w:eastAsia="zh-CN"/>
        </w:rPr>
        <w:t>。</w:t>
      </w:r>
    </w:p>
    <w:p>
      <w:pPr>
        <w:pStyle w:val="2"/>
        <w:ind w:firstLine="643" w:firstLineChars="200"/>
        <w:rPr>
          <w:rFonts w:hint="default"/>
          <w:lang w:val="en-US" w:eastAsia="zh-CN"/>
        </w:rPr>
      </w:pPr>
      <w:r>
        <w:rPr>
          <w:rFonts w:hint="eastAsia"/>
          <w:b/>
          <w:bCs/>
          <w:color w:val="000000"/>
          <w:sz w:val="32"/>
          <w:szCs w:val="32"/>
          <w:lang w:val="en-US" w:eastAsia="zh-CN"/>
        </w:rPr>
        <w:t>9.交通运输支出：交通运输（类）</w:t>
      </w:r>
      <w:r>
        <w:rPr>
          <w:rFonts w:hint="eastAsia"/>
          <w:color w:val="000000"/>
          <w:sz w:val="32"/>
          <w:szCs w:val="32"/>
          <w:lang w:val="en-US" w:eastAsia="zh-CN"/>
        </w:rPr>
        <w:t>公路水路运输（款）公路建设（项）2022年决算数为4万元，</w:t>
      </w:r>
      <w:r>
        <w:rPr>
          <w:rFonts w:hint="eastAsia" w:ascii="仿宋_GB2312" w:eastAsia="仿宋_GB2312"/>
          <w:color w:val="000000"/>
          <w:sz w:val="32"/>
          <w:szCs w:val="32"/>
        </w:rPr>
        <w:t>完成预算</w:t>
      </w:r>
      <w:r>
        <w:rPr>
          <w:rFonts w:hint="eastAsia" w:eastAsia="仿宋_GB2312"/>
          <w:color w:val="000000"/>
          <w:sz w:val="32"/>
          <w:szCs w:val="32"/>
          <w:lang w:val="en-US" w:eastAsia="zh-CN"/>
        </w:rPr>
        <w:t>100</w:t>
      </w:r>
      <w:r>
        <w:rPr>
          <w:rFonts w:hint="eastAsia" w:ascii="仿宋_GB2312" w:eastAsia="仿宋_GB2312"/>
          <w:color w:val="000000"/>
          <w:sz w:val="32"/>
          <w:szCs w:val="32"/>
        </w:rPr>
        <w:t>%</w:t>
      </w:r>
      <w:r>
        <w:rPr>
          <w:rFonts w:hint="eastAsia" w:ascii="仿宋_GB2312" w:eastAsia="仿宋_GB2312"/>
          <w:color w:val="000000"/>
          <w:sz w:val="32"/>
          <w:szCs w:val="32"/>
          <w:lang w:eastAsia="zh-CN"/>
        </w:rPr>
        <w:t>。</w:t>
      </w:r>
    </w:p>
    <w:p>
      <w:pPr>
        <w:keepNext w:val="0"/>
        <w:keepLines w:val="0"/>
        <w:pageBreakBefore w:val="0"/>
        <w:widowControl w:val="0"/>
        <w:kinsoku/>
        <w:wordWrap/>
        <w:overflowPunct/>
        <w:topLinePunct w:val="0"/>
        <w:bidi w:val="0"/>
        <w:spacing w:line="576" w:lineRule="exact"/>
        <w:ind w:left="0" w:leftChars="0" w:right="0" w:rightChars="0" w:firstLine="643" w:firstLineChars="200"/>
        <w:textAlignment w:val="auto"/>
        <w:rPr>
          <w:rFonts w:hint="eastAsia" w:ascii="仿宋_GB2312" w:eastAsia="仿宋_GB2312"/>
          <w:color w:val="000000"/>
          <w:sz w:val="32"/>
          <w:szCs w:val="32"/>
          <w:lang w:val="en-US" w:eastAsia="zh-CN"/>
        </w:rPr>
      </w:pPr>
      <w:r>
        <w:rPr>
          <w:rStyle w:val="20"/>
          <w:rFonts w:hint="eastAsia" w:ascii="仿宋_GB2312" w:eastAsia="仿宋_GB2312"/>
          <w:b/>
          <w:bCs/>
          <w:color w:val="000000"/>
          <w:sz w:val="32"/>
          <w:szCs w:val="32"/>
          <w:lang w:val="en-US" w:eastAsia="zh-CN"/>
        </w:rPr>
        <w:t>10.住房保障支出：</w:t>
      </w:r>
      <w:r>
        <w:rPr>
          <w:rFonts w:hint="default" w:ascii="仿宋_GB2312" w:hAnsi="仿宋_GB2312" w:cs="仿宋_GB2312"/>
          <w:b w:val="0"/>
          <w:bCs/>
          <w:sz w:val="32"/>
          <w:szCs w:val="32"/>
          <w:lang w:val="en-US" w:eastAsia="zh-CN"/>
        </w:rPr>
        <w:t>住房保障（类）住房改革支出（款）住房公积金（项）</w:t>
      </w:r>
      <w:r>
        <w:rPr>
          <w:rFonts w:hint="eastAsia" w:ascii="仿宋_GB2312" w:eastAsia="仿宋_GB2312"/>
          <w:color w:val="000000"/>
          <w:sz w:val="32"/>
          <w:szCs w:val="32"/>
          <w:lang w:eastAsia="zh-CN"/>
        </w:rPr>
        <w:t>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年决算数为</w:t>
      </w:r>
      <w:r>
        <w:rPr>
          <w:rFonts w:hint="eastAsia" w:ascii="仿宋_GB2312" w:eastAsia="仿宋_GB2312"/>
          <w:color w:val="000000"/>
          <w:sz w:val="32"/>
          <w:szCs w:val="32"/>
          <w:lang w:val="en-US" w:eastAsia="zh-CN"/>
        </w:rPr>
        <w:t>191.05万元，</w:t>
      </w:r>
      <w:r>
        <w:rPr>
          <w:rFonts w:hint="eastAsia" w:ascii="仿宋_GB2312" w:eastAsia="仿宋_GB2312"/>
          <w:color w:val="000000"/>
          <w:sz w:val="32"/>
          <w:szCs w:val="32"/>
        </w:rPr>
        <w:t>完成预算</w:t>
      </w:r>
      <w:r>
        <w:rPr>
          <w:rFonts w:hint="eastAsia" w:eastAsia="仿宋_GB2312"/>
          <w:color w:val="000000"/>
          <w:sz w:val="32"/>
          <w:szCs w:val="32"/>
          <w:lang w:val="en-US" w:eastAsia="zh-CN"/>
        </w:rPr>
        <w:t>100</w:t>
      </w:r>
      <w:r>
        <w:rPr>
          <w:rFonts w:hint="eastAsia" w:ascii="仿宋_GB2312" w:eastAsia="仿宋_GB2312"/>
          <w:color w:val="000000"/>
          <w:sz w:val="32"/>
          <w:szCs w:val="32"/>
        </w:rPr>
        <w:t>%</w:t>
      </w:r>
      <w:r>
        <w:rPr>
          <w:rFonts w:hint="eastAsia" w:ascii="仿宋_GB2312" w:eastAsia="仿宋_GB2312"/>
          <w:color w:val="000000"/>
          <w:sz w:val="32"/>
          <w:szCs w:val="32"/>
          <w:lang w:eastAsia="zh-CN"/>
        </w:rPr>
        <w:t>。</w:t>
      </w:r>
    </w:p>
    <w:p>
      <w:pPr>
        <w:keepNext w:val="0"/>
        <w:keepLines w:val="0"/>
        <w:pageBreakBefore w:val="0"/>
        <w:widowControl w:val="0"/>
        <w:kinsoku/>
        <w:wordWrap/>
        <w:overflowPunct/>
        <w:topLinePunct w:val="0"/>
        <w:bidi w:val="0"/>
        <w:spacing w:line="576" w:lineRule="exact"/>
        <w:ind w:left="0" w:leftChars="0" w:right="0" w:rightChars="0" w:firstLine="643" w:firstLineChars="200"/>
        <w:textAlignment w:val="auto"/>
        <w:rPr>
          <w:rFonts w:hint="eastAsia" w:eastAsia="仿宋_GB2312"/>
          <w:lang w:val="en-US" w:eastAsia="zh-CN"/>
        </w:rPr>
      </w:pPr>
      <w:r>
        <w:rPr>
          <w:rStyle w:val="20"/>
          <w:rFonts w:hint="eastAsia" w:ascii="仿宋_GB2312" w:hAnsi="Times New Roman" w:eastAsia="仿宋_GB2312" w:cs="Times New Roman"/>
          <w:b/>
          <w:bCs/>
          <w:color w:val="000000"/>
          <w:sz w:val="32"/>
          <w:szCs w:val="32"/>
          <w:lang w:val="en-US" w:eastAsia="zh-CN"/>
        </w:rPr>
        <w:t>11.灾害防治及应急管理支出</w:t>
      </w:r>
      <w:r>
        <w:rPr>
          <w:rFonts w:hint="eastAsia" w:ascii="仿宋_GB2312" w:eastAsia="仿宋_GB2312"/>
          <w:color w:val="000000"/>
          <w:sz w:val="32"/>
          <w:szCs w:val="32"/>
          <w:lang w:val="en-US" w:eastAsia="zh-CN"/>
        </w:rPr>
        <w:t>：</w:t>
      </w:r>
      <w:r>
        <w:rPr>
          <w:rFonts w:hint="eastAsia" w:ascii="仿宋_GB2312" w:eastAsia="仿宋_GB2312"/>
          <w:color w:val="000000"/>
          <w:sz w:val="32"/>
          <w:szCs w:val="32"/>
          <w:lang w:eastAsia="zh-CN"/>
        </w:rPr>
        <w:t>灾害防治及应急管理（</w:t>
      </w:r>
      <w:r>
        <w:rPr>
          <w:rFonts w:hint="eastAsia" w:ascii="仿宋_GB2312" w:eastAsia="仿宋_GB2312"/>
          <w:color w:val="000000"/>
          <w:sz w:val="32"/>
          <w:szCs w:val="32"/>
          <w:lang w:val="en-US" w:eastAsia="zh-CN"/>
        </w:rPr>
        <w:t>类</w:t>
      </w:r>
      <w:r>
        <w:rPr>
          <w:rFonts w:hint="eastAsia" w:ascii="仿宋_GB2312" w:eastAsia="仿宋_GB2312"/>
          <w:color w:val="000000"/>
          <w:sz w:val="32"/>
          <w:szCs w:val="32"/>
          <w:lang w:eastAsia="zh-CN"/>
        </w:rPr>
        <w:t>）自然灾害救灾及恢复重建支出（</w:t>
      </w:r>
      <w:r>
        <w:rPr>
          <w:rFonts w:hint="eastAsia" w:ascii="仿宋_GB2312" w:eastAsia="仿宋_GB2312"/>
          <w:color w:val="000000"/>
          <w:sz w:val="32"/>
          <w:szCs w:val="32"/>
          <w:lang w:val="en-US" w:eastAsia="zh-CN"/>
        </w:rPr>
        <w:t>款</w:t>
      </w:r>
      <w:r>
        <w:rPr>
          <w:rFonts w:hint="eastAsia" w:ascii="仿宋_GB2312" w:eastAsia="仿宋_GB2312"/>
          <w:color w:val="000000"/>
          <w:sz w:val="32"/>
          <w:szCs w:val="32"/>
          <w:lang w:eastAsia="zh-CN"/>
        </w:rPr>
        <w:t>）自然灾害后重建补助（</w:t>
      </w:r>
      <w:r>
        <w:rPr>
          <w:rFonts w:hint="eastAsia" w:ascii="仿宋_GB2312" w:eastAsia="仿宋_GB2312"/>
          <w:color w:val="000000"/>
          <w:sz w:val="32"/>
          <w:szCs w:val="32"/>
          <w:lang w:val="en-US" w:eastAsia="zh-CN"/>
        </w:rPr>
        <w:t>项</w:t>
      </w:r>
      <w:r>
        <w:rPr>
          <w:rFonts w:hint="eastAsia" w:ascii="仿宋_GB2312" w:eastAsia="仿宋_GB2312"/>
          <w:color w:val="000000"/>
          <w:sz w:val="32"/>
          <w:szCs w:val="32"/>
          <w:lang w:eastAsia="zh-CN"/>
        </w:rPr>
        <w:t>）202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年决算数为</w:t>
      </w:r>
      <w:r>
        <w:rPr>
          <w:rFonts w:hint="eastAsia" w:ascii="仿宋_GB2312" w:eastAsia="仿宋_GB2312"/>
          <w:color w:val="000000"/>
          <w:sz w:val="32"/>
          <w:szCs w:val="32"/>
          <w:lang w:val="en-US" w:eastAsia="zh-CN"/>
        </w:rPr>
        <w:t>40万元，</w:t>
      </w:r>
      <w:r>
        <w:rPr>
          <w:rFonts w:hint="eastAsia" w:ascii="仿宋_GB2312" w:eastAsia="仿宋_GB2312"/>
          <w:color w:val="000000"/>
          <w:sz w:val="32"/>
          <w:szCs w:val="32"/>
        </w:rPr>
        <w:t>完成预算</w:t>
      </w:r>
      <w:r>
        <w:rPr>
          <w:rFonts w:hint="eastAsia" w:eastAsia="仿宋_GB2312"/>
          <w:color w:val="000000"/>
          <w:sz w:val="32"/>
          <w:szCs w:val="32"/>
          <w:lang w:val="en-US" w:eastAsia="zh-CN"/>
        </w:rPr>
        <w:t>100</w:t>
      </w:r>
      <w:r>
        <w:rPr>
          <w:rFonts w:hint="eastAsia" w:ascii="仿宋_GB2312" w:eastAsia="仿宋_GB2312"/>
          <w:color w:val="000000"/>
          <w:sz w:val="32"/>
          <w:szCs w:val="32"/>
        </w:rPr>
        <w:t>%</w:t>
      </w:r>
      <w:r>
        <w:rPr>
          <w:rFonts w:hint="eastAsia" w:ascii="仿宋_GB2312" w:eastAsia="仿宋_GB2312"/>
          <w:color w:val="000000"/>
          <w:sz w:val="32"/>
          <w:szCs w:val="32"/>
          <w:lang w:eastAsia="zh-CN"/>
        </w:rPr>
        <w:t>。</w:t>
      </w:r>
    </w:p>
    <w:p>
      <w:pPr>
        <w:spacing w:line="600" w:lineRule="exact"/>
        <w:ind w:firstLine="643" w:firstLineChars="200"/>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w:t>
      </w:r>
      <w:r>
        <w:rPr>
          <w:rFonts w:hint="eastAsia" w:ascii="仿宋" w:hAnsi="仿宋" w:eastAsia="仿宋"/>
          <w:b/>
          <w:sz w:val="32"/>
          <w:szCs w:val="32"/>
        </w:rPr>
        <w:t>1-1表和财决08表，仅罗列本部门涉及的全部功能分类科目，至项级。上述“预算”口径为全年预算数。增减变动原因为决算数</w:t>
      </w:r>
      <w:r>
        <w:rPr>
          <w:rFonts w:hint="eastAsia" w:ascii="仿宋" w:hAnsi="仿宋" w:eastAsia="仿宋"/>
          <w:b/>
          <w:sz w:val="32"/>
          <w:szCs w:val="32"/>
          <w:lang w:eastAsia="zh-CN"/>
        </w:rPr>
        <w:t>〈</w:t>
      </w:r>
      <w:r>
        <w:rPr>
          <w:rFonts w:hint="eastAsia" w:ascii="仿宋" w:hAnsi="仿宋" w:eastAsia="仿宋"/>
          <w:b/>
          <w:sz w:val="32"/>
          <w:szCs w:val="32"/>
        </w:rPr>
        <w:t>项级</w:t>
      </w:r>
      <w:r>
        <w:rPr>
          <w:rFonts w:hint="eastAsia" w:ascii="仿宋" w:hAnsi="仿宋" w:eastAsia="仿宋"/>
          <w:b/>
          <w:sz w:val="32"/>
          <w:szCs w:val="32"/>
          <w:lang w:eastAsia="zh-CN"/>
        </w:rPr>
        <w:t>〉</w:t>
      </w:r>
      <w:r>
        <w:rPr>
          <w:rFonts w:hint="eastAsia" w:ascii="仿宋" w:hAnsi="仿宋" w:eastAsia="仿宋"/>
          <w:b/>
          <w:sz w:val="32"/>
          <w:szCs w:val="32"/>
        </w:rPr>
        <w:t>和全年预算数</w:t>
      </w:r>
      <w:r>
        <w:rPr>
          <w:rFonts w:hint="eastAsia" w:ascii="仿宋" w:hAnsi="仿宋" w:eastAsia="仿宋"/>
          <w:b/>
          <w:sz w:val="32"/>
          <w:szCs w:val="32"/>
          <w:lang w:eastAsia="zh-CN"/>
        </w:rPr>
        <w:t>〈</w:t>
      </w:r>
      <w:r>
        <w:rPr>
          <w:rFonts w:hint="eastAsia" w:ascii="仿宋" w:hAnsi="仿宋" w:eastAsia="仿宋"/>
          <w:b/>
          <w:sz w:val="32"/>
          <w:szCs w:val="32"/>
        </w:rPr>
        <w:t>项级</w:t>
      </w:r>
      <w:r>
        <w:rPr>
          <w:rFonts w:hint="eastAsia" w:ascii="仿宋" w:hAnsi="仿宋" w:eastAsia="仿宋"/>
          <w:b/>
          <w:sz w:val="32"/>
          <w:szCs w:val="32"/>
          <w:lang w:eastAsia="zh-CN"/>
        </w:rPr>
        <w:t>〉</w:t>
      </w:r>
      <w:r>
        <w:rPr>
          <w:rFonts w:hint="eastAsia" w:ascii="仿宋" w:hAnsi="仿宋" w:eastAsia="仿宋"/>
          <w:b/>
          <w:sz w:val="32"/>
          <w:szCs w:val="32"/>
        </w:rPr>
        <w:t>比较，与预算数持平可以不写原因。）</w:t>
      </w:r>
    </w:p>
    <w:p>
      <w:pPr>
        <w:spacing w:line="600" w:lineRule="exact"/>
        <w:ind w:firstLine="640"/>
        <w:rPr>
          <w:rFonts w:ascii="仿宋" w:hAnsi="仿宋" w:eastAsia="仿宋"/>
          <w:b/>
          <w:sz w:val="32"/>
          <w:szCs w:val="32"/>
        </w:rPr>
      </w:pPr>
    </w:p>
    <w:p>
      <w:pPr>
        <w:tabs>
          <w:tab w:val="right" w:pos="8306"/>
        </w:tabs>
        <w:spacing w:line="600" w:lineRule="exact"/>
        <w:ind w:firstLine="640"/>
        <w:outlineLvl w:val="1"/>
        <w:rPr>
          <w:rStyle w:val="32"/>
        </w:rPr>
      </w:pPr>
      <w:bookmarkStart w:id="31" w:name="_Toc15377214"/>
      <w:bookmarkStart w:id="32" w:name="_Toc15396608"/>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32"/>
          <w:rFonts w:hint="eastAsia" w:ascii="黑体" w:hAnsi="黑体" w:eastAsia="黑体"/>
          <w:b w:val="0"/>
        </w:rPr>
        <w:t>般公共预算财政拨款基本支出决算情况说明</w:t>
      </w:r>
      <w:bookmarkEnd w:id="31"/>
      <w:bookmarkEnd w:id="32"/>
      <w:r>
        <w:rPr>
          <w:rStyle w:val="32"/>
          <w:rFonts w:ascii="黑体" w:hAnsi="黑体" w:eastAsia="黑体"/>
          <w:b w:val="0"/>
        </w:rPr>
        <w:tab/>
      </w:r>
    </w:p>
    <w:p>
      <w:pPr>
        <w:keepNext w:val="0"/>
        <w:keepLines w:val="0"/>
        <w:pageBreakBefore w:val="0"/>
        <w:widowControl w:val="0"/>
        <w:kinsoku/>
        <w:wordWrap/>
        <w:overflowPunct/>
        <w:topLinePunct w:val="0"/>
        <w:bidi w:val="0"/>
        <w:spacing w:line="576" w:lineRule="exact"/>
        <w:ind w:left="0" w:leftChars="0" w:right="0" w:rightChars="0" w:firstLine="645"/>
        <w:textAlignment w:val="auto"/>
        <w:rPr>
          <w:rFonts w:hint="eastAsia" w:ascii="仿宋_GB2312" w:eastAsia="仿宋_GB2312"/>
          <w:color w:val="000000"/>
          <w:sz w:val="32"/>
          <w:szCs w:val="32"/>
        </w:rPr>
      </w:pPr>
      <w:r>
        <w:rPr>
          <w:rFonts w:hint="eastAsia" w:ascii="仿宋_GB2312" w:eastAsia="仿宋_GB2312"/>
          <w:color w:val="000000"/>
          <w:sz w:val="32"/>
          <w:szCs w:val="32"/>
          <w:lang w:eastAsia="zh-CN"/>
        </w:rPr>
        <w:t>普安镇人民政府202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年一般公共预算财政拨款基本支出</w:t>
      </w:r>
      <w:r>
        <w:rPr>
          <w:rFonts w:hint="eastAsia" w:eastAsia="仿宋_GB2312"/>
          <w:color w:val="000000"/>
          <w:sz w:val="32"/>
          <w:szCs w:val="32"/>
          <w:lang w:val="en-US" w:eastAsia="zh-CN"/>
        </w:rPr>
        <w:t>3294.54</w:t>
      </w:r>
      <w:r>
        <w:rPr>
          <w:rFonts w:hint="eastAsia" w:ascii="仿宋_GB2312" w:eastAsia="仿宋_GB2312"/>
          <w:color w:val="000000"/>
          <w:sz w:val="32"/>
          <w:szCs w:val="32"/>
        </w:rPr>
        <w:t>万元，其中：</w:t>
      </w:r>
    </w:p>
    <w:p>
      <w:pPr>
        <w:keepNext w:val="0"/>
        <w:keepLines w:val="0"/>
        <w:pageBreakBefore w:val="0"/>
        <w:widowControl w:val="0"/>
        <w:kinsoku/>
        <w:wordWrap/>
        <w:overflowPunct/>
        <w:topLinePunct w:val="0"/>
        <w:bidi w:val="0"/>
        <w:spacing w:line="240" w:lineRule="auto"/>
        <w:ind w:right="0" w:rightChars="0" w:firstLine="640" w:firstLineChars="200"/>
        <w:jc w:val="both"/>
        <w:textAlignment w:val="auto"/>
        <w:rPr>
          <w:rFonts w:hint="eastAsia" w:ascii="仿宋_GB2312" w:eastAsia="仿宋_GB2312"/>
          <w:color w:val="000000"/>
          <w:sz w:val="32"/>
          <w:szCs w:val="32"/>
          <w:lang w:val="en-US" w:eastAsia="zh-CN"/>
        </w:rPr>
      </w:pPr>
      <w:r>
        <w:rPr>
          <w:rFonts w:hint="eastAsia" w:ascii="仿宋_GB2312" w:eastAsia="仿宋_GB2312"/>
          <w:color w:val="000000"/>
          <w:sz w:val="32"/>
          <w:szCs w:val="32"/>
        </w:rPr>
        <w:t>人员经费</w:t>
      </w:r>
      <w:r>
        <w:rPr>
          <w:rFonts w:hint="eastAsia" w:ascii="仿宋_GB2312" w:eastAsia="仿宋_GB2312"/>
          <w:color w:val="000000"/>
          <w:sz w:val="32"/>
          <w:szCs w:val="32"/>
          <w:lang w:val="en-US" w:eastAsia="zh-CN"/>
        </w:rPr>
        <w:t>3104.55</w:t>
      </w:r>
      <w:r>
        <w:rPr>
          <w:rFonts w:hint="eastAsia" w:ascii="仿宋_GB2312" w:eastAsia="仿宋_GB2312"/>
          <w:color w:val="000000"/>
          <w:sz w:val="32"/>
          <w:szCs w:val="32"/>
        </w:rPr>
        <w:t>万元，主要包括：基本工资</w:t>
      </w:r>
      <w:r>
        <w:rPr>
          <w:rFonts w:hint="eastAsia" w:eastAsia="仿宋_GB2312"/>
          <w:color w:val="000000"/>
          <w:sz w:val="32"/>
          <w:szCs w:val="32"/>
          <w:lang w:val="en-US" w:eastAsia="zh-CN"/>
        </w:rPr>
        <w:t>998.69</w:t>
      </w:r>
      <w:r>
        <w:rPr>
          <w:rFonts w:hint="eastAsia" w:ascii="仿宋_GB2312" w:eastAsia="仿宋_GB2312"/>
          <w:color w:val="000000"/>
          <w:sz w:val="32"/>
          <w:szCs w:val="32"/>
          <w:lang w:eastAsia="zh-CN"/>
        </w:rPr>
        <w:t>万元</w:t>
      </w:r>
      <w:r>
        <w:rPr>
          <w:rFonts w:hint="eastAsia" w:ascii="仿宋_GB2312" w:eastAsia="仿宋_GB2312"/>
          <w:color w:val="000000"/>
          <w:sz w:val="32"/>
          <w:szCs w:val="32"/>
        </w:rPr>
        <w:t>、津贴补贴</w:t>
      </w:r>
      <w:r>
        <w:rPr>
          <w:rFonts w:hint="eastAsia" w:eastAsia="仿宋_GB2312"/>
          <w:color w:val="000000"/>
          <w:sz w:val="32"/>
          <w:szCs w:val="32"/>
          <w:lang w:val="en-US" w:eastAsia="zh-CN"/>
        </w:rPr>
        <w:t>261.55</w:t>
      </w:r>
      <w:r>
        <w:rPr>
          <w:rFonts w:hint="eastAsia" w:ascii="仿宋_GB2312" w:eastAsia="仿宋_GB2312"/>
          <w:color w:val="000000"/>
          <w:sz w:val="32"/>
          <w:szCs w:val="32"/>
          <w:lang w:eastAsia="zh-CN"/>
        </w:rPr>
        <w:t>万元</w:t>
      </w:r>
      <w:r>
        <w:rPr>
          <w:rFonts w:hint="eastAsia" w:ascii="仿宋_GB2312" w:eastAsia="仿宋_GB2312"/>
          <w:color w:val="000000"/>
          <w:sz w:val="32"/>
          <w:szCs w:val="32"/>
        </w:rPr>
        <w:t>、奖金</w:t>
      </w:r>
      <w:r>
        <w:rPr>
          <w:rFonts w:hint="eastAsia" w:eastAsia="仿宋_GB2312"/>
          <w:color w:val="000000"/>
          <w:sz w:val="32"/>
          <w:szCs w:val="32"/>
          <w:lang w:val="en-US" w:eastAsia="zh-CN"/>
        </w:rPr>
        <w:t>821.15</w:t>
      </w:r>
      <w:r>
        <w:rPr>
          <w:rFonts w:hint="eastAsia" w:ascii="仿宋_GB2312" w:eastAsia="仿宋_GB2312"/>
          <w:color w:val="000000"/>
          <w:sz w:val="32"/>
          <w:szCs w:val="32"/>
          <w:lang w:eastAsia="zh-CN"/>
        </w:rPr>
        <w:t>万元</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绩效工资395.09万元，</w:t>
      </w:r>
      <w:r>
        <w:rPr>
          <w:rFonts w:hint="eastAsia" w:ascii="仿宋_GB2312" w:eastAsia="仿宋_GB2312"/>
          <w:color w:val="000000"/>
          <w:sz w:val="32"/>
          <w:szCs w:val="32"/>
        </w:rPr>
        <w:t>机关事业单位基本养老保险缴费</w:t>
      </w:r>
      <w:r>
        <w:rPr>
          <w:rFonts w:hint="eastAsia" w:eastAsia="仿宋_GB2312"/>
          <w:color w:val="000000"/>
          <w:sz w:val="32"/>
          <w:szCs w:val="32"/>
          <w:lang w:val="en-US" w:eastAsia="zh-CN"/>
        </w:rPr>
        <w:t>254.73</w:t>
      </w:r>
      <w:r>
        <w:rPr>
          <w:rFonts w:hint="eastAsia" w:ascii="仿宋_GB2312" w:eastAsia="仿宋_GB2312"/>
          <w:color w:val="000000"/>
          <w:sz w:val="32"/>
          <w:szCs w:val="32"/>
          <w:lang w:eastAsia="zh-CN"/>
        </w:rPr>
        <w:t>万元，</w:t>
      </w:r>
      <w:r>
        <w:rPr>
          <w:rFonts w:hint="eastAsia" w:ascii="仿宋_GB2312" w:eastAsia="仿宋_GB2312"/>
          <w:color w:val="000000"/>
          <w:sz w:val="32"/>
          <w:szCs w:val="32"/>
          <w:lang w:val="en-US" w:eastAsia="zh-CN"/>
        </w:rPr>
        <w:t>职工基本医疗保险缴费127.36万元，其他社会保障缴费13.98万元，</w:t>
      </w:r>
      <w:r>
        <w:rPr>
          <w:rFonts w:hint="eastAsia" w:ascii="仿宋_GB2312" w:eastAsia="仿宋_GB2312"/>
          <w:color w:val="000000"/>
          <w:sz w:val="32"/>
          <w:szCs w:val="32"/>
        </w:rPr>
        <w:t>住房公积金</w:t>
      </w:r>
      <w:r>
        <w:rPr>
          <w:rFonts w:hint="eastAsia" w:eastAsia="仿宋_GB2312"/>
          <w:color w:val="000000"/>
          <w:sz w:val="32"/>
          <w:szCs w:val="32"/>
          <w:lang w:val="en-US" w:eastAsia="zh-CN"/>
        </w:rPr>
        <w:t>191.04</w:t>
      </w:r>
      <w:r>
        <w:rPr>
          <w:rFonts w:hint="eastAsia" w:ascii="仿宋_GB2312" w:eastAsia="仿宋_GB2312"/>
          <w:color w:val="000000"/>
          <w:sz w:val="32"/>
          <w:szCs w:val="32"/>
          <w:lang w:eastAsia="zh-CN"/>
        </w:rPr>
        <w:t>万元，</w:t>
      </w:r>
      <w:r>
        <w:rPr>
          <w:rFonts w:hint="eastAsia" w:ascii="仿宋_GB2312" w:eastAsia="仿宋_GB2312"/>
          <w:color w:val="000000"/>
          <w:sz w:val="32"/>
          <w:szCs w:val="32"/>
        </w:rPr>
        <w:t>其他工资福利支出</w:t>
      </w:r>
      <w:r>
        <w:rPr>
          <w:rFonts w:hint="eastAsia" w:ascii="仿宋_GB2312" w:eastAsia="仿宋_GB2312"/>
          <w:color w:val="000000"/>
          <w:sz w:val="32"/>
          <w:szCs w:val="32"/>
          <w:lang w:val="en-US" w:eastAsia="zh-CN"/>
        </w:rPr>
        <w:t>4.72万元。</w:t>
      </w:r>
    </w:p>
    <w:p>
      <w:pPr>
        <w:keepNext w:val="0"/>
        <w:keepLines w:val="0"/>
        <w:pageBreakBefore w:val="0"/>
        <w:widowControl w:val="0"/>
        <w:kinsoku/>
        <w:wordWrap/>
        <w:overflowPunct/>
        <w:topLinePunct w:val="0"/>
        <w:bidi w:val="0"/>
        <w:spacing w:line="240" w:lineRule="auto"/>
        <w:ind w:right="0" w:rightChars="0" w:firstLine="643" w:firstLineChars="200"/>
        <w:jc w:val="both"/>
        <w:textAlignment w:val="auto"/>
        <w:rPr>
          <w:rFonts w:hint="eastAsia" w:ascii="仿宋_GB2312" w:eastAsia="仿宋_GB2312"/>
          <w:color w:val="000000"/>
          <w:sz w:val="32"/>
          <w:szCs w:val="32"/>
          <w:lang w:val="en-US" w:eastAsia="zh-CN"/>
        </w:rPr>
      </w:pPr>
      <w:r>
        <w:rPr>
          <w:rFonts w:hint="eastAsia" w:ascii="仿宋_GB2312" w:eastAsia="仿宋_GB2312"/>
          <w:b/>
          <w:bCs/>
          <w:color w:val="000000"/>
          <w:sz w:val="32"/>
          <w:szCs w:val="32"/>
        </w:rPr>
        <w:t>公用经费</w:t>
      </w:r>
      <w:r>
        <w:rPr>
          <w:rFonts w:hint="eastAsia" w:ascii="仿宋_GB2312" w:eastAsia="仿宋_GB2312"/>
          <w:color w:val="000000"/>
          <w:sz w:val="32"/>
          <w:szCs w:val="32"/>
          <w:lang w:val="en-US" w:eastAsia="zh-CN"/>
        </w:rPr>
        <w:t>189.99</w:t>
      </w:r>
      <w:r>
        <w:rPr>
          <w:rFonts w:hint="eastAsia" w:ascii="仿宋_GB2312" w:eastAsia="仿宋_GB2312"/>
          <w:color w:val="000000"/>
          <w:sz w:val="32"/>
          <w:szCs w:val="32"/>
        </w:rPr>
        <w:t>万元，主要包括：办公费</w:t>
      </w:r>
      <w:r>
        <w:rPr>
          <w:rFonts w:hint="eastAsia" w:ascii="仿宋_GB2312" w:eastAsia="仿宋_GB2312"/>
          <w:color w:val="000000"/>
          <w:sz w:val="32"/>
          <w:szCs w:val="32"/>
          <w:lang w:val="en-US" w:eastAsia="zh-CN"/>
        </w:rPr>
        <w:t>36.37</w:t>
      </w:r>
      <w:r>
        <w:rPr>
          <w:rFonts w:hint="eastAsia" w:ascii="仿宋_GB2312" w:eastAsia="仿宋_GB2312"/>
          <w:color w:val="000000"/>
          <w:sz w:val="32"/>
          <w:szCs w:val="32"/>
          <w:lang w:eastAsia="zh-CN"/>
        </w:rPr>
        <w:t>万元</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印刷费9.97万元、邮电费5万元，</w:t>
      </w:r>
      <w:r>
        <w:rPr>
          <w:rFonts w:hint="eastAsia" w:ascii="仿宋_GB2312" w:eastAsia="仿宋_GB2312"/>
          <w:color w:val="000000"/>
          <w:sz w:val="32"/>
          <w:szCs w:val="32"/>
        </w:rPr>
        <w:t>水费</w:t>
      </w:r>
      <w:r>
        <w:rPr>
          <w:rFonts w:hint="eastAsia" w:eastAsia="仿宋_GB2312"/>
          <w:color w:val="000000"/>
          <w:sz w:val="32"/>
          <w:szCs w:val="32"/>
          <w:lang w:val="en-US" w:eastAsia="zh-CN"/>
        </w:rPr>
        <w:t>7.00</w:t>
      </w:r>
      <w:r>
        <w:rPr>
          <w:rFonts w:hint="eastAsia" w:ascii="仿宋_GB2312" w:eastAsia="仿宋_GB2312"/>
          <w:color w:val="000000"/>
          <w:sz w:val="32"/>
          <w:szCs w:val="32"/>
          <w:lang w:eastAsia="zh-CN"/>
        </w:rPr>
        <w:t>万元</w:t>
      </w:r>
      <w:r>
        <w:rPr>
          <w:rFonts w:hint="eastAsia" w:ascii="仿宋_GB2312" w:eastAsia="仿宋_GB2312"/>
          <w:color w:val="000000"/>
          <w:sz w:val="32"/>
          <w:szCs w:val="32"/>
        </w:rPr>
        <w:t>、电费</w:t>
      </w:r>
      <w:r>
        <w:rPr>
          <w:rFonts w:hint="eastAsia" w:eastAsia="仿宋_GB2312"/>
          <w:color w:val="000000"/>
          <w:sz w:val="32"/>
          <w:szCs w:val="32"/>
          <w:lang w:val="en-US" w:eastAsia="zh-CN"/>
        </w:rPr>
        <w:t>10</w:t>
      </w:r>
      <w:r>
        <w:rPr>
          <w:rFonts w:hint="eastAsia" w:ascii="仿宋_GB2312" w:eastAsia="仿宋_GB2312"/>
          <w:color w:val="000000"/>
          <w:sz w:val="32"/>
          <w:szCs w:val="32"/>
          <w:lang w:eastAsia="zh-CN"/>
        </w:rPr>
        <w:t>万元、</w:t>
      </w:r>
      <w:r>
        <w:rPr>
          <w:rFonts w:hint="eastAsia" w:ascii="仿宋_GB2312" w:eastAsia="仿宋_GB2312"/>
          <w:color w:val="000000"/>
          <w:sz w:val="32"/>
          <w:szCs w:val="32"/>
        </w:rPr>
        <w:t>差旅费</w:t>
      </w:r>
      <w:r>
        <w:rPr>
          <w:rFonts w:hint="eastAsia" w:eastAsia="仿宋_GB2312"/>
          <w:color w:val="000000"/>
          <w:sz w:val="32"/>
          <w:szCs w:val="32"/>
          <w:lang w:val="en-US" w:eastAsia="zh-CN"/>
        </w:rPr>
        <w:t>30</w:t>
      </w:r>
      <w:r>
        <w:rPr>
          <w:rFonts w:hint="eastAsia" w:ascii="仿宋_GB2312" w:eastAsia="仿宋_GB2312"/>
          <w:color w:val="000000"/>
          <w:sz w:val="32"/>
          <w:szCs w:val="32"/>
          <w:lang w:eastAsia="zh-CN"/>
        </w:rPr>
        <w:t>万元</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培训费1万元，公务接待16.8万元，</w:t>
      </w:r>
      <w:r>
        <w:rPr>
          <w:rFonts w:hint="eastAsia" w:ascii="仿宋_GB2312" w:eastAsia="仿宋_GB2312"/>
          <w:color w:val="000000"/>
          <w:sz w:val="32"/>
          <w:szCs w:val="32"/>
        </w:rPr>
        <w:t>工会经费</w:t>
      </w:r>
      <w:r>
        <w:rPr>
          <w:rFonts w:hint="eastAsia" w:eastAsia="仿宋_GB2312"/>
          <w:color w:val="000000"/>
          <w:sz w:val="32"/>
          <w:szCs w:val="32"/>
          <w:lang w:val="en-US" w:eastAsia="zh-CN"/>
        </w:rPr>
        <w:t>5</w:t>
      </w:r>
      <w:r>
        <w:rPr>
          <w:rFonts w:hint="eastAsia" w:ascii="仿宋_GB2312" w:eastAsia="仿宋_GB2312"/>
          <w:color w:val="000000"/>
          <w:sz w:val="32"/>
          <w:szCs w:val="32"/>
          <w:lang w:eastAsia="zh-CN"/>
        </w:rPr>
        <w:t>万元</w:t>
      </w:r>
      <w:r>
        <w:rPr>
          <w:rFonts w:hint="eastAsia" w:ascii="仿宋_GB2312" w:eastAsia="仿宋_GB2312"/>
          <w:color w:val="000000"/>
          <w:sz w:val="32"/>
          <w:szCs w:val="32"/>
        </w:rPr>
        <w:t>、福利费</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lang w:eastAsia="zh-CN"/>
        </w:rPr>
        <w:t>万元，</w:t>
      </w:r>
      <w:r>
        <w:rPr>
          <w:rFonts w:hint="eastAsia" w:ascii="仿宋_GB2312" w:eastAsia="仿宋_GB2312"/>
          <w:color w:val="000000"/>
          <w:sz w:val="32"/>
          <w:szCs w:val="32"/>
          <w:lang w:val="en-US" w:eastAsia="zh-CN"/>
        </w:rPr>
        <w:t>公务用车运行维护费6.03万元，其他交通费用60.8万元。</w:t>
      </w:r>
    </w:p>
    <w:p>
      <w:pPr>
        <w:pStyle w:val="2"/>
        <w:rPr>
          <w:rFonts w:hint="default"/>
          <w:lang w:val="en-US" w:eastAsia="zh-CN"/>
        </w:rPr>
      </w:pPr>
      <w:r>
        <w:rPr>
          <w:rFonts w:hint="eastAsia"/>
          <w:color w:val="000000"/>
          <w:sz w:val="32"/>
          <w:szCs w:val="32"/>
          <w:lang w:val="en-US" w:eastAsia="zh-CN"/>
        </w:rPr>
        <w:t xml:space="preserve">    </w:t>
      </w:r>
    </w:p>
    <w:p>
      <w:pPr>
        <w:spacing w:line="600" w:lineRule="exact"/>
        <w:ind w:firstLine="645"/>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w:t>
      </w:r>
      <w:r>
        <w:rPr>
          <w:rFonts w:hint="eastAsia" w:ascii="仿宋" w:hAnsi="仿宋" w:eastAsia="仿宋"/>
          <w:b/>
          <w:sz w:val="32"/>
          <w:szCs w:val="32"/>
        </w:rPr>
        <w:t>7表和财决08-1表，仅罗列本部门实际支出涉及的经济分类科目。）</w:t>
      </w:r>
    </w:p>
    <w:p>
      <w:pPr>
        <w:spacing w:line="600" w:lineRule="exact"/>
        <w:ind w:firstLine="640"/>
        <w:rPr>
          <w:rFonts w:ascii="仿宋" w:hAnsi="仿宋" w:eastAsia="仿宋"/>
          <w:b/>
          <w:sz w:val="32"/>
          <w:szCs w:val="32"/>
        </w:rPr>
      </w:pPr>
    </w:p>
    <w:p>
      <w:pPr>
        <w:spacing w:line="600" w:lineRule="exact"/>
        <w:ind w:firstLine="640"/>
        <w:outlineLvl w:val="1"/>
        <w:rPr>
          <w:rStyle w:val="32"/>
          <w:rFonts w:ascii="黑体" w:hAnsi="黑体" w:eastAsia="黑体"/>
          <w:b w:val="0"/>
        </w:rPr>
      </w:pPr>
      <w:bookmarkStart w:id="33" w:name="_Toc15396609"/>
      <w:bookmarkStart w:id="34" w:name="_Toc15377215"/>
      <w:r>
        <w:rPr>
          <w:rFonts w:hint="eastAsia" w:ascii="黑体" w:eastAsia="黑体"/>
          <w:sz w:val="32"/>
          <w:szCs w:val="32"/>
        </w:rPr>
        <w:t>七、</w:t>
      </w:r>
      <w:r>
        <w:rPr>
          <w:rStyle w:val="32"/>
          <w:rFonts w:hint="eastAsia" w:ascii="黑体" w:hAnsi="黑体" w:eastAsia="黑体"/>
          <w:b w:val="0"/>
        </w:rPr>
        <w:t>财政拨款</w:t>
      </w:r>
      <w:r>
        <w:rPr>
          <w:rStyle w:val="32"/>
          <w:rFonts w:hint="eastAsia" w:ascii="黑体" w:hAnsi="黑体" w:eastAsia="黑体"/>
        </w:rPr>
        <w:t>“</w:t>
      </w:r>
      <w:r>
        <w:rPr>
          <w:rStyle w:val="32"/>
          <w:rFonts w:hint="eastAsia" w:ascii="黑体" w:hAnsi="黑体" w:eastAsia="黑体"/>
          <w:b w:val="0"/>
        </w:rPr>
        <w:t>三公”经费支出决算情况说明</w:t>
      </w:r>
      <w:bookmarkEnd w:id="33"/>
      <w:bookmarkEnd w:id="34"/>
    </w:p>
    <w:p>
      <w:pPr>
        <w:spacing w:line="600" w:lineRule="exact"/>
        <w:ind w:firstLine="640"/>
        <w:outlineLvl w:val="2"/>
        <w:rPr>
          <w:rFonts w:ascii="仿宋" w:hAnsi="仿宋" w:eastAsia="仿宋"/>
          <w:b/>
          <w:sz w:val="32"/>
          <w:szCs w:val="32"/>
        </w:rPr>
      </w:pPr>
      <w:bookmarkStart w:id="35" w:name="_Toc15377216"/>
      <w:r>
        <w:rPr>
          <w:rFonts w:hint="eastAsia" w:ascii="仿宋" w:hAnsi="仿宋" w:eastAsia="仿宋"/>
          <w:b/>
          <w:sz w:val="32"/>
          <w:szCs w:val="32"/>
        </w:rPr>
        <w:t>（一）“三公”经费财政拨款支出决算总体情况说明</w:t>
      </w:r>
      <w:bookmarkEnd w:id="35"/>
    </w:p>
    <w:p>
      <w:pPr>
        <w:keepNext w:val="0"/>
        <w:keepLines w:val="0"/>
        <w:pageBreakBefore w:val="0"/>
        <w:widowControl w:val="0"/>
        <w:kinsoku/>
        <w:wordWrap/>
        <w:overflowPunct/>
        <w:topLinePunct w:val="0"/>
        <w:bidi w:val="0"/>
        <w:spacing w:line="576" w:lineRule="exact"/>
        <w:ind w:left="0" w:leftChars="0" w:right="0" w:rightChars="0" w:firstLine="640"/>
        <w:textAlignment w:val="auto"/>
        <w:rPr>
          <w:rFonts w:hint="eastAsia" w:ascii="仿宋_GB2312" w:eastAsia="仿宋_GB2312"/>
          <w:color w:val="333333"/>
          <w:sz w:val="32"/>
          <w:szCs w:val="32"/>
        </w:rPr>
      </w:pPr>
      <w:r>
        <w:rPr>
          <w:rFonts w:hint="eastAsia" w:ascii="仿宋_GB2312" w:eastAsia="仿宋_GB2312"/>
          <w:color w:val="000000"/>
          <w:sz w:val="32"/>
          <w:szCs w:val="32"/>
          <w:lang w:eastAsia="zh-CN"/>
        </w:rPr>
        <w:t>普安镇人民政府</w:t>
      </w:r>
      <w:r>
        <w:rPr>
          <w:rFonts w:hint="eastAsia" w:ascii="仿宋_GB2312" w:eastAsia="仿宋_GB2312"/>
          <w:color w:val="333333"/>
          <w:sz w:val="32"/>
          <w:szCs w:val="32"/>
          <w:lang w:eastAsia="zh-CN"/>
        </w:rPr>
        <w:t>202</w:t>
      </w:r>
      <w:r>
        <w:rPr>
          <w:rFonts w:hint="eastAsia" w:ascii="仿宋_GB2312" w:eastAsia="仿宋_GB2312"/>
          <w:color w:val="333333"/>
          <w:sz w:val="32"/>
          <w:szCs w:val="32"/>
          <w:lang w:val="en-US" w:eastAsia="zh-CN"/>
        </w:rPr>
        <w:t>2</w:t>
      </w:r>
      <w:r>
        <w:rPr>
          <w:rFonts w:hint="eastAsia" w:ascii="仿宋_GB2312" w:eastAsia="仿宋_GB2312"/>
          <w:color w:val="333333"/>
          <w:sz w:val="32"/>
          <w:szCs w:val="32"/>
        </w:rPr>
        <w:t>年度“三公”经费财政拨款支出决算为</w:t>
      </w:r>
      <w:r>
        <w:rPr>
          <w:rFonts w:hint="eastAsia" w:ascii="仿宋_GB2312" w:eastAsia="仿宋_GB2312"/>
          <w:color w:val="333333"/>
          <w:sz w:val="36"/>
          <w:szCs w:val="36"/>
          <w:lang w:val="en-US" w:eastAsia="zh-CN"/>
        </w:rPr>
        <w:t>22.83</w:t>
      </w:r>
      <w:r>
        <w:rPr>
          <w:rFonts w:hint="eastAsia" w:ascii="仿宋_GB2312" w:eastAsia="仿宋_GB2312"/>
          <w:color w:val="333333"/>
          <w:sz w:val="32"/>
          <w:szCs w:val="32"/>
        </w:rPr>
        <w:t>万元，其中：公务接待费支出决算为</w:t>
      </w:r>
      <w:r>
        <w:rPr>
          <w:rFonts w:hint="eastAsia" w:eastAsia="仿宋_GB2312"/>
          <w:color w:val="000000"/>
          <w:sz w:val="32"/>
          <w:szCs w:val="32"/>
          <w:lang w:val="en-US" w:eastAsia="zh-CN"/>
        </w:rPr>
        <w:t>16.8</w:t>
      </w:r>
      <w:r>
        <w:rPr>
          <w:rFonts w:hint="eastAsia" w:ascii="仿宋_GB2312" w:eastAsia="仿宋_GB2312"/>
          <w:color w:val="333333"/>
          <w:sz w:val="32"/>
          <w:szCs w:val="32"/>
        </w:rPr>
        <w:t>万元，完成预算</w:t>
      </w:r>
      <w:r>
        <w:rPr>
          <w:rFonts w:hint="eastAsia" w:eastAsia="仿宋_GB2312"/>
          <w:color w:val="000000"/>
          <w:sz w:val="32"/>
          <w:szCs w:val="32"/>
          <w:lang w:val="en-US" w:eastAsia="zh-CN"/>
        </w:rPr>
        <w:t>100</w:t>
      </w:r>
      <w:r>
        <w:rPr>
          <w:rFonts w:hint="eastAsia" w:ascii="仿宋_GB2312" w:eastAsia="仿宋_GB2312"/>
          <w:color w:val="333333"/>
          <w:sz w:val="32"/>
          <w:szCs w:val="32"/>
        </w:rPr>
        <w:t>%。</w:t>
      </w:r>
    </w:p>
    <w:p>
      <w:pPr>
        <w:keepNext w:val="0"/>
        <w:keepLines w:val="0"/>
        <w:pageBreakBefore w:val="0"/>
        <w:widowControl w:val="0"/>
        <w:kinsoku/>
        <w:wordWrap/>
        <w:overflowPunct/>
        <w:topLinePunct w:val="0"/>
        <w:bidi w:val="0"/>
        <w:spacing w:line="576" w:lineRule="exact"/>
        <w:ind w:left="0" w:leftChars="0" w:right="0" w:rightChars="0" w:firstLine="640"/>
        <w:textAlignment w:val="auto"/>
        <w:rPr>
          <w:rFonts w:hint="eastAsia" w:eastAsia="仿宋_GB2312"/>
          <w:lang w:eastAsia="zh-CN"/>
        </w:rPr>
      </w:pPr>
      <w:r>
        <w:rPr>
          <w:rFonts w:hint="eastAsia" w:ascii="仿宋_GB2312" w:eastAsia="仿宋_GB2312"/>
          <w:color w:val="333333"/>
          <w:sz w:val="32"/>
          <w:szCs w:val="32"/>
          <w:lang w:eastAsia="zh-CN"/>
        </w:rPr>
        <w:t>202</w:t>
      </w:r>
      <w:r>
        <w:rPr>
          <w:rFonts w:hint="eastAsia" w:ascii="仿宋_GB2312" w:eastAsia="仿宋_GB2312"/>
          <w:color w:val="333333"/>
          <w:sz w:val="32"/>
          <w:szCs w:val="32"/>
          <w:lang w:val="en-US" w:eastAsia="zh-CN"/>
        </w:rPr>
        <w:t>2</w:t>
      </w:r>
      <w:r>
        <w:rPr>
          <w:rFonts w:hint="eastAsia" w:ascii="仿宋_GB2312" w:eastAsia="仿宋_GB2312"/>
          <w:color w:val="333333"/>
          <w:sz w:val="32"/>
          <w:szCs w:val="32"/>
        </w:rPr>
        <w:t>年度“三公”经费财政拨款支出决算数比</w:t>
      </w:r>
      <w:bookmarkStart w:id="64" w:name="_GoBack"/>
      <w:bookmarkEnd w:id="64"/>
      <w:r>
        <w:rPr>
          <w:rFonts w:hint="eastAsia" w:ascii="仿宋_GB2312" w:eastAsia="仿宋_GB2312"/>
          <w:color w:val="333333"/>
          <w:sz w:val="32"/>
          <w:szCs w:val="32"/>
          <w:lang w:val="en-US" w:eastAsia="zh-CN"/>
        </w:rPr>
        <w:t>2021</w:t>
      </w:r>
      <w:r>
        <w:rPr>
          <w:rFonts w:hint="eastAsia" w:ascii="仿宋_GB2312" w:eastAsia="仿宋_GB2312"/>
          <w:color w:val="333333"/>
          <w:sz w:val="32"/>
          <w:szCs w:val="32"/>
        </w:rPr>
        <w:t>年</w:t>
      </w:r>
      <w:r>
        <w:rPr>
          <w:rFonts w:hint="eastAsia" w:ascii="仿宋_GB2312" w:eastAsia="仿宋_GB2312"/>
          <w:color w:val="000000"/>
          <w:sz w:val="32"/>
          <w:szCs w:val="32"/>
          <w:lang w:val="en-US" w:eastAsia="zh-CN"/>
        </w:rPr>
        <w:t>增加</w:t>
      </w:r>
      <w:r>
        <w:rPr>
          <w:rFonts w:hint="eastAsia" w:eastAsia="仿宋_GB2312"/>
          <w:color w:val="000000"/>
          <w:sz w:val="32"/>
          <w:szCs w:val="32"/>
          <w:lang w:val="en-US" w:eastAsia="zh-CN"/>
        </w:rPr>
        <w:t>1.8</w:t>
      </w:r>
      <w:r>
        <w:rPr>
          <w:rFonts w:hint="eastAsia" w:ascii="仿宋_GB2312" w:eastAsia="仿宋_GB2312"/>
          <w:color w:val="333333"/>
          <w:sz w:val="32"/>
          <w:szCs w:val="32"/>
        </w:rPr>
        <w:t>万元，</w:t>
      </w:r>
      <w:r>
        <w:rPr>
          <w:rFonts w:hint="eastAsia" w:ascii="仿宋_GB2312" w:eastAsia="仿宋_GB2312"/>
          <w:color w:val="333333"/>
          <w:sz w:val="32"/>
          <w:szCs w:val="32"/>
          <w:lang w:val="en-US" w:eastAsia="zh-CN"/>
        </w:rPr>
        <w:t>增长</w:t>
      </w:r>
      <w:r>
        <w:rPr>
          <w:rFonts w:hint="eastAsia" w:eastAsia="仿宋_GB2312"/>
          <w:color w:val="000000"/>
          <w:sz w:val="32"/>
          <w:szCs w:val="32"/>
          <w:lang w:val="en-US" w:eastAsia="zh-CN"/>
        </w:rPr>
        <w:t>8.6</w:t>
      </w:r>
      <w:r>
        <w:rPr>
          <w:rFonts w:hint="eastAsia" w:ascii="仿宋_GB2312" w:eastAsia="仿宋_GB2312"/>
          <w:color w:val="000000"/>
          <w:sz w:val="32"/>
          <w:szCs w:val="32"/>
        </w:rPr>
        <w:t>%，其中：</w:t>
      </w:r>
      <w:r>
        <w:rPr>
          <w:rFonts w:hint="eastAsia" w:ascii="仿宋_GB2312" w:eastAsia="仿宋_GB2312"/>
          <w:color w:val="333333"/>
          <w:sz w:val="32"/>
          <w:szCs w:val="32"/>
        </w:rPr>
        <w:t>公务</w:t>
      </w:r>
      <w:r>
        <w:rPr>
          <w:rFonts w:hint="eastAsia" w:ascii="仿宋_GB2312" w:eastAsia="仿宋_GB2312"/>
          <w:color w:val="333333"/>
          <w:sz w:val="32"/>
          <w:szCs w:val="32"/>
          <w:lang w:val="en-US" w:eastAsia="zh-CN"/>
        </w:rPr>
        <w:t>用车运行维护费</w:t>
      </w:r>
      <w:r>
        <w:rPr>
          <w:rFonts w:hint="eastAsia" w:ascii="仿宋_GB2312" w:eastAsia="仿宋_GB2312"/>
          <w:color w:val="333333"/>
          <w:sz w:val="32"/>
          <w:szCs w:val="32"/>
        </w:rPr>
        <w:t>支出决算</w:t>
      </w:r>
      <w:r>
        <w:rPr>
          <w:rFonts w:hint="eastAsia" w:ascii="仿宋_GB2312" w:eastAsia="仿宋_GB2312"/>
          <w:color w:val="000000"/>
          <w:sz w:val="32"/>
          <w:szCs w:val="32"/>
          <w:lang w:val="en-US" w:eastAsia="zh-CN"/>
        </w:rPr>
        <w:t>增加6.03</w:t>
      </w:r>
      <w:r>
        <w:rPr>
          <w:rFonts w:hint="eastAsia" w:ascii="仿宋_GB2312" w:eastAsia="仿宋_GB2312"/>
          <w:color w:val="333333"/>
          <w:sz w:val="32"/>
          <w:szCs w:val="32"/>
        </w:rPr>
        <w:t>万元</w:t>
      </w:r>
      <w:r>
        <w:rPr>
          <w:rFonts w:hint="eastAsia" w:ascii="仿宋_GB2312" w:eastAsia="仿宋_GB2312"/>
          <w:color w:val="333333"/>
          <w:sz w:val="32"/>
          <w:szCs w:val="32"/>
          <w:lang w:eastAsia="zh-CN"/>
        </w:rPr>
        <w:t>。</w:t>
      </w:r>
    </w:p>
    <w:p>
      <w:pPr>
        <w:spacing w:line="600" w:lineRule="exact"/>
        <w:ind w:firstLine="640"/>
        <w:rPr>
          <w:rFonts w:ascii="仿宋" w:hAnsi="仿宋" w:eastAsia="仿宋"/>
          <w:b/>
          <w:sz w:val="32"/>
          <w:szCs w:val="32"/>
        </w:rPr>
      </w:pPr>
      <w:r>
        <w:rPr>
          <w:rFonts w:hint="eastAsia" w:ascii="仿宋" w:hAnsi="仿宋" w:eastAsia="仿宋"/>
          <w:b/>
          <w:sz w:val="32"/>
          <w:szCs w:val="32"/>
        </w:rPr>
        <w:t>（注：上述“预算”口径为全年预算数，包括一般公共预算和政府性基金预算财政拨款支出决算情况。）</w:t>
      </w:r>
    </w:p>
    <w:p>
      <w:pPr>
        <w:spacing w:line="600" w:lineRule="exact"/>
        <w:ind w:firstLine="640"/>
        <w:outlineLvl w:val="2"/>
        <w:rPr>
          <w:rFonts w:ascii="仿宋" w:hAnsi="仿宋" w:eastAsia="仿宋"/>
          <w:b/>
          <w:sz w:val="32"/>
          <w:szCs w:val="32"/>
        </w:rPr>
      </w:pPr>
      <w:bookmarkStart w:id="36" w:name="_Toc15377217"/>
      <w:r>
        <w:rPr>
          <w:rFonts w:hint="eastAsia" w:ascii="仿宋" w:hAnsi="仿宋" w:eastAsia="仿宋"/>
          <w:b/>
          <w:sz w:val="32"/>
          <w:szCs w:val="32"/>
        </w:rPr>
        <w:t>（二）“三公”经费财政拨款支出决算具体情况说明</w:t>
      </w:r>
      <w:bookmarkEnd w:id="36"/>
    </w:p>
    <w:p>
      <w:pPr>
        <w:keepNext w:val="0"/>
        <w:keepLines w:val="0"/>
        <w:pageBreakBefore w:val="0"/>
        <w:widowControl w:val="0"/>
        <w:kinsoku/>
        <w:wordWrap/>
        <w:overflowPunct/>
        <w:topLinePunct w:val="0"/>
        <w:bidi w:val="0"/>
        <w:spacing w:line="576" w:lineRule="exact"/>
        <w:ind w:left="0" w:leftChars="0" w:right="0" w:rightChars="0" w:firstLine="640"/>
        <w:textAlignment w:val="auto"/>
        <w:rPr>
          <w:rFonts w:hint="eastAsia" w:ascii="仿宋_GB2312" w:eastAsia="仿宋_GB2312"/>
          <w:color w:val="000000"/>
          <w:sz w:val="32"/>
          <w:szCs w:val="32"/>
        </w:rPr>
      </w:pPr>
      <w:r>
        <w:rPr>
          <w:rFonts w:hint="eastAsia" w:ascii="仿宋_GB2312" w:eastAsia="仿宋_GB2312"/>
          <w:color w:val="333333"/>
          <w:sz w:val="32"/>
          <w:szCs w:val="32"/>
          <w:lang w:eastAsia="zh-CN"/>
        </w:rPr>
        <w:t>202</w:t>
      </w:r>
      <w:r>
        <w:rPr>
          <w:rFonts w:hint="eastAsia" w:ascii="仿宋_GB2312" w:eastAsia="仿宋_GB2312"/>
          <w:color w:val="333333"/>
          <w:sz w:val="32"/>
          <w:szCs w:val="32"/>
          <w:lang w:val="en-US" w:eastAsia="zh-CN"/>
        </w:rPr>
        <w:t>2</w:t>
      </w:r>
      <w:r>
        <w:rPr>
          <w:rFonts w:hint="eastAsia" w:ascii="仿宋_GB2312" w:eastAsia="仿宋_GB2312"/>
          <w:color w:val="333333"/>
          <w:sz w:val="32"/>
          <w:szCs w:val="32"/>
        </w:rPr>
        <w:t>年度“三公”经费财政拨款支出决算中，因公出国（境）费支出决算</w:t>
      </w:r>
      <w:r>
        <w:rPr>
          <w:rFonts w:hint="eastAsia" w:ascii="仿宋_GB2312" w:eastAsia="仿宋_GB2312"/>
          <w:color w:val="333333"/>
          <w:sz w:val="32"/>
          <w:szCs w:val="32"/>
          <w:lang w:val="en-US" w:eastAsia="zh-CN"/>
        </w:rPr>
        <w:t>0.00</w:t>
      </w:r>
      <w:r>
        <w:rPr>
          <w:rFonts w:hint="eastAsia" w:ascii="仿宋_GB2312" w:eastAsia="仿宋_GB2312"/>
          <w:color w:val="333333"/>
          <w:sz w:val="32"/>
          <w:szCs w:val="32"/>
        </w:rPr>
        <w:t>万元，</w:t>
      </w:r>
      <w:r>
        <w:rPr>
          <w:rFonts w:hint="eastAsia" w:ascii="仿宋_GB2312" w:eastAsia="仿宋_GB2312"/>
          <w:color w:val="000000"/>
          <w:sz w:val="32"/>
          <w:szCs w:val="32"/>
        </w:rPr>
        <w:t>占</w:t>
      </w:r>
      <w:r>
        <w:rPr>
          <w:rFonts w:hint="eastAsia" w:ascii="仿宋_GB2312" w:eastAsia="仿宋_GB2312"/>
          <w:color w:val="000000"/>
          <w:sz w:val="32"/>
          <w:szCs w:val="32"/>
          <w:lang w:val="en-US" w:eastAsia="zh-CN"/>
        </w:rPr>
        <w:t>0.00</w:t>
      </w:r>
      <w:r>
        <w:rPr>
          <w:rFonts w:hint="eastAsia" w:ascii="仿宋_GB2312" w:eastAsia="仿宋_GB2312"/>
          <w:color w:val="000000"/>
          <w:sz w:val="32"/>
          <w:szCs w:val="32"/>
        </w:rPr>
        <w:t>%</w:t>
      </w:r>
      <w:r>
        <w:rPr>
          <w:rFonts w:hint="eastAsia" w:ascii="仿宋_GB2312" w:eastAsia="仿宋_GB2312"/>
          <w:color w:val="333333"/>
          <w:sz w:val="32"/>
          <w:szCs w:val="32"/>
        </w:rPr>
        <w:t>；公务用车购置及运行维护费支出决算</w:t>
      </w:r>
      <w:r>
        <w:rPr>
          <w:rFonts w:hint="eastAsia" w:ascii="仿宋_GB2312" w:eastAsia="仿宋_GB2312"/>
          <w:color w:val="333333"/>
          <w:sz w:val="32"/>
          <w:szCs w:val="32"/>
          <w:lang w:val="en-US" w:eastAsia="zh-CN"/>
        </w:rPr>
        <w:t>6.03</w:t>
      </w:r>
      <w:r>
        <w:rPr>
          <w:rFonts w:hint="eastAsia" w:ascii="仿宋_GB2312" w:eastAsia="仿宋_GB2312"/>
          <w:color w:val="333333"/>
          <w:sz w:val="32"/>
          <w:szCs w:val="32"/>
        </w:rPr>
        <w:t>万元；</w:t>
      </w:r>
      <w:r>
        <w:rPr>
          <w:rFonts w:hint="eastAsia" w:ascii="仿宋_GB2312" w:eastAsia="仿宋_GB2312"/>
          <w:color w:val="000000"/>
          <w:sz w:val="32"/>
          <w:szCs w:val="32"/>
        </w:rPr>
        <w:t>占</w:t>
      </w:r>
      <w:r>
        <w:rPr>
          <w:rFonts w:hint="eastAsia" w:ascii="仿宋_GB2312" w:eastAsia="仿宋_GB2312"/>
          <w:color w:val="000000"/>
          <w:sz w:val="32"/>
          <w:szCs w:val="32"/>
          <w:lang w:val="en-US" w:eastAsia="zh-CN"/>
        </w:rPr>
        <w:t>26.4</w:t>
      </w:r>
      <w:r>
        <w:rPr>
          <w:rFonts w:hint="eastAsia" w:ascii="仿宋_GB2312" w:eastAsia="仿宋_GB2312"/>
          <w:color w:val="000000"/>
          <w:sz w:val="32"/>
          <w:szCs w:val="32"/>
        </w:rPr>
        <w:t>%</w:t>
      </w:r>
      <w:r>
        <w:rPr>
          <w:rFonts w:hint="eastAsia" w:ascii="仿宋_GB2312" w:eastAsia="仿宋_GB2312"/>
          <w:color w:val="333333"/>
          <w:sz w:val="32"/>
          <w:szCs w:val="32"/>
        </w:rPr>
        <w:t>；公务接待费支出决算</w:t>
      </w:r>
      <w:r>
        <w:rPr>
          <w:rFonts w:hint="eastAsia" w:eastAsia="仿宋_GB2312"/>
          <w:color w:val="000000"/>
          <w:sz w:val="32"/>
          <w:szCs w:val="32"/>
          <w:lang w:val="en-US" w:eastAsia="zh-CN"/>
        </w:rPr>
        <w:t>16.8</w:t>
      </w:r>
      <w:r>
        <w:rPr>
          <w:rFonts w:hint="eastAsia" w:ascii="仿宋_GB2312" w:eastAsia="仿宋_GB2312"/>
          <w:color w:val="333333"/>
          <w:sz w:val="32"/>
          <w:szCs w:val="32"/>
        </w:rPr>
        <w:t>万元，</w:t>
      </w:r>
      <w:r>
        <w:rPr>
          <w:rFonts w:hint="eastAsia" w:ascii="仿宋_GB2312" w:eastAsia="仿宋_GB2312"/>
          <w:color w:val="000000"/>
          <w:sz w:val="32"/>
          <w:szCs w:val="32"/>
        </w:rPr>
        <w:t>占</w:t>
      </w:r>
      <w:r>
        <w:rPr>
          <w:rFonts w:hint="eastAsia" w:ascii="仿宋_GB2312" w:eastAsia="仿宋_GB2312"/>
          <w:color w:val="000000"/>
          <w:sz w:val="32"/>
          <w:szCs w:val="32"/>
          <w:lang w:val="en-US" w:eastAsia="zh-CN"/>
        </w:rPr>
        <w:t>73.6</w:t>
      </w:r>
      <w:r>
        <w:rPr>
          <w:rFonts w:hint="eastAsia" w:ascii="仿宋_GB2312" w:eastAsia="仿宋_GB2312"/>
          <w:color w:val="000000"/>
          <w:sz w:val="32"/>
          <w:szCs w:val="32"/>
        </w:rPr>
        <w:t>%。具体情况如下：</w:t>
      </w:r>
    </w:p>
    <w:p>
      <w:pPr>
        <w:pStyle w:val="2"/>
        <w:rPr>
          <w:rFonts w:hint="eastAsia" w:ascii="仿宋_GB2312" w:eastAsia="仿宋_GB2312"/>
          <w:color w:val="000000"/>
          <w:sz w:val="32"/>
          <w:szCs w:val="32"/>
        </w:rPr>
      </w:pPr>
      <w:r>
        <w:drawing>
          <wp:inline distT="0" distB="0" distL="114300" distR="114300">
            <wp:extent cx="4847590" cy="2181860"/>
            <wp:effectExtent l="4445" t="5080" r="5715" b="22860"/>
            <wp:docPr id="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spacing w:line="600" w:lineRule="exact"/>
        <w:ind w:firstLine="640"/>
        <w:rPr>
          <w:rFonts w:hint="eastAsia" w:ascii="仿宋" w:hAnsi="仿宋" w:eastAsia="仿宋"/>
          <w:sz w:val="32"/>
          <w:szCs w:val="32"/>
        </w:rPr>
      </w:pPr>
      <w:r>
        <w:rPr>
          <w:rFonts w:hint="eastAsia" w:ascii="仿宋" w:hAnsi="仿宋" w:eastAsia="仿宋"/>
          <w:sz w:val="32"/>
          <w:szCs w:val="32"/>
        </w:rPr>
        <w:t>（图7：“三公”经费财政拨款支出结构）（饼状图）</w:t>
      </w:r>
    </w:p>
    <w:p>
      <w:pPr>
        <w:keepNext w:val="0"/>
        <w:keepLines w:val="0"/>
        <w:pageBreakBefore w:val="0"/>
        <w:widowControl w:val="0"/>
        <w:kinsoku/>
        <w:wordWrap/>
        <w:overflowPunct/>
        <w:topLinePunct w:val="0"/>
        <w:bidi w:val="0"/>
        <w:spacing w:line="576" w:lineRule="exact"/>
        <w:ind w:left="0" w:leftChars="0" w:right="0" w:rightChars="0" w:firstLine="640"/>
        <w:textAlignment w:val="auto"/>
      </w:pPr>
      <w:r>
        <w:rPr>
          <w:rFonts w:hint="eastAsia" w:ascii="仿宋_GB2312" w:eastAsia="仿宋_GB2312"/>
          <w:b/>
          <w:color w:val="000000"/>
          <w:sz w:val="32"/>
          <w:szCs w:val="32"/>
        </w:rPr>
        <w:t>1.因公出国（境）经费</w:t>
      </w:r>
    </w:p>
    <w:p>
      <w:pPr>
        <w:keepNext w:val="0"/>
        <w:keepLines w:val="0"/>
        <w:pageBreakBefore w:val="0"/>
        <w:widowControl w:val="0"/>
        <w:kinsoku/>
        <w:wordWrap/>
        <w:overflowPunct/>
        <w:topLinePunct w:val="0"/>
        <w:bidi w:val="0"/>
        <w:spacing w:line="576" w:lineRule="exact"/>
        <w:ind w:left="0" w:leftChars="0" w:right="0" w:rightChars="0" w:firstLine="640"/>
        <w:textAlignment w:val="auto"/>
        <w:rPr>
          <w:rFonts w:hint="eastAsia" w:ascii="仿宋_GB2312" w:eastAsia="仿宋_GB2312"/>
          <w:color w:val="000000"/>
          <w:sz w:val="32"/>
          <w:szCs w:val="32"/>
          <w:lang w:val="en-US"/>
        </w:rPr>
      </w:pPr>
      <w:r>
        <w:rPr>
          <w:rFonts w:hint="eastAsia" w:ascii="仿宋_GB2312" w:eastAsia="仿宋_GB2312"/>
          <w:color w:val="000000"/>
          <w:sz w:val="32"/>
          <w:szCs w:val="32"/>
          <w:lang w:eastAsia="zh-CN"/>
        </w:rPr>
        <w:t>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年因公出国（境）费</w:t>
      </w:r>
      <w:r>
        <w:rPr>
          <w:rFonts w:hint="eastAsia" w:ascii="仿宋_GB2312" w:eastAsia="仿宋_GB2312"/>
          <w:color w:val="333333"/>
          <w:sz w:val="32"/>
          <w:szCs w:val="32"/>
          <w:lang w:val="en-US" w:eastAsia="zh-CN"/>
        </w:rPr>
        <w:t>0.00</w:t>
      </w:r>
      <w:r>
        <w:rPr>
          <w:rFonts w:hint="eastAsia" w:ascii="仿宋_GB2312" w:eastAsia="仿宋_GB2312"/>
          <w:color w:val="000000"/>
          <w:sz w:val="32"/>
          <w:szCs w:val="32"/>
        </w:rPr>
        <w:t>万元。全年安排因公出国（境）团组</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次，出国（境）</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人。</w:t>
      </w:r>
    </w:p>
    <w:p>
      <w:pPr>
        <w:spacing w:line="600" w:lineRule="exact"/>
        <w:ind w:firstLine="64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公务用车购置及运行维护费支出</w:t>
      </w:r>
      <w:r>
        <w:rPr>
          <w:rFonts w:hint="eastAsia" w:ascii="仿宋_GB2312" w:eastAsia="仿宋_GB2312"/>
          <w:sz w:val="32"/>
          <w:szCs w:val="32"/>
          <w:lang w:val="en-US" w:eastAsia="zh-CN"/>
        </w:rPr>
        <w:t>6.03</w:t>
      </w:r>
      <w:r>
        <w:rPr>
          <w:rFonts w:hint="eastAsia" w:ascii="仿宋_GB2312" w:eastAsia="仿宋_GB2312"/>
          <w:sz w:val="32"/>
          <w:szCs w:val="32"/>
        </w:rPr>
        <w:t>万元</w:t>
      </w:r>
      <w:r>
        <w:rPr>
          <w:rFonts w:hint="eastAsia" w:ascii="仿宋_GB2312" w:eastAsia="仿宋_GB2312"/>
          <w:sz w:val="32"/>
          <w:szCs w:val="32"/>
          <w:lang w:eastAsia="zh-CN"/>
        </w:rPr>
        <w:t>，</w:t>
      </w:r>
      <w:r>
        <w:rPr>
          <w:rStyle w:val="20"/>
          <w:rFonts w:hint="eastAsia" w:ascii="仿宋" w:hAnsi="仿宋" w:eastAsia="仿宋"/>
          <w:b w:val="0"/>
          <w:bCs/>
          <w:sz w:val="32"/>
          <w:szCs w:val="32"/>
        </w:rPr>
        <w:t>完成预算</w:t>
      </w:r>
      <w:r>
        <w:rPr>
          <w:rStyle w:val="20"/>
          <w:rFonts w:hint="eastAsia" w:ascii="仿宋" w:hAnsi="仿宋" w:eastAsia="仿宋"/>
          <w:b w:val="0"/>
          <w:bCs/>
          <w:sz w:val="32"/>
          <w:szCs w:val="32"/>
          <w:lang w:val="en-US" w:eastAsia="zh-CN"/>
        </w:rPr>
        <w:t>100</w:t>
      </w:r>
      <w:r>
        <w:rPr>
          <w:rStyle w:val="20"/>
          <w:rFonts w:ascii="仿宋" w:hAnsi="仿宋" w:eastAsia="仿宋"/>
          <w:b w:val="0"/>
          <w:bCs/>
          <w:sz w:val="32"/>
          <w:szCs w:val="32"/>
        </w:rPr>
        <w:t>%</w:t>
      </w:r>
      <w:r>
        <w:rPr>
          <w:rStyle w:val="20"/>
          <w:rFonts w:hint="eastAsia" w:ascii="仿宋" w:hAnsi="仿宋" w:eastAsia="仿宋"/>
          <w:b w:val="0"/>
          <w:bCs/>
          <w:sz w:val="32"/>
          <w:szCs w:val="32"/>
        </w:rPr>
        <w:t>。</w:t>
      </w:r>
      <w:r>
        <w:rPr>
          <w:rFonts w:hint="eastAsia" w:ascii="仿宋_GB2312" w:eastAsia="仿宋_GB2312"/>
          <w:sz w:val="32"/>
          <w:szCs w:val="32"/>
        </w:rPr>
        <w:t>公务用车购置及运行维护费支出决算比</w:t>
      </w:r>
      <w:r>
        <w:rPr>
          <w:rFonts w:ascii="仿宋_GB2312" w:eastAsia="仿宋_GB2312"/>
          <w:sz w:val="32"/>
          <w:szCs w:val="32"/>
        </w:rPr>
        <w:t>20</w:t>
      </w:r>
      <w:r>
        <w:rPr>
          <w:rFonts w:hint="eastAsia" w:ascii="仿宋_GB2312" w:eastAsia="仿宋_GB2312"/>
          <w:sz w:val="32"/>
          <w:szCs w:val="32"/>
        </w:rPr>
        <w:t>21年增加</w:t>
      </w:r>
      <w:r>
        <w:rPr>
          <w:rFonts w:hint="eastAsia" w:ascii="仿宋_GB2312" w:eastAsia="仿宋_GB2312"/>
          <w:sz w:val="32"/>
          <w:szCs w:val="32"/>
          <w:lang w:val="en-US" w:eastAsia="zh-CN"/>
        </w:rPr>
        <w:t>6.03</w:t>
      </w:r>
      <w:r>
        <w:rPr>
          <w:rFonts w:hint="eastAsia" w:ascii="仿宋_GB2312" w:eastAsia="仿宋_GB2312"/>
          <w:sz w:val="32"/>
          <w:szCs w:val="32"/>
        </w:rPr>
        <w:t>万元，增长</w:t>
      </w:r>
      <w:r>
        <w:rPr>
          <w:rFonts w:hint="eastAsia" w:ascii="仿宋_GB2312" w:eastAsia="仿宋_GB2312"/>
          <w:sz w:val="32"/>
          <w:szCs w:val="32"/>
          <w:lang w:val="en-US" w:eastAsia="zh-CN"/>
        </w:rPr>
        <w:t>100</w:t>
      </w:r>
      <w:r>
        <w:rPr>
          <w:rFonts w:ascii="仿宋_GB2312" w:eastAsia="仿宋_GB2312"/>
          <w:sz w:val="32"/>
          <w:szCs w:val="32"/>
        </w:rPr>
        <w:t>%</w:t>
      </w:r>
      <w:r>
        <w:rPr>
          <w:rFonts w:hint="eastAsia" w:ascii="仿宋_GB2312" w:eastAsia="仿宋_GB2312"/>
          <w:sz w:val="32"/>
          <w:szCs w:val="32"/>
        </w:rPr>
        <w:t>。主要原因是</w:t>
      </w:r>
      <w:r>
        <w:rPr>
          <w:rFonts w:hint="eastAsia" w:ascii="仿宋_GB2312" w:eastAsia="仿宋_GB2312"/>
          <w:sz w:val="32"/>
          <w:szCs w:val="32"/>
          <w:lang w:val="en-US" w:eastAsia="zh-CN"/>
        </w:rPr>
        <w:t>公务用车是新增预算项目</w:t>
      </w:r>
      <w:r>
        <w:rPr>
          <w:rFonts w:hint="eastAsia" w:ascii="仿宋_GB2312" w:eastAsia="仿宋_GB2312"/>
          <w:sz w:val="32"/>
          <w:szCs w:val="32"/>
        </w:rPr>
        <w:t>。</w:t>
      </w:r>
    </w:p>
    <w:p>
      <w:pPr>
        <w:spacing w:line="600" w:lineRule="exact"/>
        <w:ind w:firstLine="640" w:firstLineChars="200"/>
        <w:rPr>
          <w:rFonts w:ascii="仿宋_GB2312" w:eastAsia="仿宋_GB2312"/>
          <w:b/>
          <w:sz w:val="32"/>
          <w:szCs w:val="32"/>
        </w:rPr>
      </w:pPr>
      <w:r>
        <w:rPr>
          <w:rFonts w:hint="eastAsia" w:ascii="仿宋_GB2312" w:eastAsia="仿宋_GB2312"/>
          <w:sz w:val="32"/>
          <w:szCs w:val="32"/>
        </w:rPr>
        <w:t>其中：</w:t>
      </w:r>
      <w:r>
        <w:rPr>
          <w:rFonts w:hint="eastAsia" w:ascii="仿宋_GB2312" w:eastAsia="仿宋_GB2312"/>
          <w:b/>
          <w:sz w:val="32"/>
          <w:szCs w:val="32"/>
        </w:rPr>
        <w:t>公务用车购置支出</w:t>
      </w:r>
      <w:r>
        <w:rPr>
          <w:rFonts w:hint="eastAsia" w:ascii="仿宋_GB2312" w:eastAsia="仿宋_GB2312"/>
          <w:sz w:val="32"/>
          <w:szCs w:val="32"/>
          <w:lang w:val="en-US" w:eastAsia="zh-CN"/>
        </w:rPr>
        <w:t>0</w:t>
      </w:r>
      <w:r>
        <w:rPr>
          <w:rFonts w:hint="eastAsia" w:ascii="仿宋_GB2312" w:eastAsia="仿宋_GB2312"/>
          <w:sz w:val="32"/>
          <w:szCs w:val="32"/>
        </w:rPr>
        <w:t>万元。全年按规定更新购置公务用车</w:t>
      </w:r>
      <w:r>
        <w:rPr>
          <w:rFonts w:hint="eastAsia" w:ascii="仿宋_GB2312" w:eastAsia="仿宋_GB2312"/>
          <w:sz w:val="32"/>
          <w:szCs w:val="32"/>
          <w:lang w:val="en-US" w:eastAsia="zh-CN"/>
        </w:rPr>
        <w:t>0</w:t>
      </w:r>
      <w:r>
        <w:rPr>
          <w:rFonts w:hint="eastAsia" w:ascii="仿宋_GB2312" w:eastAsia="仿宋_GB2312"/>
          <w:sz w:val="32"/>
          <w:szCs w:val="32"/>
        </w:rPr>
        <w:t>辆，其中：轿车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万元，越野车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万元，载客汽车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万元。截至</w:t>
      </w:r>
      <w:r>
        <w:rPr>
          <w:rFonts w:ascii="仿宋_GB2312" w:eastAsia="仿宋_GB2312"/>
          <w:sz w:val="32"/>
          <w:szCs w:val="32"/>
        </w:rPr>
        <w:t>20</w:t>
      </w:r>
      <w:r>
        <w:rPr>
          <w:rFonts w:hint="eastAsia" w:ascii="仿宋_GB2312" w:eastAsia="仿宋_GB2312"/>
          <w:sz w:val="32"/>
          <w:szCs w:val="32"/>
        </w:rPr>
        <w:t>22年</w:t>
      </w:r>
      <w:r>
        <w:rPr>
          <w:rFonts w:ascii="仿宋_GB2312" w:eastAsia="仿宋_GB2312"/>
          <w:sz w:val="32"/>
          <w:szCs w:val="32"/>
        </w:rPr>
        <w:t>12</w:t>
      </w:r>
      <w:r>
        <w:rPr>
          <w:rFonts w:hint="eastAsia" w:ascii="仿宋_GB2312" w:eastAsia="仿宋_GB2312"/>
          <w:sz w:val="32"/>
          <w:szCs w:val="32"/>
        </w:rPr>
        <w:t>月底，单位共有公务用车</w:t>
      </w:r>
      <w:r>
        <w:rPr>
          <w:rFonts w:hint="eastAsia" w:ascii="仿宋_GB2312" w:eastAsia="仿宋_GB2312"/>
          <w:sz w:val="32"/>
          <w:szCs w:val="32"/>
          <w:lang w:val="en-US" w:eastAsia="zh-CN"/>
        </w:rPr>
        <w:t>1</w:t>
      </w:r>
      <w:r>
        <w:rPr>
          <w:rFonts w:hint="eastAsia" w:ascii="仿宋_GB2312" w:eastAsia="仿宋_GB2312"/>
          <w:sz w:val="32"/>
          <w:szCs w:val="32"/>
        </w:rPr>
        <w:t>辆，其中：轿车</w:t>
      </w:r>
      <w:r>
        <w:rPr>
          <w:rFonts w:hint="eastAsia" w:ascii="仿宋_GB2312" w:eastAsia="仿宋_GB2312"/>
          <w:sz w:val="32"/>
          <w:szCs w:val="32"/>
          <w:lang w:val="en-US" w:eastAsia="zh-CN"/>
        </w:rPr>
        <w:t>1</w:t>
      </w:r>
      <w:r>
        <w:rPr>
          <w:rFonts w:hint="eastAsia" w:ascii="仿宋_GB2312" w:eastAsia="仿宋_GB2312"/>
          <w:sz w:val="32"/>
          <w:szCs w:val="32"/>
        </w:rPr>
        <w:t>辆、越野车</w:t>
      </w:r>
      <w:r>
        <w:rPr>
          <w:rFonts w:hint="eastAsia" w:ascii="仿宋_GB2312" w:eastAsia="仿宋_GB2312"/>
          <w:sz w:val="32"/>
          <w:szCs w:val="32"/>
          <w:lang w:val="en-US" w:eastAsia="zh-CN"/>
        </w:rPr>
        <w:t>0</w:t>
      </w:r>
      <w:r>
        <w:rPr>
          <w:rFonts w:hint="eastAsia" w:ascii="仿宋_GB2312" w:eastAsia="仿宋_GB2312"/>
          <w:sz w:val="32"/>
          <w:szCs w:val="32"/>
        </w:rPr>
        <w:t>辆、载客汽车</w:t>
      </w:r>
      <w:r>
        <w:rPr>
          <w:rFonts w:hint="eastAsia" w:ascii="仿宋_GB2312" w:eastAsia="仿宋_GB2312"/>
          <w:sz w:val="32"/>
          <w:szCs w:val="32"/>
          <w:lang w:val="en-US" w:eastAsia="zh-CN"/>
        </w:rPr>
        <w:t>0</w:t>
      </w:r>
      <w:r>
        <w:rPr>
          <w:rFonts w:hint="eastAsia" w:ascii="仿宋_GB2312" w:eastAsia="仿宋_GB2312"/>
          <w:sz w:val="32"/>
          <w:szCs w:val="32"/>
        </w:rPr>
        <w:t>辆。</w:t>
      </w:r>
    </w:p>
    <w:p>
      <w:pPr>
        <w:spacing w:line="600" w:lineRule="exact"/>
        <w:ind w:firstLine="640"/>
        <w:rPr>
          <w:rFonts w:ascii="仿宋_GB2312" w:eastAsia="仿宋_GB2312"/>
          <w:sz w:val="32"/>
          <w:szCs w:val="32"/>
        </w:rPr>
      </w:pPr>
      <w:r>
        <w:rPr>
          <w:rFonts w:hint="eastAsia" w:ascii="仿宋_GB2312" w:eastAsia="仿宋_GB2312"/>
          <w:b/>
          <w:sz w:val="32"/>
          <w:szCs w:val="32"/>
        </w:rPr>
        <w:t>公务用车运行维护费支出</w:t>
      </w:r>
      <w:r>
        <w:rPr>
          <w:rFonts w:hint="eastAsia" w:ascii="仿宋_GB2312" w:eastAsia="仿宋_GB2312"/>
          <w:sz w:val="32"/>
          <w:szCs w:val="32"/>
          <w:lang w:val="en-US" w:eastAsia="zh-CN"/>
        </w:rPr>
        <w:t>6.03</w:t>
      </w:r>
      <w:r>
        <w:rPr>
          <w:rFonts w:hint="eastAsia" w:ascii="仿宋_GB2312" w:eastAsia="仿宋_GB2312"/>
          <w:sz w:val="32"/>
          <w:szCs w:val="32"/>
        </w:rPr>
        <w:t>万元。主要用于公务用车</w:t>
      </w:r>
      <w:r>
        <w:rPr>
          <w:rFonts w:hint="eastAsia" w:ascii="仿宋_GB2312" w:eastAsia="仿宋_GB2312"/>
          <w:sz w:val="32"/>
          <w:szCs w:val="32"/>
          <w:lang w:val="en-US" w:eastAsia="zh-CN"/>
        </w:rPr>
        <w:t>的</w:t>
      </w:r>
      <w:r>
        <w:rPr>
          <w:rFonts w:hint="eastAsia" w:ascii="仿宋_GB2312" w:eastAsia="仿宋_GB2312"/>
          <w:sz w:val="32"/>
          <w:szCs w:val="32"/>
        </w:rPr>
        <w:t>燃料费、维修费、过路过桥费、保险费等支出。</w:t>
      </w:r>
    </w:p>
    <w:p>
      <w:pPr>
        <w:spacing w:line="600" w:lineRule="exact"/>
        <w:ind w:firstLine="640"/>
        <w:rPr>
          <w:rFonts w:ascii="仿宋_GB2312" w:eastAsia="仿宋_GB2312"/>
          <w:sz w:val="32"/>
          <w:szCs w:val="32"/>
        </w:rPr>
      </w:pPr>
      <w:r>
        <w:rPr>
          <w:rFonts w:ascii="仿宋_GB2312" w:eastAsia="仿宋_GB2312"/>
          <w:b/>
          <w:sz w:val="32"/>
          <w:szCs w:val="32"/>
        </w:rPr>
        <w:t>3.</w:t>
      </w:r>
      <w:r>
        <w:rPr>
          <w:rFonts w:hint="eastAsia" w:ascii="仿宋_GB2312" w:eastAsia="仿宋_GB2312"/>
          <w:b/>
          <w:sz w:val="32"/>
          <w:szCs w:val="32"/>
        </w:rPr>
        <w:t>公务接待费支出</w:t>
      </w:r>
      <w:r>
        <w:rPr>
          <w:rFonts w:hint="eastAsia" w:ascii="仿宋_GB2312" w:eastAsia="仿宋_GB2312"/>
          <w:sz w:val="32"/>
          <w:szCs w:val="32"/>
          <w:lang w:val="en-US" w:eastAsia="zh-CN"/>
        </w:rPr>
        <w:t>16.8</w:t>
      </w:r>
      <w:r>
        <w:rPr>
          <w:rFonts w:hint="eastAsia" w:ascii="仿宋_GB2312" w:eastAsia="仿宋_GB2312"/>
          <w:sz w:val="32"/>
          <w:szCs w:val="32"/>
        </w:rPr>
        <w:t>万元，</w:t>
      </w:r>
      <w:r>
        <w:rPr>
          <w:rStyle w:val="20"/>
          <w:rFonts w:hint="eastAsia" w:ascii="仿宋" w:hAnsi="仿宋" w:eastAsia="仿宋"/>
          <w:b w:val="0"/>
          <w:bCs/>
          <w:sz w:val="32"/>
          <w:szCs w:val="32"/>
        </w:rPr>
        <w:t>完成预算</w:t>
      </w:r>
      <w:r>
        <w:rPr>
          <w:rStyle w:val="20"/>
          <w:rFonts w:hint="eastAsia" w:ascii="仿宋" w:hAnsi="仿宋" w:eastAsia="仿宋"/>
          <w:b w:val="0"/>
          <w:bCs/>
          <w:sz w:val="32"/>
          <w:szCs w:val="32"/>
          <w:lang w:val="en-US" w:eastAsia="zh-CN"/>
        </w:rPr>
        <w:t>100</w:t>
      </w:r>
      <w:r>
        <w:rPr>
          <w:rStyle w:val="20"/>
          <w:rFonts w:ascii="仿宋" w:hAnsi="仿宋" w:eastAsia="仿宋"/>
          <w:b w:val="0"/>
          <w:bCs/>
          <w:sz w:val="32"/>
          <w:szCs w:val="32"/>
        </w:rPr>
        <w:t>%</w:t>
      </w:r>
      <w:r>
        <w:rPr>
          <w:rStyle w:val="20"/>
          <w:rFonts w:hint="eastAsia" w:ascii="仿宋" w:hAnsi="仿宋" w:eastAsia="仿宋"/>
          <w:b w:val="0"/>
          <w:bCs/>
          <w:sz w:val="32"/>
          <w:szCs w:val="32"/>
        </w:rPr>
        <w:t>。</w:t>
      </w:r>
      <w:r>
        <w:rPr>
          <w:rFonts w:hint="eastAsia" w:ascii="仿宋_GB2312" w:eastAsia="仿宋_GB2312"/>
          <w:sz w:val="32"/>
          <w:szCs w:val="32"/>
        </w:rPr>
        <w:t>公务接待费支出决算比</w:t>
      </w:r>
      <w:r>
        <w:rPr>
          <w:rFonts w:ascii="仿宋_GB2312" w:eastAsia="仿宋_GB2312"/>
          <w:sz w:val="32"/>
          <w:szCs w:val="32"/>
        </w:rPr>
        <w:t>20</w:t>
      </w:r>
      <w:r>
        <w:rPr>
          <w:rFonts w:hint="eastAsia" w:ascii="仿宋_GB2312" w:eastAsia="仿宋_GB2312"/>
          <w:sz w:val="32"/>
          <w:szCs w:val="32"/>
        </w:rPr>
        <w:t>21年减少</w:t>
      </w:r>
      <w:r>
        <w:rPr>
          <w:rFonts w:hint="eastAsia" w:ascii="仿宋_GB2312" w:eastAsia="仿宋_GB2312"/>
          <w:sz w:val="32"/>
          <w:szCs w:val="32"/>
          <w:lang w:val="en-US" w:eastAsia="zh-CN"/>
        </w:rPr>
        <w:t>4.2</w:t>
      </w:r>
      <w:r>
        <w:rPr>
          <w:rFonts w:hint="eastAsia" w:ascii="仿宋_GB2312" w:eastAsia="仿宋_GB2312"/>
          <w:sz w:val="32"/>
          <w:szCs w:val="32"/>
        </w:rPr>
        <w:t>万元，下降</w:t>
      </w:r>
      <w:r>
        <w:rPr>
          <w:rFonts w:hint="eastAsia" w:ascii="仿宋_GB2312" w:eastAsia="仿宋_GB2312"/>
          <w:sz w:val="32"/>
          <w:szCs w:val="32"/>
          <w:lang w:val="en-US" w:eastAsia="zh-CN"/>
        </w:rPr>
        <w:t>20.11</w:t>
      </w:r>
      <w:r>
        <w:rPr>
          <w:rFonts w:ascii="仿宋_GB2312" w:eastAsia="仿宋_GB2312"/>
          <w:sz w:val="32"/>
          <w:szCs w:val="32"/>
        </w:rPr>
        <w:t>%</w:t>
      </w:r>
      <w:r>
        <w:rPr>
          <w:rFonts w:hint="eastAsia" w:ascii="仿宋_GB2312" w:eastAsia="仿宋_GB2312"/>
          <w:sz w:val="32"/>
          <w:szCs w:val="32"/>
        </w:rPr>
        <w:t>。主要原因是</w:t>
      </w:r>
      <w:r>
        <w:rPr>
          <w:rFonts w:hint="eastAsia" w:ascii="仿宋_GB2312" w:eastAsia="仿宋_GB2312"/>
          <w:sz w:val="32"/>
          <w:szCs w:val="32"/>
          <w:lang w:val="en-US" w:eastAsia="zh-CN"/>
        </w:rPr>
        <w:t>严控开支，杜绝浪费</w:t>
      </w:r>
      <w:r>
        <w:rPr>
          <w:rFonts w:hint="eastAsia" w:ascii="仿宋_GB2312" w:eastAsia="仿宋_GB2312"/>
          <w:sz w:val="32"/>
          <w:szCs w:val="32"/>
        </w:rPr>
        <w:t>。</w:t>
      </w:r>
    </w:p>
    <w:p>
      <w:pPr>
        <w:keepNext w:val="0"/>
        <w:keepLines w:val="0"/>
        <w:pageBreakBefore w:val="0"/>
        <w:widowControl w:val="0"/>
        <w:kinsoku/>
        <w:wordWrap/>
        <w:overflowPunct/>
        <w:topLinePunct w:val="0"/>
        <w:bidi w:val="0"/>
        <w:spacing w:line="576" w:lineRule="exact"/>
        <w:ind w:left="0" w:leftChars="0" w:right="0" w:rightChars="0" w:firstLine="640"/>
        <w:textAlignment w:val="auto"/>
        <w:rPr>
          <w:rFonts w:ascii="仿宋_GB2312" w:eastAsia="仿宋_GB2312"/>
          <w:color w:val="000000"/>
          <w:sz w:val="32"/>
          <w:szCs w:val="32"/>
        </w:rPr>
      </w:pPr>
      <w:r>
        <w:rPr>
          <w:rFonts w:hint="eastAsia" w:ascii="仿宋" w:hAnsi="仿宋" w:eastAsia="仿宋"/>
          <w:b/>
          <w:sz w:val="32"/>
          <w:szCs w:val="32"/>
        </w:rPr>
        <w:t>国内公务接待支出</w:t>
      </w:r>
      <w:r>
        <w:rPr>
          <w:rFonts w:hint="eastAsia" w:ascii="仿宋" w:hAnsi="仿宋" w:eastAsia="仿宋"/>
          <w:sz w:val="32"/>
          <w:szCs w:val="32"/>
          <w:lang w:val="en-US" w:eastAsia="zh-CN"/>
        </w:rPr>
        <w:t>16.8</w:t>
      </w:r>
      <w:r>
        <w:rPr>
          <w:rFonts w:hint="eastAsia" w:ascii="仿宋_GB2312" w:eastAsia="仿宋_GB2312"/>
          <w:sz w:val="32"/>
          <w:szCs w:val="32"/>
        </w:rPr>
        <w:t>万元，</w:t>
      </w:r>
      <w:r>
        <w:rPr>
          <w:rFonts w:hint="eastAsia" w:ascii="仿宋_GB2312" w:eastAsia="仿宋_GB2312"/>
          <w:color w:val="000000"/>
          <w:sz w:val="32"/>
          <w:szCs w:val="32"/>
        </w:rPr>
        <w:t>主要用于执行公务、开展业务活动开支的交通费、住宿费、用餐费等</w:t>
      </w:r>
      <w:r>
        <w:rPr>
          <w:rFonts w:hint="eastAsia" w:ascii="仿宋_GB2312" w:eastAsia="仿宋_GB2312"/>
          <w:sz w:val="32"/>
          <w:szCs w:val="32"/>
        </w:rPr>
        <w:t>。国内公务接待</w:t>
      </w:r>
      <w:r>
        <w:rPr>
          <w:rFonts w:hint="eastAsia" w:ascii="仿宋_GB2312" w:eastAsia="仿宋_GB2312"/>
          <w:sz w:val="32"/>
          <w:szCs w:val="32"/>
          <w:lang w:val="en-US" w:eastAsia="zh-CN"/>
        </w:rPr>
        <w:t>360</w:t>
      </w:r>
      <w:r>
        <w:rPr>
          <w:rFonts w:hint="eastAsia" w:ascii="仿宋_GB2312" w:eastAsia="仿宋_GB2312"/>
          <w:sz w:val="32"/>
          <w:szCs w:val="32"/>
        </w:rPr>
        <w:t>批次，</w:t>
      </w:r>
      <w:r>
        <w:rPr>
          <w:rFonts w:hint="eastAsia" w:ascii="仿宋_GB2312" w:eastAsia="仿宋_GB2312"/>
          <w:sz w:val="32"/>
          <w:szCs w:val="32"/>
          <w:lang w:val="en-US" w:eastAsia="zh-CN"/>
        </w:rPr>
        <w:t>3189</w:t>
      </w:r>
      <w:r>
        <w:rPr>
          <w:rFonts w:hint="eastAsia" w:ascii="仿宋_GB2312" w:eastAsia="仿宋_GB2312"/>
          <w:sz w:val="32"/>
          <w:szCs w:val="32"/>
        </w:rPr>
        <w:t>人次（不包括陪同人员），共计支出</w:t>
      </w:r>
      <w:r>
        <w:rPr>
          <w:rFonts w:hint="eastAsia" w:ascii="仿宋_GB2312" w:eastAsia="仿宋_GB2312"/>
          <w:sz w:val="32"/>
          <w:szCs w:val="32"/>
          <w:lang w:val="en-US" w:eastAsia="zh-CN"/>
        </w:rPr>
        <w:t>16.8</w:t>
      </w:r>
      <w:r>
        <w:rPr>
          <w:rFonts w:hint="eastAsia" w:ascii="仿宋_GB2312" w:eastAsia="仿宋_GB2312"/>
          <w:sz w:val="32"/>
          <w:szCs w:val="32"/>
        </w:rPr>
        <w:t>万元，</w:t>
      </w:r>
      <w:r>
        <w:rPr>
          <w:rFonts w:hint="eastAsia" w:ascii="仿宋_GB2312" w:eastAsia="仿宋_GB2312"/>
          <w:color w:val="000000"/>
          <w:sz w:val="32"/>
          <w:szCs w:val="32"/>
        </w:rPr>
        <w:t>具体内容包括：</w:t>
      </w:r>
      <w:r>
        <w:rPr>
          <w:rFonts w:hint="eastAsia" w:ascii="仿宋_GB2312" w:eastAsia="仿宋_GB2312"/>
          <w:color w:val="000000"/>
          <w:sz w:val="32"/>
          <w:szCs w:val="32"/>
          <w:lang w:eastAsia="zh-CN"/>
        </w:rPr>
        <w:t>上级检查、审计、督察等工作接待。</w:t>
      </w:r>
    </w:p>
    <w:p>
      <w:pPr>
        <w:spacing w:line="600" w:lineRule="exact"/>
        <w:ind w:firstLine="640"/>
        <w:rPr>
          <w:rFonts w:ascii="仿宋_GB2312" w:eastAsia="仿宋_GB2312"/>
          <w:sz w:val="32"/>
          <w:szCs w:val="32"/>
        </w:rPr>
      </w:pPr>
    </w:p>
    <w:p>
      <w:pPr>
        <w:spacing w:line="600" w:lineRule="exact"/>
        <w:ind w:firstLine="643" w:firstLineChars="200"/>
        <w:rPr>
          <w:rFonts w:ascii="仿宋_GB2312" w:eastAsia="仿宋_GB2312"/>
          <w:sz w:val="32"/>
          <w:szCs w:val="32"/>
        </w:rPr>
      </w:pPr>
      <w:r>
        <w:rPr>
          <w:rFonts w:hint="eastAsia" w:ascii="仿宋" w:hAnsi="仿宋" w:eastAsia="仿宋"/>
          <w:b/>
          <w:sz w:val="32"/>
          <w:szCs w:val="32"/>
        </w:rPr>
        <w:t>外事接待支出</w:t>
      </w:r>
      <w:r>
        <w:rPr>
          <w:rFonts w:hint="eastAsia" w:ascii="仿宋" w:hAnsi="仿宋" w:eastAsia="仿宋"/>
          <w:sz w:val="32"/>
          <w:szCs w:val="32"/>
          <w:lang w:val="en-US" w:eastAsia="zh-CN"/>
        </w:rPr>
        <w:t>0</w:t>
      </w:r>
      <w:r>
        <w:rPr>
          <w:rFonts w:hint="eastAsia" w:ascii="仿宋_GB2312" w:eastAsia="仿宋_GB2312"/>
          <w:sz w:val="32"/>
          <w:szCs w:val="32"/>
        </w:rPr>
        <w:t>万元，外事接待</w:t>
      </w:r>
      <w:r>
        <w:rPr>
          <w:rFonts w:hint="eastAsia" w:ascii="仿宋_GB2312" w:eastAsia="仿宋_GB2312"/>
          <w:sz w:val="32"/>
          <w:szCs w:val="32"/>
          <w:lang w:val="en-US" w:eastAsia="zh-CN"/>
        </w:rPr>
        <w:t>0</w:t>
      </w:r>
      <w:r>
        <w:rPr>
          <w:rFonts w:hint="eastAsia" w:ascii="仿宋_GB2312" w:eastAsia="仿宋_GB2312"/>
          <w:sz w:val="32"/>
          <w:szCs w:val="32"/>
        </w:rPr>
        <w:t>批次，</w:t>
      </w:r>
      <w:r>
        <w:rPr>
          <w:rFonts w:hint="eastAsia" w:ascii="仿宋_GB2312" w:eastAsia="仿宋_GB2312"/>
          <w:sz w:val="32"/>
          <w:szCs w:val="32"/>
          <w:lang w:val="en-US" w:eastAsia="zh-CN"/>
        </w:rPr>
        <w:t>0</w:t>
      </w:r>
      <w:r>
        <w:rPr>
          <w:rFonts w:hint="eastAsia" w:ascii="仿宋_GB2312" w:eastAsia="仿宋_GB2312"/>
          <w:sz w:val="32"/>
          <w:szCs w:val="32"/>
        </w:rPr>
        <w:t>人次（不包括陪同人员），共计支出</w:t>
      </w:r>
      <w:r>
        <w:rPr>
          <w:rFonts w:hint="eastAsia" w:ascii="仿宋_GB2312" w:eastAsia="仿宋_GB2312"/>
          <w:sz w:val="32"/>
          <w:szCs w:val="32"/>
          <w:lang w:val="en-US" w:eastAsia="zh-CN"/>
        </w:rPr>
        <w:t>0</w:t>
      </w:r>
      <w:r>
        <w:rPr>
          <w:rFonts w:hint="eastAsia" w:ascii="仿宋_GB2312" w:eastAsia="仿宋_GB2312"/>
          <w:sz w:val="32"/>
          <w:szCs w:val="32"/>
        </w:rPr>
        <w:t>万元。</w:t>
      </w:r>
    </w:p>
    <w:p>
      <w:pPr>
        <w:spacing w:line="600" w:lineRule="exact"/>
        <w:ind w:firstLine="640"/>
        <w:outlineLvl w:val="1"/>
        <w:rPr>
          <w:rFonts w:ascii="黑体" w:eastAsia="黑体"/>
          <w:sz w:val="32"/>
          <w:szCs w:val="32"/>
        </w:rPr>
      </w:pPr>
      <w:bookmarkStart w:id="37" w:name="_Toc15396610"/>
      <w:bookmarkStart w:id="38" w:name="_Toc15377218"/>
    </w:p>
    <w:p>
      <w:pPr>
        <w:spacing w:line="600" w:lineRule="exact"/>
        <w:ind w:firstLine="640"/>
        <w:outlineLvl w:val="1"/>
        <w:rPr>
          <w:rStyle w:val="32"/>
          <w:rFonts w:ascii="黑体" w:hAnsi="黑体" w:eastAsia="黑体"/>
        </w:rPr>
      </w:pPr>
      <w:r>
        <w:rPr>
          <w:rFonts w:hint="eastAsia" w:ascii="黑体" w:eastAsia="黑体"/>
          <w:sz w:val="32"/>
          <w:szCs w:val="32"/>
        </w:rPr>
        <w:t>八、</w:t>
      </w:r>
      <w:r>
        <w:rPr>
          <w:rStyle w:val="32"/>
          <w:rFonts w:hint="eastAsia" w:ascii="黑体" w:hAnsi="黑体" w:eastAsia="黑体"/>
          <w:b w:val="0"/>
        </w:rPr>
        <w:t>政府性基金预算支出决算情况说明</w:t>
      </w:r>
      <w:bookmarkEnd w:id="37"/>
      <w:bookmarkEnd w:id="38"/>
    </w:p>
    <w:p>
      <w:pPr>
        <w:spacing w:line="600" w:lineRule="exact"/>
        <w:ind w:firstLine="64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22年政府性基金预算财政拨款支出</w:t>
      </w:r>
      <w:r>
        <w:rPr>
          <w:rFonts w:hint="eastAsia" w:ascii="仿宋_GB2312" w:eastAsia="仿宋_GB2312"/>
          <w:sz w:val="32"/>
          <w:szCs w:val="32"/>
          <w:lang w:val="en-US" w:eastAsia="zh-CN"/>
        </w:rPr>
        <w:t>31.04</w:t>
      </w:r>
      <w:r>
        <w:rPr>
          <w:rFonts w:hint="eastAsia" w:ascii="仿宋_GB2312" w:eastAsia="仿宋_GB2312"/>
          <w:sz w:val="32"/>
          <w:szCs w:val="32"/>
        </w:rPr>
        <w:t>万元。</w:t>
      </w:r>
    </w:p>
    <w:p>
      <w:pPr>
        <w:spacing w:line="600" w:lineRule="exact"/>
        <w:ind w:firstLine="640"/>
        <w:rPr>
          <w:rFonts w:ascii="仿宋_GB2312" w:eastAsia="仿宋_GB2312"/>
          <w:sz w:val="32"/>
          <w:szCs w:val="32"/>
        </w:rPr>
      </w:pPr>
    </w:p>
    <w:p>
      <w:pPr>
        <w:numPr>
          <w:ilvl w:val="0"/>
          <w:numId w:val="5"/>
        </w:numPr>
        <w:spacing w:line="600" w:lineRule="exact"/>
        <w:ind w:firstLine="640"/>
        <w:outlineLvl w:val="1"/>
        <w:rPr>
          <w:rStyle w:val="32"/>
          <w:rFonts w:ascii="黑体" w:hAnsi="黑体" w:eastAsia="黑体"/>
          <w:b w:val="0"/>
        </w:rPr>
      </w:pPr>
      <w:bookmarkStart w:id="39" w:name="_Toc15377219"/>
      <w:bookmarkStart w:id="40" w:name="_Toc15396611"/>
      <w:r>
        <w:rPr>
          <w:rStyle w:val="32"/>
          <w:rFonts w:hint="eastAsia" w:ascii="黑体" w:hAnsi="黑体" w:eastAsia="黑体"/>
          <w:b w:val="0"/>
        </w:rPr>
        <w:t>国有资本经营预算支出决算情况说明</w:t>
      </w:r>
      <w:bookmarkEnd w:id="39"/>
      <w:bookmarkEnd w:id="40"/>
    </w:p>
    <w:p>
      <w:pPr>
        <w:spacing w:line="600" w:lineRule="exact"/>
        <w:ind w:firstLine="64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22年国有资本经营预算财政拨款支出</w:t>
      </w:r>
      <w:r>
        <w:rPr>
          <w:rFonts w:hint="eastAsia" w:ascii="仿宋_GB2312" w:eastAsia="仿宋_GB2312"/>
          <w:sz w:val="32"/>
          <w:szCs w:val="32"/>
          <w:lang w:val="en-US" w:eastAsia="zh-CN"/>
        </w:rPr>
        <w:t>0</w:t>
      </w:r>
      <w:r>
        <w:rPr>
          <w:rFonts w:hint="eastAsia" w:ascii="仿宋_GB2312" w:eastAsia="仿宋_GB2312"/>
          <w:sz w:val="32"/>
          <w:szCs w:val="32"/>
        </w:rPr>
        <w:t>万元。</w:t>
      </w:r>
    </w:p>
    <w:p>
      <w:pPr>
        <w:spacing w:line="580" w:lineRule="exact"/>
        <w:jc w:val="center"/>
        <w:rPr>
          <w:rFonts w:ascii="方正小标宋简体" w:hAnsi="方正小标宋简体" w:eastAsia="方正小标宋简体" w:cs="方正小标宋简体"/>
          <w:sz w:val="44"/>
          <w:szCs w:val="44"/>
        </w:rPr>
      </w:pPr>
    </w:p>
    <w:p>
      <w:pPr>
        <w:numPr>
          <w:ilvl w:val="0"/>
          <w:numId w:val="5"/>
        </w:numPr>
        <w:spacing w:line="600" w:lineRule="exact"/>
        <w:ind w:firstLine="640"/>
        <w:outlineLvl w:val="1"/>
        <w:rPr>
          <w:rStyle w:val="32"/>
          <w:rFonts w:ascii="黑体" w:hAnsi="黑体" w:eastAsia="黑体"/>
          <w:b w:val="0"/>
        </w:rPr>
      </w:pPr>
      <w:bookmarkStart w:id="41" w:name="_Toc15396612"/>
      <w:bookmarkStart w:id="42" w:name="_Toc15377221"/>
      <w:r>
        <w:rPr>
          <w:rStyle w:val="32"/>
          <w:rFonts w:hint="eastAsia" w:ascii="黑体" w:hAnsi="黑体" w:eastAsia="黑体"/>
          <w:b w:val="0"/>
        </w:rPr>
        <w:t>其他重要事项的情况说明</w:t>
      </w:r>
      <w:bookmarkEnd w:id="41"/>
      <w:bookmarkEnd w:id="42"/>
    </w:p>
    <w:p>
      <w:pPr>
        <w:spacing w:line="600" w:lineRule="exact"/>
        <w:ind w:firstLine="643" w:firstLineChars="200"/>
        <w:outlineLvl w:val="2"/>
        <w:rPr>
          <w:rFonts w:ascii="仿宋" w:hAnsi="仿宋" w:eastAsia="仿宋"/>
          <w:sz w:val="32"/>
          <w:szCs w:val="32"/>
        </w:rPr>
      </w:pPr>
      <w:bookmarkStart w:id="43" w:name="_Toc15377222"/>
      <w:r>
        <w:rPr>
          <w:rFonts w:hint="eastAsia" w:ascii="仿宋" w:hAnsi="仿宋" w:eastAsia="仿宋"/>
          <w:b/>
          <w:sz w:val="32"/>
          <w:szCs w:val="32"/>
        </w:rPr>
        <w:t>（一）机关运行经费支出情况</w:t>
      </w:r>
      <w:bookmarkEnd w:id="43"/>
    </w:p>
    <w:p>
      <w:pPr>
        <w:spacing w:line="600" w:lineRule="exact"/>
        <w:ind w:firstLine="640" w:firstLineChars="20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22年，</w:t>
      </w:r>
      <w:r>
        <w:rPr>
          <w:rFonts w:hint="eastAsia" w:ascii="仿宋_GB2312" w:eastAsia="仿宋_GB2312"/>
          <w:sz w:val="32"/>
          <w:szCs w:val="32"/>
          <w:lang w:val="en-US" w:eastAsia="zh-CN"/>
        </w:rPr>
        <w:t>普安镇</w:t>
      </w:r>
      <w:r>
        <w:rPr>
          <w:rFonts w:hint="eastAsia" w:ascii="仿宋_GB2312" w:eastAsia="仿宋_GB2312"/>
          <w:sz w:val="32"/>
          <w:szCs w:val="32"/>
        </w:rPr>
        <w:t>机关运行经费支出</w:t>
      </w:r>
      <w:r>
        <w:rPr>
          <w:rFonts w:hint="eastAsia" w:ascii="仿宋_GB2312" w:eastAsia="仿宋_GB2312"/>
          <w:sz w:val="32"/>
          <w:szCs w:val="32"/>
          <w:lang w:val="en-US" w:eastAsia="zh-CN"/>
        </w:rPr>
        <w:t>189.99</w:t>
      </w:r>
      <w:r>
        <w:rPr>
          <w:rFonts w:hint="eastAsia" w:ascii="仿宋_GB2312" w:eastAsia="仿宋_GB2312"/>
          <w:sz w:val="32"/>
          <w:szCs w:val="32"/>
        </w:rPr>
        <w:t>万元，比</w:t>
      </w:r>
      <w:r>
        <w:rPr>
          <w:rFonts w:ascii="仿宋_GB2312" w:eastAsia="仿宋_GB2312"/>
          <w:sz w:val="32"/>
          <w:szCs w:val="32"/>
        </w:rPr>
        <w:t>20</w:t>
      </w:r>
      <w:r>
        <w:rPr>
          <w:rFonts w:hint="eastAsia" w:ascii="仿宋_GB2312" w:eastAsia="仿宋_GB2312"/>
          <w:sz w:val="32"/>
          <w:szCs w:val="32"/>
        </w:rPr>
        <w:t>21年减少</w:t>
      </w:r>
      <w:r>
        <w:rPr>
          <w:rFonts w:hint="eastAsia" w:ascii="仿宋_GB2312" w:eastAsia="仿宋_GB2312"/>
          <w:sz w:val="32"/>
          <w:szCs w:val="32"/>
          <w:lang w:val="en-US" w:eastAsia="zh-CN"/>
        </w:rPr>
        <w:t>624.72</w:t>
      </w:r>
      <w:r>
        <w:rPr>
          <w:rFonts w:hint="eastAsia" w:ascii="仿宋_GB2312" w:eastAsia="仿宋_GB2312"/>
          <w:sz w:val="32"/>
          <w:szCs w:val="32"/>
        </w:rPr>
        <w:t>万元，下降</w:t>
      </w:r>
      <w:r>
        <w:rPr>
          <w:rFonts w:hint="eastAsia" w:ascii="仿宋_GB2312" w:eastAsia="仿宋_GB2312"/>
          <w:sz w:val="32"/>
          <w:szCs w:val="32"/>
          <w:lang w:val="en-US" w:eastAsia="zh-CN"/>
        </w:rPr>
        <w:t>76.68</w:t>
      </w:r>
      <w:r>
        <w:rPr>
          <w:rFonts w:ascii="仿宋_GB2312" w:eastAsia="仿宋_GB2312"/>
          <w:sz w:val="32"/>
          <w:szCs w:val="32"/>
        </w:rPr>
        <w:t>%</w:t>
      </w:r>
      <w:r>
        <w:rPr>
          <w:rFonts w:hint="eastAsia" w:ascii="仿宋_GB2312" w:eastAsia="仿宋_GB2312"/>
          <w:sz w:val="32"/>
          <w:szCs w:val="32"/>
          <w:lang w:eastAsia="zh-CN"/>
        </w:rPr>
        <w:t>，</w:t>
      </w:r>
      <w:r>
        <w:rPr>
          <w:rFonts w:hint="eastAsia" w:ascii="仿宋_GB2312" w:eastAsia="仿宋_GB2312"/>
          <w:sz w:val="32"/>
          <w:szCs w:val="32"/>
        </w:rPr>
        <w:t>主要原因是压缩一般性支出。</w:t>
      </w:r>
    </w:p>
    <w:p>
      <w:pPr>
        <w:spacing w:line="600" w:lineRule="exact"/>
        <w:ind w:firstLine="643" w:firstLineChars="200"/>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w:t>
      </w:r>
    </w:p>
    <w:p>
      <w:pPr>
        <w:autoSpaceDE w:val="0"/>
        <w:autoSpaceDN w:val="0"/>
        <w:adjustRightInd w:val="0"/>
        <w:spacing w:line="600" w:lineRule="exact"/>
        <w:ind w:firstLine="643" w:firstLineChars="200"/>
        <w:jc w:val="left"/>
        <w:outlineLvl w:val="2"/>
        <w:rPr>
          <w:rFonts w:ascii="仿宋" w:hAnsi="仿宋" w:eastAsia="仿宋"/>
          <w:b/>
          <w:sz w:val="32"/>
          <w:szCs w:val="32"/>
        </w:rPr>
      </w:pPr>
      <w:bookmarkStart w:id="44" w:name="_Toc15377223"/>
      <w:r>
        <w:rPr>
          <w:rFonts w:hint="eastAsia" w:ascii="仿宋" w:hAnsi="仿宋" w:eastAsia="仿宋"/>
          <w:b/>
          <w:sz w:val="32"/>
          <w:szCs w:val="32"/>
        </w:rPr>
        <w:t>（二）政府采购支出情况</w:t>
      </w:r>
      <w:bookmarkEnd w:id="44"/>
    </w:p>
    <w:p>
      <w:pPr>
        <w:spacing w:line="600" w:lineRule="exact"/>
        <w:ind w:firstLine="640" w:firstLineChars="20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22年，</w:t>
      </w:r>
      <w:r>
        <w:rPr>
          <w:rFonts w:hint="eastAsia" w:ascii="仿宋_GB2312" w:eastAsia="仿宋_GB2312"/>
          <w:sz w:val="32"/>
          <w:szCs w:val="32"/>
          <w:lang w:val="en-US" w:eastAsia="zh-CN"/>
        </w:rPr>
        <w:t>普安镇</w:t>
      </w:r>
      <w:r>
        <w:rPr>
          <w:rFonts w:hint="eastAsia" w:ascii="仿宋_GB2312" w:eastAsia="仿宋_GB2312"/>
          <w:sz w:val="32"/>
          <w:szCs w:val="32"/>
        </w:rPr>
        <w:t>政府采购支出总额</w:t>
      </w:r>
      <w:r>
        <w:rPr>
          <w:rFonts w:hint="eastAsia" w:ascii="仿宋_GB2312" w:eastAsia="仿宋_GB2312"/>
          <w:sz w:val="32"/>
          <w:szCs w:val="32"/>
          <w:lang w:val="en-US" w:eastAsia="zh-CN"/>
        </w:rPr>
        <w:t>20</w:t>
      </w:r>
      <w:r>
        <w:rPr>
          <w:rFonts w:hint="eastAsia" w:ascii="仿宋_GB2312" w:eastAsia="仿宋_GB2312"/>
          <w:sz w:val="32"/>
          <w:szCs w:val="32"/>
        </w:rPr>
        <w:t>万元，其中：政府采购货物支出</w:t>
      </w:r>
      <w:r>
        <w:rPr>
          <w:rFonts w:hint="eastAsia" w:ascii="仿宋_GB2312" w:eastAsia="仿宋_GB2312"/>
          <w:sz w:val="32"/>
          <w:szCs w:val="32"/>
          <w:lang w:val="en-US" w:eastAsia="zh-CN"/>
        </w:rPr>
        <w:t>0</w:t>
      </w:r>
      <w:r>
        <w:rPr>
          <w:rFonts w:hint="eastAsia" w:ascii="仿宋_GB2312" w:eastAsia="仿宋_GB2312"/>
          <w:sz w:val="32"/>
          <w:szCs w:val="32"/>
        </w:rPr>
        <w:t>万元、政府采购工程支出</w:t>
      </w:r>
      <w:r>
        <w:rPr>
          <w:rFonts w:hint="eastAsia" w:ascii="仿宋_GB2312" w:eastAsia="仿宋_GB2312"/>
          <w:sz w:val="32"/>
          <w:szCs w:val="32"/>
          <w:lang w:val="en-US" w:eastAsia="zh-CN"/>
        </w:rPr>
        <w:t>20</w:t>
      </w:r>
      <w:r>
        <w:rPr>
          <w:rFonts w:hint="eastAsia" w:ascii="仿宋_GB2312" w:eastAsia="仿宋_GB2312"/>
          <w:sz w:val="32"/>
          <w:szCs w:val="32"/>
        </w:rPr>
        <w:t>万元、政府采购服务支出</w:t>
      </w:r>
      <w:r>
        <w:rPr>
          <w:rFonts w:hint="eastAsia" w:ascii="仿宋_GB2312" w:eastAsia="仿宋_GB2312"/>
          <w:sz w:val="32"/>
          <w:szCs w:val="32"/>
          <w:lang w:val="en-US" w:eastAsia="zh-CN"/>
        </w:rPr>
        <w:t>0</w:t>
      </w:r>
      <w:r>
        <w:rPr>
          <w:rFonts w:hint="eastAsia" w:ascii="仿宋_GB2312" w:eastAsia="仿宋_GB2312"/>
          <w:sz w:val="32"/>
          <w:szCs w:val="32"/>
        </w:rPr>
        <w:t>万元。主要用于2022年东西部协作水池村冬枣园双模钢架温棚项目。授予中小企业合同金额</w:t>
      </w:r>
      <w:r>
        <w:rPr>
          <w:rFonts w:hint="eastAsia" w:ascii="仿宋_GB2312" w:eastAsia="仿宋_GB2312"/>
          <w:sz w:val="32"/>
          <w:szCs w:val="32"/>
          <w:lang w:val="en-US" w:eastAsia="zh-CN"/>
        </w:rPr>
        <w:t>200</w:t>
      </w:r>
      <w:r>
        <w:rPr>
          <w:rFonts w:hint="eastAsia" w:ascii="仿宋_GB2312" w:eastAsia="仿宋_GB2312"/>
          <w:sz w:val="32"/>
          <w:szCs w:val="32"/>
        </w:rPr>
        <w:t>万元，占政府采购支出总额的</w:t>
      </w:r>
      <w:r>
        <w:rPr>
          <w:rFonts w:hint="eastAsia" w:ascii="仿宋_GB2312" w:eastAsia="仿宋_GB2312"/>
          <w:sz w:val="32"/>
          <w:szCs w:val="32"/>
          <w:lang w:val="en-US" w:eastAsia="zh-CN"/>
        </w:rPr>
        <w:t>100</w:t>
      </w:r>
      <w:r>
        <w:rPr>
          <w:rFonts w:ascii="仿宋_GB2312" w:eastAsia="仿宋_GB2312"/>
          <w:sz w:val="32"/>
          <w:szCs w:val="32"/>
        </w:rPr>
        <w:t>%</w:t>
      </w:r>
      <w:r>
        <w:rPr>
          <w:rFonts w:hint="eastAsia" w:ascii="仿宋_GB2312" w:eastAsia="仿宋_GB2312"/>
          <w:sz w:val="32"/>
          <w:szCs w:val="32"/>
        </w:rPr>
        <w:t>，其中：授予小微企业合同金额</w:t>
      </w:r>
      <w:r>
        <w:rPr>
          <w:rFonts w:hint="eastAsia" w:ascii="仿宋_GB2312" w:eastAsia="仿宋_GB2312"/>
          <w:sz w:val="32"/>
          <w:szCs w:val="32"/>
          <w:lang w:val="en-US" w:eastAsia="zh-CN"/>
        </w:rPr>
        <w:t>0</w:t>
      </w:r>
      <w:r>
        <w:rPr>
          <w:rFonts w:hint="eastAsia" w:ascii="仿宋_GB2312" w:eastAsia="仿宋_GB2312"/>
          <w:sz w:val="32"/>
          <w:szCs w:val="32"/>
        </w:rPr>
        <w:t>万元，占政府采购支出总额的</w:t>
      </w:r>
      <w:r>
        <w:rPr>
          <w:rFonts w:hint="eastAsia" w:ascii="仿宋_GB2312" w:eastAsia="仿宋_GB2312"/>
          <w:sz w:val="32"/>
          <w:szCs w:val="32"/>
          <w:lang w:val="en-US" w:eastAsia="zh-CN"/>
        </w:rPr>
        <w:t>0</w:t>
      </w:r>
      <w:r>
        <w:rPr>
          <w:rFonts w:ascii="仿宋_GB2312" w:eastAsia="仿宋_GB2312"/>
          <w:sz w:val="32"/>
          <w:szCs w:val="32"/>
        </w:rPr>
        <w:t>%</w:t>
      </w:r>
      <w:r>
        <w:rPr>
          <w:rFonts w:hint="eastAsia" w:ascii="仿宋_GB2312" w:eastAsia="仿宋_GB2312"/>
          <w:sz w:val="32"/>
          <w:szCs w:val="32"/>
        </w:rPr>
        <w:t>。</w:t>
      </w:r>
    </w:p>
    <w:p>
      <w:pPr>
        <w:spacing w:line="600" w:lineRule="exact"/>
        <w:ind w:firstLine="643" w:firstLineChars="200"/>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w:t>
      </w:r>
    </w:p>
    <w:p>
      <w:pPr>
        <w:autoSpaceDE w:val="0"/>
        <w:autoSpaceDN w:val="0"/>
        <w:adjustRightInd w:val="0"/>
        <w:spacing w:line="600" w:lineRule="exact"/>
        <w:ind w:firstLine="643" w:firstLineChars="200"/>
        <w:jc w:val="left"/>
        <w:outlineLvl w:val="2"/>
        <w:rPr>
          <w:rFonts w:ascii="仿宋" w:hAnsi="仿宋" w:eastAsia="仿宋"/>
          <w:b/>
          <w:sz w:val="32"/>
          <w:szCs w:val="32"/>
        </w:rPr>
      </w:pPr>
      <w:bookmarkStart w:id="45" w:name="_Toc15377224"/>
      <w:r>
        <w:rPr>
          <w:rFonts w:hint="eastAsia" w:ascii="仿宋" w:hAnsi="仿宋" w:eastAsia="仿宋"/>
          <w:b/>
          <w:sz w:val="32"/>
          <w:szCs w:val="32"/>
        </w:rPr>
        <w:t>（三）国有资产占有使用情况</w:t>
      </w:r>
      <w:bookmarkEnd w:id="45"/>
    </w:p>
    <w:p>
      <w:pPr>
        <w:autoSpaceDE w:val="0"/>
        <w:autoSpaceDN w:val="0"/>
        <w:adjustRightInd w:val="0"/>
        <w:spacing w:line="600" w:lineRule="exact"/>
        <w:ind w:firstLine="640" w:firstLineChars="200"/>
        <w:jc w:val="left"/>
        <w:rPr>
          <w:rFonts w:ascii="仿宋_GB2312" w:eastAsia="仿宋_GB2312"/>
          <w:sz w:val="32"/>
          <w:szCs w:val="32"/>
        </w:rPr>
      </w:pPr>
      <w:r>
        <w:rPr>
          <w:rFonts w:hint="eastAsia" w:ascii="仿宋_GB2312" w:eastAsia="仿宋_GB2312"/>
          <w:sz w:val="32"/>
          <w:szCs w:val="32"/>
        </w:rPr>
        <w:t>截至</w:t>
      </w:r>
      <w:r>
        <w:rPr>
          <w:rFonts w:ascii="仿宋_GB2312" w:eastAsia="仿宋_GB2312"/>
          <w:sz w:val="32"/>
          <w:szCs w:val="32"/>
        </w:rPr>
        <w:t>20</w:t>
      </w:r>
      <w:r>
        <w:rPr>
          <w:rFonts w:hint="eastAsia" w:ascii="仿宋_GB2312" w:eastAsia="仿宋_GB2312"/>
          <w:sz w:val="32"/>
          <w:szCs w:val="32"/>
        </w:rPr>
        <w:t>22年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w:t>
      </w:r>
      <w:r>
        <w:rPr>
          <w:rFonts w:hint="eastAsia" w:ascii="仿宋_GB2312" w:eastAsia="仿宋_GB2312"/>
          <w:sz w:val="32"/>
          <w:szCs w:val="32"/>
          <w:lang w:val="en-US" w:eastAsia="zh-CN"/>
        </w:rPr>
        <w:t>普安镇</w:t>
      </w:r>
      <w:r>
        <w:rPr>
          <w:rFonts w:hint="eastAsia" w:ascii="仿宋_GB2312" w:eastAsia="仿宋_GB2312"/>
          <w:sz w:val="32"/>
          <w:szCs w:val="32"/>
        </w:rPr>
        <w:t>共有车辆</w:t>
      </w:r>
      <w:r>
        <w:rPr>
          <w:rFonts w:hint="eastAsia" w:ascii="仿宋_GB2312" w:eastAsia="仿宋_GB2312"/>
          <w:sz w:val="32"/>
          <w:szCs w:val="32"/>
          <w:lang w:val="en-US" w:eastAsia="zh-CN"/>
        </w:rPr>
        <w:t>1</w:t>
      </w:r>
      <w:r>
        <w:rPr>
          <w:rFonts w:hint="eastAsia" w:ascii="仿宋_GB2312" w:eastAsia="仿宋_GB2312"/>
          <w:sz w:val="32"/>
          <w:szCs w:val="32"/>
        </w:rPr>
        <w:t>辆，其中：主要领导干部用车</w:t>
      </w:r>
      <w:r>
        <w:rPr>
          <w:rFonts w:hint="eastAsia" w:ascii="仿宋_GB2312" w:eastAsia="仿宋_GB2312"/>
          <w:sz w:val="32"/>
          <w:szCs w:val="32"/>
          <w:lang w:val="en-US" w:eastAsia="zh-CN"/>
        </w:rPr>
        <w:t>1</w:t>
      </w:r>
      <w:r>
        <w:rPr>
          <w:rFonts w:hint="eastAsia" w:ascii="仿宋_GB2312" w:eastAsia="仿宋_GB2312"/>
          <w:sz w:val="32"/>
          <w:szCs w:val="32"/>
        </w:rPr>
        <w:t>辆、机要通信用车</w:t>
      </w:r>
      <w:r>
        <w:rPr>
          <w:rFonts w:hint="eastAsia" w:ascii="仿宋_GB2312" w:eastAsia="仿宋_GB2312"/>
          <w:sz w:val="32"/>
          <w:szCs w:val="32"/>
          <w:lang w:val="en-US" w:eastAsia="zh-CN"/>
        </w:rPr>
        <w:t>0</w:t>
      </w:r>
      <w:r>
        <w:rPr>
          <w:rFonts w:hint="eastAsia" w:ascii="仿宋_GB2312" w:eastAsia="仿宋_GB2312"/>
          <w:sz w:val="32"/>
          <w:szCs w:val="32"/>
        </w:rPr>
        <w:t>辆、应急保障用车</w:t>
      </w:r>
      <w:r>
        <w:rPr>
          <w:rFonts w:hint="eastAsia" w:ascii="仿宋_GB2312" w:eastAsia="仿宋_GB2312"/>
          <w:sz w:val="32"/>
          <w:szCs w:val="32"/>
          <w:lang w:val="en-US" w:eastAsia="zh-CN"/>
        </w:rPr>
        <w:t>0</w:t>
      </w:r>
      <w:r>
        <w:rPr>
          <w:rFonts w:hint="eastAsia" w:ascii="仿宋_GB2312" w:eastAsia="仿宋_GB2312"/>
          <w:sz w:val="32"/>
          <w:szCs w:val="32"/>
        </w:rPr>
        <w:t>辆、其他用车</w:t>
      </w:r>
      <w:r>
        <w:rPr>
          <w:rFonts w:hint="eastAsia" w:ascii="仿宋_GB2312" w:eastAsia="仿宋_GB2312"/>
          <w:sz w:val="32"/>
          <w:szCs w:val="32"/>
          <w:lang w:val="en-US" w:eastAsia="zh-CN"/>
        </w:rPr>
        <w:t>0</w:t>
      </w:r>
      <w:r>
        <w:rPr>
          <w:rFonts w:hint="eastAsia" w:ascii="仿宋_GB2312" w:eastAsia="仿宋_GB2312"/>
          <w:sz w:val="32"/>
          <w:szCs w:val="32"/>
        </w:rPr>
        <w:t>辆</w:t>
      </w:r>
      <w:r>
        <w:rPr>
          <w:rFonts w:hint="eastAsia" w:ascii="仿宋_GB2312" w:eastAsia="仿宋_GB2312"/>
          <w:sz w:val="32"/>
          <w:szCs w:val="32"/>
          <w:lang w:eastAsia="zh-CN"/>
        </w:rPr>
        <w:t>，</w:t>
      </w:r>
      <w:r>
        <w:rPr>
          <w:rFonts w:hint="eastAsia" w:ascii="仿宋_GB2312" w:eastAsia="仿宋_GB2312"/>
          <w:sz w:val="32"/>
          <w:szCs w:val="32"/>
        </w:rPr>
        <w:t>单价</w:t>
      </w:r>
      <w:r>
        <w:rPr>
          <w:rFonts w:ascii="仿宋_GB2312" w:eastAsia="仿宋_GB2312"/>
          <w:sz w:val="32"/>
          <w:szCs w:val="32"/>
        </w:rPr>
        <w:t>100</w:t>
      </w:r>
      <w:r>
        <w:rPr>
          <w:rFonts w:hint="eastAsia" w:ascii="仿宋_GB2312" w:eastAsia="仿宋_GB2312"/>
          <w:sz w:val="32"/>
          <w:szCs w:val="32"/>
        </w:rPr>
        <w:t>万元以上专用设备</w:t>
      </w:r>
      <w:r>
        <w:rPr>
          <w:rFonts w:hint="eastAsia" w:ascii="仿宋_GB2312" w:eastAsia="仿宋_GB2312"/>
          <w:sz w:val="32"/>
          <w:szCs w:val="32"/>
          <w:lang w:val="en-US" w:eastAsia="zh-CN"/>
        </w:rPr>
        <w:t>0</w:t>
      </w:r>
      <w:r>
        <w:rPr>
          <w:rFonts w:hint="eastAsia" w:ascii="仿宋_GB2312" w:eastAsia="仿宋_GB2312"/>
          <w:sz w:val="32"/>
          <w:szCs w:val="32"/>
        </w:rPr>
        <w:t>台（套）。</w:t>
      </w:r>
    </w:p>
    <w:p>
      <w:pPr>
        <w:autoSpaceDE w:val="0"/>
        <w:autoSpaceDN w:val="0"/>
        <w:adjustRightInd w:val="0"/>
        <w:spacing w:line="600" w:lineRule="exact"/>
        <w:ind w:firstLine="643" w:firstLineChars="200"/>
        <w:jc w:val="left"/>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表，按部门决算报表填报数据罗列车辆情况。）</w:t>
      </w:r>
    </w:p>
    <w:p>
      <w:pPr>
        <w:autoSpaceDE w:val="0"/>
        <w:autoSpaceDN w:val="0"/>
        <w:adjustRightInd w:val="0"/>
        <w:spacing w:line="600"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（四）预算绩效管理情况</w:t>
      </w:r>
    </w:p>
    <w:p>
      <w:pPr>
        <w:spacing w:line="580" w:lineRule="exact"/>
        <w:ind w:firstLine="640" w:firstLineChars="200"/>
        <w:rPr>
          <w:rFonts w:ascii="仿宋_GB2312" w:hAnsi="仿宋_GB2312" w:eastAsia="仿宋_GB2312" w:cs="仿宋_GB2312"/>
          <w:sz w:val="32"/>
          <w:szCs w:val="32"/>
        </w:rPr>
      </w:pPr>
      <w:bookmarkStart w:id="46" w:name="_Toc15396613"/>
      <w:bookmarkStart w:id="47" w:name="_Toc15377225"/>
      <w:r>
        <w:rPr>
          <w:rFonts w:hint="eastAsia" w:ascii="仿宋_GB2312" w:hAnsi="仿宋_GB2312" w:eastAsia="仿宋_GB2312" w:cs="仿宋_GB2312"/>
          <w:sz w:val="32"/>
          <w:szCs w:val="32"/>
        </w:rPr>
        <w:t>根据预算绩效管理要求，本</w:t>
      </w:r>
      <w:r>
        <w:rPr>
          <w:rFonts w:hint="eastAsia" w:ascii="仿宋_GB2312" w:hAnsi="仿宋_GB2312" w:eastAsia="仿宋_GB2312" w:cs="仿宋_GB2312"/>
          <w:sz w:val="32"/>
          <w:szCs w:val="32"/>
          <w:lang w:val="en-US" w:eastAsia="zh-CN"/>
        </w:rPr>
        <w:t>部门</w:t>
      </w:r>
      <w:r>
        <w:rPr>
          <w:rFonts w:hint="eastAsia" w:ascii="仿宋_GB2312" w:hAnsi="仿宋_GB2312" w:eastAsia="仿宋_GB2312" w:cs="仿宋_GB2312"/>
          <w:sz w:val="32"/>
          <w:szCs w:val="32"/>
        </w:rPr>
        <w:t>在年初预算编制阶段，组织对</w:t>
      </w:r>
      <w:r>
        <w:rPr>
          <w:rFonts w:hint="eastAsia" w:ascii="仿宋_GB2312" w:hAnsi="仿宋_GB2312" w:eastAsia="仿宋_GB2312" w:cs="仿宋_GB2312"/>
          <w:sz w:val="32"/>
          <w:szCs w:val="32"/>
          <w:lang w:val="en-US" w:eastAsia="zh-CN"/>
        </w:rPr>
        <w:t>城区交通整治等</w:t>
      </w:r>
      <w:r>
        <w:rPr>
          <w:rFonts w:hint="eastAsia" w:ascii="仿宋_GB2312" w:hAnsi="仿宋_GB2312" w:eastAsia="仿宋_GB2312" w:cs="仿宋_GB2312"/>
          <w:sz w:val="32"/>
          <w:szCs w:val="32"/>
        </w:rPr>
        <w:t>项目开展了预算事前绩效评估，对</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个项目编制了绩效目标，预算执行过程中，选取</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个项目开展绩效监控，年终执行完毕后，对</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个项目开展了绩效目标完成情况梳理填报。同时，本部门对202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年部门整体开展绩效自评，《202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普安</w:t>
      </w:r>
      <w:r>
        <w:rPr>
          <w:rFonts w:hint="eastAsia" w:ascii="仿宋_GB2312" w:hAnsi="仿宋_GB2312" w:eastAsia="仿宋_GB2312" w:cs="仿宋_GB2312"/>
          <w:sz w:val="32"/>
          <w:szCs w:val="32"/>
        </w:rPr>
        <w:t>部门整体绩效评价报告》见附件（第四部分）。</w:t>
      </w:r>
    </w:p>
    <w:p>
      <w:pPr>
        <w:numPr>
          <w:ilvl w:val="0"/>
          <w:numId w:val="6"/>
        </w:numPr>
        <w:spacing w:line="600" w:lineRule="exact"/>
        <w:ind w:firstLine="660" w:firstLineChars="150"/>
        <w:jc w:val="center"/>
        <w:outlineLvl w:val="0"/>
        <w:rPr>
          <w:rStyle w:val="31"/>
          <w:rFonts w:ascii="黑体" w:hAnsi="黑体" w:eastAsia="黑体"/>
          <w:b w:val="0"/>
        </w:rPr>
      </w:pPr>
      <w:r>
        <w:rPr>
          <w:rFonts w:hint="eastAsia" w:ascii="黑体" w:hAnsi="黑体" w:eastAsia="黑体"/>
          <w:sz w:val="44"/>
          <w:szCs w:val="44"/>
        </w:rPr>
        <w:t>名</w:t>
      </w:r>
      <w:r>
        <w:rPr>
          <w:rStyle w:val="31"/>
          <w:rFonts w:hint="eastAsia" w:ascii="黑体" w:hAnsi="黑体" w:eastAsia="黑体"/>
          <w:b w:val="0"/>
        </w:rPr>
        <w:t>词解释</w:t>
      </w:r>
      <w:bookmarkEnd w:id="46"/>
      <w:bookmarkEnd w:id="47"/>
    </w:p>
    <w:p>
      <w:pPr>
        <w:spacing w:line="600" w:lineRule="exact"/>
        <w:jc w:val="left"/>
        <w:rPr>
          <w:rFonts w:ascii="宋体"/>
          <w:b/>
          <w:sz w:val="44"/>
          <w:szCs w:val="44"/>
        </w:rPr>
      </w:pPr>
    </w:p>
    <w:p>
      <w:pPr>
        <w:pStyle w:val="8"/>
        <w:numPr>
          <w:ilvl w:val="0"/>
          <w:numId w:val="0"/>
        </w:numPr>
        <w:ind w:firstLine="640" w:firstLineChars="200"/>
        <w:rPr>
          <w:rFonts w:hint="default"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（一）一般公共预算拨款收入：指县级财政当年拨付的资金。</w:t>
      </w:r>
    </w:p>
    <w:p>
      <w:pPr>
        <w:pStyle w:val="8"/>
        <w:numPr>
          <w:ilvl w:val="0"/>
          <w:numId w:val="0"/>
        </w:numPr>
        <w:ind w:firstLine="640" w:firstLineChars="200"/>
        <w:rPr>
          <w:rFonts w:hint="default"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（二）上年结转：指以前年度尚未完成，结转到本年仍按原规定用途继续使用的资金。</w:t>
      </w:r>
    </w:p>
    <w:p>
      <w:pPr>
        <w:pStyle w:val="8"/>
        <w:numPr>
          <w:ilvl w:val="0"/>
          <w:numId w:val="0"/>
        </w:numPr>
        <w:ind w:firstLine="640" w:firstLineChars="200"/>
        <w:rPr>
          <w:rFonts w:hint="default"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（三）</w:t>
      </w:r>
      <w:r>
        <w:rPr>
          <w:rFonts w:hint="eastAsia" w:ascii="仿宋_GB2312" w:hAnsi="仿宋_GB2312" w:cs="仿宋_GB2312"/>
          <w:b w:val="0"/>
          <w:bCs/>
          <w:sz w:val="32"/>
          <w:szCs w:val="32"/>
          <w:lang w:val="en-US" w:eastAsia="zh-CN"/>
        </w:rPr>
        <w:t>一般公共服务</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）人大事务</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人大会议</w:t>
      </w:r>
      <w:r>
        <w:rPr>
          <w:rFonts w:hint="default" w:ascii="仿宋_GB2312" w:hAnsi="仿宋_GB2312" w:cs="仿宋_GB2312"/>
          <w:b w:val="0"/>
          <w:bCs/>
          <w:sz w:val="32"/>
          <w:szCs w:val="32"/>
          <w:lang w:val="en-US" w:eastAsia="zh-CN"/>
        </w:rPr>
        <w:t>（项）：指</w:t>
      </w:r>
      <w:r>
        <w:rPr>
          <w:rFonts w:hint="eastAsia" w:ascii="仿宋_GB2312" w:hAnsi="仿宋_GB2312" w:cs="仿宋_GB2312"/>
          <w:b w:val="0"/>
          <w:bCs/>
          <w:sz w:val="32"/>
          <w:szCs w:val="32"/>
          <w:lang w:val="en-US" w:eastAsia="zh-CN"/>
        </w:rPr>
        <w:t>反映各级人大召开人民代表大会等专门会议的支出</w:t>
      </w:r>
      <w:r>
        <w:rPr>
          <w:rFonts w:hint="default" w:ascii="仿宋_GB2312" w:hAnsi="仿宋_GB2312" w:cs="仿宋_GB2312"/>
          <w:b w:val="0"/>
          <w:bCs/>
          <w:sz w:val="32"/>
          <w:szCs w:val="32"/>
          <w:lang w:val="en-US" w:eastAsia="zh-CN"/>
        </w:rPr>
        <w:t>。</w:t>
      </w:r>
    </w:p>
    <w:p>
      <w:pPr>
        <w:pStyle w:val="8"/>
        <w:numPr>
          <w:ilvl w:val="0"/>
          <w:numId w:val="0"/>
        </w:numPr>
        <w:ind w:firstLine="640" w:firstLineChars="200"/>
        <w:rPr>
          <w:rFonts w:hint="default"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（四）</w:t>
      </w:r>
      <w:r>
        <w:rPr>
          <w:rFonts w:hint="eastAsia" w:ascii="仿宋_GB2312" w:hAnsi="仿宋_GB2312" w:cs="仿宋_GB2312"/>
          <w:b w:val="0"/>
          <w:bCs/>
          <w:sz w:val="32"/>
          <w:szCs w:val="32"/>
          <w:lang w:val="en-US" w:eastAsia="zh-CN"/>
        </w:rPr>
        <w:t>一般公共服务</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）人大事务</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代表工作</w:t>
      </w:r>
      <w:r>
        <w:rPr>
          <w:rFonts w:hint="default" w:ascii="仿宋_GB2312" w:hAnsi="仿宋_GB2312" w:cs="仿宋_GB2312"/>
          <w:b w:val="0"/>
          <w:bCs/>
          <w:sz w:val="32"/>
          <w:szCs w:val="32"/>
          <w:lang w:val="en-US" w:eastAsia="zh-CN"/>
        </w:rPr>
        <w:t>（项）：指</w:t>
      </w:r>
      <w:r>
        <w:rPr>
          <w:rFonts w:hint="eastAsia" w:ascii="仿宋_GB2312" w:hAnsi="仿宋_GB2312" w:cs="仿宋_GB2312"/>
          <w:b w:val="0"/>
          <w:bCs/>
          <w:sz w:val="32"/>
          <w:szCs w:val="32"/>
          <w:lang w:val="en-US" w:eastAsia="zh-CN"/>
        </w:rPr>
        <w:t>反映人大代表开展各类视察等方面的支出</w:t>
      </w:r>
      <w:r>
        <w:rPr>
          <w:rFonts w:hint="default" w:ascii="仿宋_GB2312" w:hAnsi="仿宋_GB2312" w:cs="仿宋_GB2312"/>
          <w:b w:val="0"/>
          <w:bCs/>
          <w:sz w:val="32"/>
          <w:szCs w:val="32"/>
          <w:lang w:val="en-US" w:eastAsia="zh-CN"/>
        </w:rPr>
        <w:t>。</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五</w:t>
      </w: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一般公共服务</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）人大事务</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其他人大事务</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指除上述项目以外的其他人大事务支出。</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六</w:t>
      </w: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一般公共服务</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）政府办公厅（室）及相关机构事务</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行政运行</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指反映行政单位（包括实行公务员管理的事业单位）的基本支出。</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七</w:t>
      </w: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一般公共服务</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）政府办公厅（室）及相关机构事务</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一般行政管理事务</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指反映行政单位（包括实行公务员管理的事业单位）未单独设置项级科目的其他项目支出。</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八</w:t>
      </w: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一般公共服务</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）政府办公厅（室）及相关机构事务</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信访事务</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指反映各级政府用于接待群众来信来访方面的支出。</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九</w:t>
      </w: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一般公共服务</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）政府办公厅（室）及相关机构事务</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事业运行</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指反映事业单位的基本支出，不包括行政单位（包括实行公务员管理的事业单位）后勤服务中心、医务室等附属事业单位。</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十</w:t>
      </w: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一般公共服务</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）财政事务</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一般行政管理事务</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指反映行政单位（包括实行公务员管理的事业单位）未单独设置项级科目的其他项目支出。</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十一</w:t>
      </w: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一般公共服务</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）纪检监察事务</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一般行政管理事务</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指反映行政单位（包括实行公务员管理的事业单位）未单独设置项级科目的其他项目支出。</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十二</w:t>
      </w: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一般公共服务</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）纪检监察事务</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派驻派出机构</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指反映由纪检监察部门负担的派驻各部门和单位的纪检监察人员的专项业务支出。</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十三</w:t>
      </w: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一般公共服务</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）群众团体事务</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其他群众团体事务</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指反映除上述项目以外其他用于群众团体事务方面的支出。</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十四</w:t>
      </w: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一般公共服务</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）党委办公厅（室）及相关机构事务</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一般行政管理事务</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指反映行政单位（包括实行公务员管理的事业单位）未单独设置项级科目的其他项目支出。</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十五</w:t>
      </w: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一般公共服务</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）组织事务</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其他组织事务</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指反映除上述项目以外其他用于中国共产党组织部门的事务支出。</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十六</w:t>
      </w: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一般公共服务</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）宣传事务</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其他宣传事务</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指反映除上述项目以外其他用于中国共产党宣传部门的事务支出。</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十七</w:t>
      </w: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国防</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）国防动员</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兵役征集</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指反映用于兵役征集等方面的支出。</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十八</w:t>
      </w: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公共安全</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）强制隔离戒毒</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其他强制隔离戒毒</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指反映强制隔离戒毒管理部门及强制隔离戒毒所发生的强制隔离戒毒人员调遣费、突发事件处置费、安全保卫费、警察服装费、宣传及奖励费、技术辅导人员及关键要害岗位人员补助费等支出。</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十九</w:t>
      </w: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文化旅游体育与传媒</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）文化和旅游</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群众文化</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指反映群众文化方面的支出，包括基层文化馆（站）、群众艺术馆支出等。</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二十</w:t>
      </w: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文化旅游体育与传媒</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）文化和旅游</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文化和旅游管理事务</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指反映文化和旅游管理事务支出。</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二十一</w:t>
      </w:r>
      <w:r>
        <w:rPr>
          <w:rFonts w:hint="default" w:ascii="仿宋_GB2312" w:hAnsi="仿宋_GB2312" w:cs="仿宋_GB2312"/>
          <w:b w:val="0"/>
          <w:bCs/>
          <w:sz w:val="32"/>
          <w:szCs w:val="32"/>
          <w:lang w:val="en-US" w:eastAsia="zh-CN"/>
        </w:rPr>
        <w:t>）社会保障和就业（类</w:t>
      </w:r>
      <w:r>
        <w:rPr>
          <w:rFonts w:hint="eastAsia" w:ascii="仿宋_GB2312" w:hAnsi="仿宋_GB2312" w:cs="仿宋_GB2312"/>
          <w:b w:val="0"/>
          <w:bCs/>
          <w:sz w:val="32"/>
          <w:szCs w:val="32"/>
          <w:lang w:val="en-US" w:eastAsia="zh-CN"/>
        </w:rPr>
        <w:t>）民政管理事务</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基层政权建设和社区治理</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指反映开展城乡社区治理、城乡社区服务（乡村便民服务）、村（居）民自治、村（居）务公开、乡镇（街道）服务能力建设等基层政权建设和社区治理工作的支出。</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二十一</w:t>
      </w:r>
      <w:r>
        <w:rPr>
          <w:rFonts w:hint="default" w:ascii="仿宋_GB2312" w:hAnsi="仿宋_GB2312" w:cs="仿宋_GB2312"/>
          <w:b w:val="0"/>
          <w:bCs/>
          <w:sz w:val="32"/>
          <w:szCs w:val="32"/>
          <w:lang w:val="en-US" w:eastAsia="zh-CN"/>
        </w:rPr>
        <w:t>）社会保障和就业（类</w:t>
      </w:r>
      <w:r>
        <w:rPr>
          <w:rFonts w:hint="eastAsia" w:ascii="仿宋_GB2312" w:hAnsi="仿宋_GB2312" w:cs="仿宋_GB2312"/>
          <w:b w:val="0"/>
          <w:bCs/>
          <w:sz w:val="32"/>
          <w:szCs w:val="32"/>
          <w:lang w:val="en-US" w:eastAsia="zh-CN"/>
        </w:rPr>
        <w:t>）</w:t>
      </w:r>
      <w:r>
        <w:rPr>
          <w:rFonts w:hint="default" w:ascii="仿宋_GB2312" w:hAnsi="仿宋_GB2312" w:cs="仿宋_GB2312"/>
          <w:b w:val="0"/>
          <w:bCs/>
          <w:sz w:val="32"/>
          <w:szCs w:val="32"/>
          <w:lang w:val="en-US" w:eastAsia="zh-CN"/>
        </w:rPr>
        <w:t>行政事业单位离退休（款）行政事业单位离退休</w:t>
      </w:r>
      <w:r>
        <w:rPr>
          <w:rFonts w:hint="eastAsia" w:ascii="仿宋_GB2312" w:hAnsi="仿宋_GB2312" w:cs="仿宋_GB2312"/>
          <w:b w:val="0"/>
          <w:bCs/>
          <w:sz w:val="32"/>
          <w:szCs w:val="32"/>
          <w:lang w:val="en-US" w:eastAsia="zh-CN"/>
        </w:rPr>
        <w:t xml:space="preserve"> </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指反映行政单位（包括实行公务员管理的事业单位）开支的离退休经费。</w:t>
      </w:r>
    </w:p>
    <w:p>
      <w:pPr>
        <w:pStyle w:val="8"/>
        <w:numPr>
          <w:ilvl w:val="0"/>
          <w:numId w:val="0"/>
        </w:numPr>
        <w:ind w:firstLine="640" w:firstLineChars="200"/>
        <w:rPr>
          <w:rFonts w:hint="default"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二</w:t>
      </w:r>
      <w:r>
        <w:rPr>
          <w:rFonts w:hint="default" w:ascii="仿宋_GB2312" w:hAnsi="仿宋_GB2312" w:cs="仿宋_GB2312"/>
          <w:b w:val="0"/>
          <w:bCs/>
          <w:sz w:val="32"/>
          <w:szCs w:val="32"/>
          <w:lang w:val="en-US" w:eastAsia="zh-CN"/>
        </w:rPr>
        <w:t>十二）社会保障和就业（类）行政事业单位离退休（款）机关事业单位基本养老保险缴费支出（项）：指部门实施养老保险制度由单位缴纳的养老保险费的支出。</w:t>
      </w:r>
    </w:p>
    <w:p>
      <w:pPr>
        <w:pStyle w:val="8"/>
        <w:numPr>
          <w:ilvl w:val="0"/>
          <w:numId w:val="0"/>
        </w:numPr>
        <w:ind w:firstLine="640" w:firstLineChars="200"/>
        <w:rPr>
          <w:rFonts w:hint="default"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二</w:t>
      </w:r>
      <w:r>
        <w:rPr>
          <w:rFonts w:hint="default" w:ascii="仿宋_GB2312" w:hAnsi="仿宋_GB2312" w:cs="仿宋_GB2312"/>
          <w:b w:val="0"/>
          <w:bCs/>
          <w:sz w:val="32"/>
          <w:szCs w:val="32"/>
          <w:lang w:val="en-US" w:eastAsia="zh-CN"/>
        </w:rPr>
        <w:t>十三）社会保障和就业（类）</w:t>
      </w:r>
      <w:r>
        <w:rPr>
          <w:rFonts w:hint="eastAsia" w:ascii="仿宋_GB2312" w:hAnsi="仿宋_GB2312" w:cs="仿宋_GB2312"/>
          <w:b w:val="0"/>
          <w:bCs/>
          <w:sz w:val="32"/>
          <w:szCs w:val="32"/>
          <w:lang w:val="en-US" w:eastAsia="zh-CN"/>
        </w:rPr>
        <w:t>抚恤</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义务兵优待</w:t>
      </w:r>
      <w:r>
        <w:rPr>
          <w:rFonts w:hint="default" w:ascii="仿宋_GB2312" w:hAnsi="仿宋_GB2312" w:cs="仿宋_GB2312"/>
          <w:b w:val="0"/>
          <w:bCs/>
          <w:sz w:val="32"/>
          <w:szCs w:val="32"/>
          <w:lang w:val="en-US" w:eastAsia="zh-CN"/>
        </w:rPr>
        <w:t>（项）：指</w:t>
      </w:r>
      <w:r>
        <w:rPr>
          <w:rFonts w:hint="eastAsia" w:ascii="仿宋_GB2312" w:hAnsi="仿宋_GB2312" w:cs="仿宋_GB2312"/>
          <w:b w:val="0"/>
          <w:bCs/>
          <w:sz w:val="32"/>
          <w:szCs w:val="32"/>
          <w:lang w:val="en-US" w:eastAsia="zh-CN"/>
        </w:rPr>
        <w:t>反映用于义务兵优待方面的支出</w:t>
      </w:r>
      <w:r>
        <w:rPr>
          <w:rFonts w:hint="default" w:ascii="仿宋_GB2312" w:hAnsi="仿宋_GB2312" w:cs="仿宋_GB2312"/>
          <w:b w:val="0"/>
          <w:bCs/>
          <w:sz w:val="32"/>
          <w:szCs w:val="32"/>
          <w:lang w:val="en-US" w:eastAsia="zh-CN"/>
        </w:rPr>
        <w:t>。</w:t>
      </w:r>
    </w:p>
    <w:p>
      <w:pPr>
        <w:pStyle w:val="8"/>
        <w:numPr>
          <w:ilvl w:val="0"/>
          <w:numId w:val="0"/>
        </w:numPr>
        <w:ind w:firstLine="640" w:firstLineChars="200"/>
        <w:rPr>
          <w:rFonts w:hint="default"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二</w:t>
      </w:r>
      <w:r>
        <w:rPr>
          <w:rFonts w:hint="default" w:ascii="仿宋_GB2312" w:hAnsi="仿宋_GB2312" w:cs="仿宋_GB2312"/>
          <w:b w:val="0"/>
          <w:bCs/>
          <w:sz w:val="32"/>
          <w:szCs w:val="32"/>
          <w:lang w:val="en-US" w:eastAsia="zh-CN"/>
        </w:rPr>
        <w:t>十四）</w:t>
      </w:r>
      <w:r>
        <w:rPr>
          <w:rFonts w:hint="eastAsia" w:ascii="仿宋_GB2312" w:hAnsi="仿宋_GB2312" w:cs="仿宋_GB2312"/>
          <w:b w:val="0"/>
          <w:bCs/>
          <w:sz w:val="32"/>
          <w:szCs w:val="32"/>
          <w:lang w:val="en-US" w:eastAsia="zh-CN"/>
        </w:rPr>
        <w:t>卫生健康</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公共卫生</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重大公共卫生服务</w:t>
      </w:r>
      <w:r>
        <w:rPr>
          <w:rFonts w:hint="default" w:ascii="仿宋_GB2312" w:hAnsi="仿宋_GB2312" w:cs="仿宋_GB2312"/>
          <w:b w:val="0"/>
          <w:bCs/>
          <w:sz w:val="32"/>
          <w:szCs w:val="32"/>
          <w:lang w:val="en-US" w:eastAsia="zh-CN"/>
        </w:rPr>
        <w:t>（项）：指</w:t>
      </w:r>
      <w:r>
        <w:rPr>
          <w:rFonts w:hint="eastAsia" w:ascii="仿宋_GB2312" w:hAnsi="仿宋_GB2312" w:cs="仿宋_GB2312"/>
          <w:b w:val="0"/>
          <w:bCs/>
          <w:sz w:val="32"/>
          <w:szCs w:val="32"/>
          <w:lang w:val="en-US" w:eastAsia="zh-CN"/>
        </w:rPr>
        <w:t>反映重大疾病、重大传染病预防控制等重大公共卫生服务项目支出</w:t>
      </w:r>
      <w:r>
        <w:rPr>
          <w:rFonts w:hint="default" w:ascii="仿宋_GB2312" w:hAnsi="仿宋_GB2312" w:cs="仿宋_GB2312"/>
          <w:b w:val="0"/>
          <w:bCs/>
          <w:sz w:val="32"/>
          <w:szCs w:val="32"/>
          <w:lang w:val="en-US" w:eastAsia="zh-CN"/>
        </w:rPr>
        <w:t>。</w:t>
      </w:r>
    </w:p>
    <w:p>
      <w:pPr>
        <w:pStyle w:val="8"/>
        <w:numPr>
          <w:ilvl w:val="0"/>
          <w:numId w:val="0"/>
        </w:numPr>
        <w:ind w:firstLine="640" w:firstLineChars="200"/>
        <w:rPr>
          <w:rFonts w:hint="default"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二</w:t>
      </w:r>
      <w:r>
        <w:rPr>
          <w:rFonts w:hint="default" w:ascii="仿宋_GB2312" w:hAnsi="仿宋_GB2312" w:cs="仿宋_GB2312"/>
          <w:b w:val="0"/>
          <w:bCs/>
          <w:sz w:val="32"/>
          <w:szCs w:val="32"/>
          <w:lang w:val="en-US" w:eastAsia="zh-CN"/>
        </w:rPr>
        <w:t>十五）卫生健康（类）行政事业单位医疗（款）行政单位医疗（项）：指局机关及参公管理事业单位用于缴纳单位基本医疗保险支出。</w:t>
      </w:r>
    </w:p>
    <w:p>
      <w:pPr>
        <w:pStyle w:val="8"/>
        <w:numPr>
          <w:ilvl w:val="0"/>
          <w:numId w:val="0"/>
        </w:numPr>
        <w:ind w:firstLine="640" w:firstLineChars="200"/>
        <w:rPr>
          <w:rFonts w:hint="default"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二</w:t>
      </w:r>
      <w:r>
        <w:rPr>
          <w:rFonts w:hint="default" w:ascii="仿宋_GB2312" w:hAnsi="仿宋_GB2312" w:cs="仿宋_GB2312"/>
          <w:b w:val="0"/>
          <w:bCs/>
          <w:sz w:val="32"/>
          <w:szCs w:val="32"/>
          <w:lang w:val="en-US" w:eastAsia="zh-CN"/>
        </w:rPr>
        <w:t>十六）卫生健康（类）行政事业单位医疗（款）事业单位医疗（项）：指事业单位用于缴纳单位基本医疗保险支出。</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二</w:t>
      </w:r>
      <w:r>
        <w:rPr>
          <w:rFonts w:hint="default" w:ascii="仿宋_GB2312" w:hAnsi="仿宋_GB2312" w:cs="仿宋_GB2312"/>
          <w:b w:val="0"/>
          <w:bCs/>
          <w:sz w:val="32"/>
          <w:szCs w:val="32"/>
          <w:lang w:val="en-US" w:eastAsia="zh-CN"/>
        </w:rPr>
        <w:t>十七）</w:t>
      </w:r>
      <w:r>
        <w:rPr>
          <w:rFonts w:hint="eastAsia" w:ascii="仿宋_GB2312" w:hAnsi="仿宋_GB2312" w:cs="仿宋_GB2312"/>
          <w:b w:val="0"/>
          <w:bCs/>
          <w:sz w:val="32"/>
          <w:szCs w:val="32"/>
          <w:lang w:val="en-US" w:eastAsia="zh-CN"/>
        </w:rPr>
        <w:t>节能环保</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自然生态保护</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农村环境保护</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反映用于农村环境保护方面重大支出。</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二</w:t>
      </w:r>
      <w:r>
        <w:rPr>
          <w:rFonts w:hint="default" w:ascii="仿宋_GB2312" w:hAnsi="仿宋_GB2312" w:cs="仿宋_GB2312"/>
          <w:b w:val="0"/>
          <w:bCs/>
          <w:sz w:val="32"/>
          <w:szCs w:val="32"/>
          <w:lang w:val="en-US" w:eastAsia="zh-CN"/>
        </w:rPr>
        <w:t>十</w:t>
      </w:r>
      <w:r>
        <w:rPr>
          <w:rFonts w:hint="eastAsia" w:ascii="仿宋_GB2312" w:hAnsi="仿宋_GB2312" w:cs="仿宋_GB2312"/>
          <w:b w:val="0"/>
          <w:bCs/>
          <w:sz w:val="32"/>
          <w:szCs w:val="32"/>
          <w:lang w:val="en-US" w:eastAsia="zh-CN"/>
        </w:rPr>
        <w:t>八</w:t>
      </w: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城乡社区</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城乡社区管理事务</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城管执法</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反映城市管理综合行政执法、加强城市市容和环境卫生管理等方面的支出。</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二</w:t>
      </w:r>
      <w:r>
        <w:rPr>
          <w:rFonts w:hint="default" w:ascii="仿宋_GB2312" w:hAnsi="仿宋_GB2312" w:cs="仿宋_GB2312"/>
          <w:b w:val="0"/>
          <w:bCs/>
          <w:sz w:val="32"/>
          <w:szCs w:val="32"/>
          <w:lang w:val="en-US" w:eastAsia="zh-CN"/>
        </w:rPr>
        <w:t>十</w:t>
      </w:r>
      <w:r>
        <w:rPr>
          <w:rFonts w:hint="eastAsia" w:ascii="仿宋_GB2312" w:hAnsi="仿宋_GB2312" w:cs="仿宋_GB2312"/>
          <w:b w:val="0"/>
          <w:bCs/>
          <w:sz w:val="32"/>
          <w:szCs w:val="32"/>
          <w:lang w:val="en-US" w:eastAsia="zh-CN"/>
        </w:rPr>
        <w:t>九</w:t>
      </w: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城乡社区</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城乡社区规划和管理</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城乡社区规划和管理</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反映城乡社区、防灾减灾、历史名城规划制定与管理等方面的支出。</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三</w:t>
      </w:r>
      <w:r>
        <w:rPr>
          <w:rFonts w:hint="default" w:ascii="仿宋_GB2312" w:hAnsi="仿宋_GB2312" w:cs="仿宋_GB2312"/>
          <w:b w:val="0"/>
          <w:bCs/>
          <w:sz w:val="32"/>
          <w:szCs w:val="32"/>
          <w:lang w:val="en-US" w:eastAsia="zh-CN"/>
        </w:rPr>
        <w:t>十）</w:t>
      </w:r>
      <w:r>
        <w:rPr>
          <w:rFonts w:hint="eastAsia" w:ascii="仿宋_GB2312" w:hAnsi="仿宋_GB2312" w:cs="仿宋_GB2312"/>
          <w:b w:val="0"/>
          <w:bCs/>
          <w:sz w:val="32"/>
          <w:szCs w:val="32"/>
          <w:lang w:val="en-US" w:eastAsia="zh-CN"/>
        </w:rPr>
        <w:t>城乡社区</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城乡社区公共设施</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其他城乡社区公共设施</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反映除上述项目以外其他用于城乡社区公共设施方面的支出。</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eastAsia" w:ascii="仿宋_GB2312" w:hAnsi="仿宋_GB2312" w:cs="仿宋_GB2312"/>
          <w:b w:val="0"/>
          <w:bCs/>
          <w:sz w:val="32"/>
          <w:szCs w:val="32"/>
          <w:lang w:val="en-US" w:eastAsia="zh-CN"/>
        </w:rPr>
        <w:t>（三</w:t>
      </w:r>
      <w:r>
        <w:rPr>
          <w:rFonts w:hint="default" w:ascii="仿宋_GB2312" w:hAnsi="仿宋_GB2312" w:cs="仿宋_GB2312"/>
          <w:b w:val="0"/>
          <w:bCs/>
          <w:sz w:val="32"/>
          <w:szCs w:val="32"/>
          <w:lang w:val="en-US" w:eastAsia="zh-CN"/>
        </w:rPr>
        <w:t>十</w:t>
      </w:r>
      <w:r>
        <w:rPr>
          <w:rFonts w:hint="eastAsia" w:ascii="仿宋_GB2312" w:hAnsi="仿宋_GB2312" w:cs="仿宋_GB2312"/>
          <w:b w:val="0"/>
          <w:bCs/>
          <w:sz w:val="32"/>
          <w:szCs w:val="32"/>
          <w:lang w:val="en-US" w:eastAsia="zh-CN"/>
        </w:rPr>
        <w:t>一</w:t>
      </w: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城乡社区</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城乡社区环境卫生</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城乡社区环境卫生</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反映城乡社区道路清扫、垃圾清运与处理、公厕建设与维护、园林绿化等方面的支出。</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eastAsia" w:ascii="仿宋_GB2312" w:hAnsi="仿宋_GB2312" w:cs="仿宋_GB2312"/>
          <w:b w:val="0"/>
          <w:bCs/>
          <w:sz w:val="32"/>
          <w:szCs w:val="32"/>
          <w:lang w:val="en-US" w:eastAsia="zh-CN"/>
        </w:rPr>
        <w:t>（三</w:t>
      </w:r>
      <w:r>
        <w:rPr>
          <w:rFonts w:hint="default" w:ascii="仿宋_GB2312" w:hAnsi="仿宋_GB2312" w:cs="仿宋_GB2312"/>
          <w:b w:val="0"/>
          <w:bCs/>
          <w:sz w:val="32"/>
          <w:szCs w:val="32"/>
          <w:lang w:val="en-US" w:eastAsia="zh-CN"/>
        </w:rPr>
        <w:t>十</w:t>
      </w:r>
      <w:r>
        <w:rPr>
          <w:rFonts w:hint="eastAsia" w:ascii="仿宋_GB2312" w:hAnsi="仿宋_GB2312" w:cs="仿宋_GB2312"/>
          <w:b w:val="0"/>
          <w:bCs/>
          <w:sz w:val="32"/>
          <w:szCs w:val="32"/>
          <w:lang w:val="en-US" w:eastAsia="zh-CN"/>
        </w:rPr>
        <w:t>二</w:t>
      </w: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城乡社区</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国有土地使用权出让收入安排的支出</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征地和拆迁补偿</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反映新疆生产建设兵团和地方政府在征地和收购土地过程中支付的土地补偿费、安置补助费、地上附着和青苗补偿费、拆迁补偿费支出。</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eastAsia" w:ascii="仿宋_GB2312" w:hAnsi="仿宋_GB2312" w:cs="仿宋_GB2312"/>
          <w:b w:val="0"/>
          <w:bCs/>
          <w:sz w:val="32"/>
          <w:szCs w:val="32"/>
          <w:lang w:val="en-US" w:eastAsia="zh-CN"/>
        </w:rPr>
        <w:t>（三</w:t>
      </w:r>
      <w:r>
        <w:rPr>
          <w:rFonts w:hint="default" w:ascii="仿宋_GB2312" w:hAnsi="仿宋_GB2312" w:cs="仿宋_GB2312"/>
          <w:b w:val="0"/>
          <w:bCs/>
          <w:sz w:val="32"/>
          <w:szCs w:val="32"/>
          <w:lang w:val="en-US" w:eastAsia="zh-CN"/>
        </w:rPr>
        <w:t>十</w:t>
      </w:r>
      <w:r>
        <w:rPr>
          <w:rFonts w:hint="eastAsia" w:ascii="仿宋_GB2312" w:hAnsi="仿宋_GB2312" w:cs="仿宋_GB2312"/>
          <w:b w:val="0"/>
          <w:bCs/>
          <w:sz w:val="32"/>
          <w:szCs w:val="32"/>
          <w:lang w:val="en-US" w:eastAsia="zh-CN"/>
        </w:rPr>
        <w:t>三</w:t>
      </w: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城乡社区</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国有土地使用权出让收入安排的支出</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其他国有土地使用权出让收入安排的支出</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反映土地出让收入用于其他方面的支出。</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eastAsia" w:ascii="仿宋_GB2312" w:hAnsi="仿宋_GB2312" w:cs="仿宋_GB2312"/>
          <w:b w:val="0"/>
          <w:bCs/>
          <w:sz w:val="32"/>
          <w:szCs w:val="32"/>
          <w:lang w:val="en-US" w:eastAsia="zh-CN"/>
        </w:rPr>
        <w:t>（三</w:t>
      </w:r>
      <w:r>
        <w:rPr>
          <w:rFonts w:hint="default" w:ascii="仿宋_GB2312" w:hAnsi="仿宋_GB2312" w:cs="仿宋_GB2312"/>
          <w:b w:val="0"/>
          <w:bCs/>
          <w:sz w:val="32"/>
          <w:szCs w:val="32"/>
          <w:lang w:val="en-US" w:eastAsia="zh-CN"/>
        </w:rPr>
        <w:t>十</w:t>
      </w:r>
      <w:r>
        <w:rPr>
          <w:rFonts w:hint="eastAsia" w:ascii="仿宋_GB2312" w:hAnsi="仿宋_GB2312" w:cs="仿宋_GB2312"/>
          <w:b w:val="0"/>
          <w:bCs/>
          <w:sz w:val="32"/>
          <w:szCs w:val="32"/>
          <w:lang w:val="en-US" w:eastAsia="zh-CN"/>
        </w:rPr>
        <w:t>四</w:t>
      </w: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农林水</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农业农村</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事业运行</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反映用于农业事业单位基本支出，事业单位设施、系统运行与资产维护等方面的支出。</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eastAsia" w:ascii="仿宋_GB2312" w:hAnsi="仿宋_GB2312" w:cs="仿宋_GB2312"/>
          <w:b w:val="0"/>
          <w:bCs/>
          <w:sz w:val="32"/>
          <w:szCs w:val="32"/>
          <w:lang w:val="en-US" w:eastAsia="zh-CN"/>
        </w:rPr>
        <w:t>（三</w:t>
      </w:r>
      <w:r>
        <w:rPr>
          <w:rFonts w:hint="default" w:ascii="仿宋_GB2312" w:hAnsi="仿宋_GB2312" w:cs="仿宋_GB2312"/>
          <w:b w:val="0"/>
          <w:bCs/>
          <w:sz w:val="32"/>
          <w:szCs w:val="32"/>
          <w:lang w:val="en-US" w:eastAsia="zh-CN"/>
        </w:rPr>
        <w:t>十</w:t>
      </w:r>
      <w:r>
        <w:rPr>
          <w:rFonts w:hint="eastAsia" w:ascii="仿宋_GB2312" w:hAnsi="仿宋_GB2312" w:cs="仿宋_GB2312"/>
          <w:b w:val="0"/>
          <w:bCs/>
          <w:sz w:val="32"/>
          <w:szCs w:val="32"/>
          <w:lang w:val="en-US" w:eastAsia="zh-CN"/>
        </w:rPr>
        <w:t>五</w:t>
      </w: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农林水</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农业农村</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农村道路建设</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反映用于农村公路、乡村道路建设方面的支出。</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eastAsia" w:ascii="仿宋_GB2312" w:hAnsi="仿宋_GB2312" w:cs="仿宋_GB2312"/>
          <w:b w:val="0"/>
          <w:bCs/>
          <w:sz w:val="32"/>
          <w:szCs w:val="32"/>
          <w:lang w:val="en-US" w:eastAsia="zh-CN"/>
        </w:rPr>
        <w:t>（三</w:t>
      </w:r>
      <w:r>
        <w:rPr>
          <w:rFonts w:hint="default" w:ascii="仿宋_GB2312" w:hAnsi="仿宋_GB2312" w:cs="仿宋_GB2312"/>
          <w:b w:val="0"/>
          <w:bCs/>
          <w:sz w:val="32"/>
          <w:szCs w:val="32"/>
          <w:lang w:val="en-US" w:eastAsia="zh-CN"/>
        </w:rPr>
        <w:t>十</w:t>
      </w:r>
      <w:r>
        <w:rPr>
          <w:rFonts w:hint="eastAsia" w:ascii="仿宋_GB2312" w:hAnsi="仿宋_GB2312" w:cs="仿宋_GB2312"/>
          <w:b w:val="0"/>
          <w:bCs/>
          <w:sz w:val="32"/>
          <w:szCs w:val="32"/>
          <w:lang w:val="en-US" w:eastAsia="zh-CN"/>
        </w:rPr>
        <w:t>六</w:t>
      </w: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农林水</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林业和草原</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林业草原防灾减灾</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反映用于病虫害等有害生物灾害、森林草原防火、野生动物疫病灾害等方面的支出。</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eastAsia" w:ascii="仿宋_GB2312" w:hAnsi="仿宋_GB2312" w:cs="仿宋_GB2312"/>
          <w:b w:val="0"/>
          <w:bCs/>
          <w:sz w:val="32"/>
          <w:szCs w:val="32"/>
          <w:lang w:val="en-US" w:eastAsia="zh-CN"/>
        </w:rPr>
        <w:t>（三</w:t>
      </w:r>
      <w:r>
        <w:rPr>
          <w:rFonts w:hint="default" w:ascii="仿宋_GB2312" w:hAnsi="仿宋_GB2312" w:cs="仿宋_GB2312"/>
          <w:b w:val="0"/>
          <w:bCs/>
          <w:sz w:val="32"/>
          <w:szCs w:val="32"/>
          <w:lang w:val="en-US" w:eastAsia="zh-CN"/>
        </w:rPr>
        <w:t>十</w:t>
      </w:r>
      <w:r>
        <w:rPr>
          <w:rFonts w:hint="eastAsia" w:ascii="仿宋_GB2312" w:hAnsi="仿宋_GB2312" w:cs="仿宋_GB2312"/>
          <w:b w:val="0"/>
          <w:bCs/>
          <w:sz w:val="32"/>
          <w:szCs w:val="32"/>
          <w:lang w:val="en-US" w:eastAsia="zh-CN"/>
        </w:rPr>
        <w:t>七</w:t>
      </w: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农林水</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水利</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防汛</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反映防汛业务支出。</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eastAsia" w:ascii="仿宋_GB2312" w:hAnsi="仿宋_GB2312" w:cs="仿宋_GB2312"/>
          <w:b w:val="0"/>
          <w:bCs/>
          <w:sz w:val="32"/>
          <w:szCs w:val="32"/>
          <w:lang w:val="en-US" w:eastAsia="zh-CN"/>
        </w:rPr>
        <w:t>（三</w:t>
      </w:r>
      <w:r>
        <w:rPr>
          <w:rFonts w:hint="default" w:ascii="仿宋_GB2312" w:hAnsi="仿宋_GB2312" w:cs="仿宋_GB2312"/>
          <w:b w:val="0"/>
          <w:bCs/>
          <w:sz w:val="32"/>
          <w:szCs w:val="32"/>
          <w:lang w:val="en-US" w:eastAsia="zh-CN"/>
        </w:rPr>
        <w:t>十</w:t>
      </w:r>
      <w:r>
        <w:rPr>
          <w:rFonts w:hint="eastAsia" w:ascii="仿宋_GB2312" w:hAnsi="仿宋_GB2312" w:cs="仿宋_GB2312"/>
          <w:b w:val="0"/>
          <w:bCs/>
          <w:sz w:val="32"/>
          <w:szCs w:val="32"/>
          <w:lang w:val="en-US" w:eastAsia="zh-CN"/>
        </w:rPr>
        <w:t>八</w:t>
      </w: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农林水</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巩固脱贫衔接与乡村振兴</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农村基础设施建设</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反映用于农村欠发达地区乡村道路、住房、基本农田、水利设施、人畜饮水、生态环境保护等生产生活条件改善方面的支出。</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eastAsia" w:ascii="仿宋_GB2312" w:hAnsi="仿宋_GB2312" w:cs="仿宋_GB2312"/>
          <w:b w:val="0"/>
          <w:bCs/>
          <w:sz w:val="32"/>
          <w:szCs w:val="32"/>
          <w:lang w:val="en-US" w:eastAsia="zh-CN"/>
        </w:rPr>
        <w:t>（三</w:t>
      </w:r>
      <w:r>
        <w:rPr>
          <w:rFonts w:hint="default" w:ascii="仿宋_GB2312" w:hAnsi="仿宋_GB2312" w:cs="仿宋_GB2312"/>
          <w:b w:val="0"/>
          <w:bCs/>
          <w:sz w:val="32"/>
          <w:szCs w:val="32"/>
          <w:lang w:val="en-US" w:eastAsia="zh-CN"/>
        </w:rPr>
        <w:t>十</w:t>
      </w:r>
      <w:r>
        <w:rPr>
          <w:rFonts w:hint="eastAsia" w:ascii="仿宋_GB2312" w:hAnsi="仿宋_GB2312" w:cs="仿宋_GB2312"/>
          <w:b w:val="0"/>
          <w:bCs/>
          <w:sz w:val="32"/>
          <w:szCs w:val="32"/>
          <w:lang w:val="en-US" w:eastAsia="zh-CN"/>
        </w:rPr>
        <w:t>九</w:t>
      </w: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农林水</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巩固脱贫衔接与乡村振兴</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生产发展</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反映用于农村欠发达地区发展种植业、养殖业、畜牧业、农副产品加工、林果的建设等生产发展项目以及相关技术推广等方面的项目支出。</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eastAsia" w:ascii="仿宋_GB2312" w:hAnsi="仿宋_GB2312" w:cs="仿宋_GB2312"/>
          <w:b w:val="0"/>
          <w:bCs/>
          <w:sz w:val="32"/>
          <w:szCs w:val="32"/>
          <w:lang w:val="en-US" w:eastAsia="zh-CN"/>
        </w:rPr>
        <w:t>（四十</w:t>
      </w: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农林水</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巩固脱贫衔接与乡村振兴</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其他巩固脱贫衔接与乡村振兴</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反映除上述项目以外其他用于巩固拓展脱贫攻坚成果同乡村振兴有效衔接方面的支出。</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eastAsia" w:ascii="仿宋_GB2312" w:hAnsi="仿宋_GB2312" w:cs="仿宋_GB2312"/>
          <w:b w:val="0"/>
          <w:bCs/>
          <w:sz w:val="32"/>
          <w:szCs w:val="32"/>
          <w:lang w:val="en-US" w:eastAsia="zh-CN"/>
        </w:rPr>
        <w:t>（四十一</w:t>
      </w: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农林水</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农村综合改革</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对村民委员会和村党支部的补助</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反映各级财政对村民委员会和村党支部的补助支出，以及支持建立县级基本财力保障机制安排的村级组织运转奖补资金。</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eastAsia" w:ascii="仿宋_GB2312" w:hAnsi="仿宋_GB2312" w:cs="仿宋_GB2312"/>
          <w:b w:val="0"/>
          <w:bCs/>
          <w:sz w:val="32"/>
          <w:szCs w:val="32"/>
          <w:lang w:val="en-US" w:eastAsia="zh-CN"/>
        </w:rPr>
        <w:t>（四十二</w:t>
      </w: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农林水</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农村综合改革</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其他农村综合改革</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反映上述项目以外其他用于农村综合改革方面的支出。</w:t>
      </w:r>
    </w:p>
    <w:p>
      <w:pPr>
        <w:pStyle w:val="8"/>
        <w:numPr>
          <w:ilvl w:val="0"/>
          <w:numId w:val="0"/>
        </w:numPr>
        <w:ind w:firstLine="640" w:firstLineChars="200"/>
        <w:rPr>
          <w:rFonts w:hint="eastAsia" w:ascii="仿宋_GB2312" w:hAnsi="仿宋_GB2312" w:cs="仿宋_GB2312"/>
          <w:b w:val="0"/>
          <w:bCs/>
          <w:sz w:val="32"/>
          <w:szCs w:val="32"/>
          <w:lang w:val="en-US" w:eastAsia="zh-CN"/>
        </w:rPr>
      </w:pPr>
      <w:r>
        <w:rPr>
          <w:rFonts w:hint="eastAsia" w:ascii="仿宋_GB2312" w:hAnsi="仿宋_GB2312" w:cs="仿宋_GB2312"/>
          <w:b w:val="0"/>
          <w:bCs/>
          <w:sz w:val="32"/>
          <w:szCs w:val="32"/>
          <w:lang w:val="en-US" w:eastAsia="zh-CN"/>
        </w:rPr>
        <w:t>（四十三</w:t>
      </w: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交通运输</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公路水路运输</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公路建设</w:t>
      </w:r>
      <w:r>
        <w:rPr>
          <w:rFonts w:hint="default" w:ascii="仿宋_GB2312" w:hAnsi="仿宋_GB2312" w:cs="仿宋_GB2312"/>
          <w:b w:val="0"/>
          <w:bCs/>
          <w:sz w:val="32"/>
          <w:szCs w:val="32"/>
          <w:lang w:val="en-US" w:eastAsia="zh-CN"/>
        </w:rPr>
        <w:t>（项）：</w:t>
      </w:r>
      <w:r>
        <w:rPr>
          <w:rFonts w:hint="eastAsia" w:ascii="仿宋_GB2312" w:hAnsi="仿宋_GB2312" w:cs="仿宋_GB2312"/>
          <w:b w:val="0"/>
          <w:bCs/>
          <w:sz w:val="32"/>
          <w:szCs w:val="32"/>
          <w:lang w:val="en-US" w:eastAsia="zh-CN"/>
        </w:rPr>
        <w:t>反映新建公路支出，公路改建支出，特大型桥梁建设支出，公路客货运站（场）建设支出。</w:t>
      </w:r>
    </w:p>
    <w:p>
      <w:pPr>
        <w:pStyle w:val="8"/>
        <w:numPr>
          <w:ilvl w:val="0"/>
          <w:numId w:val="0"/>
        </w:numPr>
        <w:ind w:firstLine="640" w:firstLineChars="200"/>
        <w:rPr>
          <w:rFonts w:hint="default" w:ascii="仿宋_GB2312" w:hAnsi="仿宋_GB2312" w:cs="仿宋_GB2312"/>
          <w:b w:val="0"/>
          <w:bCs/>
          <w:sz w:val="32"/>
          <w:szCs w:val="32"/>
          <w:lang w:val="en-US" w:eastAsia="zh-CN"/>
        </w:rPr>
      </w:pPr>
      <w:r>
        <w:rPr>
          <w:rFonts w:hint="eastAsia" w:ascii="仿宋_GB2312" w:hAnsi="仿宋_GB2312" w:cs="仿宋_GB2312"/>
          <w:b w:val="0"/>
          <w:bCs/>
          <w:sz w:val="32"/>
          <w:szCs w:val="32"/>
          <w:lang w:val="en-US" w:eastAsia="zh-CN"/>
        </w:rPr>
        <w:t>（四十四</w:t>
      </w:r>
      <w:r>
        <w:rPr>
          <w:rFonts w:hint="default" w:ascii="仿宋_GB2312" w:hAnsi="仿宋_GB2312" w:cs="仿宋_GB2312"/>
          <w:b w:val="0"/>
          <w:bCs/>
          <w:sz w:val="32"/>
          <w:szCs w:val="32"/>
          <w:lang w:val="en-US" w:eastAsia="zh-CN"/>
        </w:rPr>
        <w:t>）住房保障（类）住房改革支出（款）住房公积金（项）：指按照《住房公积金管理条例》的规定，由单位及其在职职工缴存的长期住房储金。</w:t>
      </w:r>
    </w:p>
    <w:p>
      <w:pPr>
        <w:pStyle w:val="8"/>
        <w:numPr>
          <w:ilvl w:val="0"/>
          <w:numId w:val="0"/>
        </w:numPr>
        <w:ind w:firstLine="640" w:firstLineChars="200"/>
        <w:rPr>
          <w:rFonts w:hint="default" w:ascii="仿宋_GB2312" w:hAnsi="仿宋_GB2312" w:cs="仿宋_GB2312"/>
          <w:b w:val="0"/>
          <w:bCs/>
          <w:sz w:val="32"/>
          <w:szCs w:val="32"/>
          <w:lang w:val="en-US" w:eastAsia="zh-CN"/>
        </w:rPr>
      </w:pPr>
      <w:r>
        <w:rPr>
          <w:rFonts w:hint="eastAsia" w:ascii="仿宋_GB2312" w:hAnsi="仿宋_GB2312" w:cs="仿宋_GB2312"/>
          <w:b w:val="0"/>
          <w:bCs/>
          <w:sz w:val="32"/>
          <w:szCs w:val="32"/>
          <w:lang w:val="en-US" w:eastAsia="zh-CN"/>
        </w:rPr>
        <w:t>（四十五</w:t>
      </w: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灾害防治及应急管理</w:t>
      </w:r>
      <w:r>
        <w:rPr>
          <w:rFonts w:hint="default" w:ascii="仿宋_GB2312" w:hAnsi="仿宋_GB2312" w:cs="仿宋_GB2312"/>
          <w:b w:val="0"/>
          <w:bCs/>
          <w:sz w:val="32"/>
          <w:szCs w:val="32"/>
          <w:lang w:val="en-US" w:eastAsia="zh-CN"/>
        </w:rPr>
        <w:t>（类）</w:t>
      </w:r>
      <w:r>
        <w:rPr>
          <w:rFonts w:hint="eastAsia" w:ascii="仿宋_GB2312" w:hAnsi="仿宋_GB2312" w:cs="仿宋_GB2312"/>
          <w:b w:val="0"/>
          <w:bCs/>
          <w:sz w:val="32"/>
          <w:szCs w:val="32"/>
          <w:lang w:val="en-US" w:eastAsia="zh-CN"/>
        </w:rPr>
        <w:t>应急管理事务</w:t>
      </w:r>
      <w:r>
        <w:rPr>
          <w:rFonts w:hint="default" w:ascii="仿宋_GB2312" w:hAnsi="仿宋_GB2312" w:cs="仿宋_GB2312"/>
          <w:b w:val="0"/>
          <w:bCs/>
          <w:sz w:val="32"/>
          <w:szCs w:val="32"/>
          <w:lang w:val="en-US" w:eastAsia="zh-CN"/>
        </w:rPr>
        <w:t>（款）</w:t>
      </w:r>
      <w:r>
        <w:rPr>
          <w:rFonts w:hint="eastAsia" w:ascii="仿宋_GB2312" w:hAnsi="仿宋_GB2312" w:cs="仿宋_GB2312"/>
          <w:b w:val="0"/>
          <w:bCs/>
          <w:sz w:val="32"/>
          <w:szCs w:val="32"/>
          <w:lang w:val="en-US" w:eastAsia="zh-CN"/>
        </w:rPr>
        <w:t>应急管理</w:t>
      </w:r>
      <w:r>
        <w:rPr>
          <w:rFonts w:hint="default" w:ascii="仿宋_GB2312" w:hAnsi="仿宋_GB2312" w:cs="仿宋_GB2312"/>
          <w:b w:val="0"/>
          <w:bCs/>
          <w:sz w:val="32"/>
          <w:szCs w:val="32"/>
          <w:lang w:val="en-US" w:eastAsia="zh-CN"/>
        </w:rPr>
        <w:t>（项）：指</w:t>
      </w:r>
      <w:r>
        <w:rPr>
          <w:rFonts w:hint="eastAsia" w:ascii="仿宋_GB2312" w:hAnsi="仿宋_GB2312" w:cs="仿宋_GB2312"/>
          <w:b w:val="0"/>
          <w:bCs/>
          <w:sz w:val="32"/>
          <w:szCs w:val="32"/>
          <w:lang w:val="en-US" w:eastAsia="zh-CN"/>
        </w:rPr>
        <w:t>用于应急管理的法律法规制定修订，应急预案演练，协调保障等方面的支出</w:t>
      </w:r>
      <w:r>
        <w:rPr>
          <w:rFonts w:hint="default" w:ascii="仿宋_GB2312" w:hAnsi="仿宋_GB2312" w:cs="仿宋_GB2312"/>
          <w:b w:val="0"/>
          <w:bCs/>
          <w:sz w:val="32"/>
          <w:szCs w:val="32"/>
          <w:lang w:val="en-US" w:eastAsia="zh-CN"/>
        </w:rPr>
        <w:t>。</w:t>
      </w:r>
    </w:p>
    <w:p>
      <w:pPr>
        <w:pStyle w:val="8"/>
        <w:numPr>
          <w:ilvl w:val="0"/>
          <w:numId w:val="0"/>
        </w:numPr>
        <w:ind w:firstLine="640" w:firstLineChars="200"/>
        <w:rPr>
          <w:rFonts w:hint="default"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四十六</w:t>
      </w:r>
      <w:r>
        <w:rPr>
          <w:rFonts w:hint="default" w:ascii="仿宋_GB2312" w:hAnsi="仿宋_GB2312" w:cs="仿宋_GB2312"/>
          <w:b w:val="0"/>
          <w:bCs/>
          <w:sz w:val="32"/>
          <w:szCs w:val="32"/>
          <w:lang w:val="en-US" w:eastAsia="zh-CN"/>
        </w:rPr>
        <w:t>）基本支出：指为保证机构正常运转，完成日常工作任务而发生的人员支出和公用支出。</w:t>
      </w:r>
    </w:p>
    <w:p>
      <w:pPr>
        <w:pStyle w:val="8"/>
        <w:numPr>
          <w:ilvl w:val="0"/>
          <w:numId w:val="0"/>
        </w:numPr>
        <w:ind w:firstLine="640" w:firstLineChars="200"/>
        <w:rPr>
          <w:rFonts w:hint="default"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四十七</w:t>
      </w:r>
      <w:r>
        <w:rPr>
          <w:rFonts w:hint="default" w:ascii="仿宋_GB2312" w:hAnsi="仿宋_GB2312" w:cs="仿宋_GB2312"/>
          <w:b w:val="0"/>
          <w:bCs/>
          <w:sz w:val="32"/>
          <w:szCs w:val="32"/>
          <w:lang w:val="en-US" w:eastAsia="zh-CN"/>
        </w:rPr>
        <w:t>）项目支出：指在基本支出之外为完成特定行政任务和事业发展目标所发生的支出。</w:t>
      </w:r>
    </w:p>
    <w:p>
      <w:pPr>
        <w:pStyle w:val="8"/>
        <w:numPr>
          <w:ilvl w:val="0"/>
          <w:numId w:val="0"/>
        </w:numPr>
        <w:ind w:firstLine="640" w:firstLineChars="200"/>
        <w:rPr>
          <w:rFonts w:hint="eastAsia" w:ascii="黑体" w:hAnsi="黑体" w:eastAsia="黑体"/>
          <w:sz w:val="44"/>
          <w:szCs w:val="44"/>
        </w:rPr>
      </w:pPr>
      <w:r>
        <w:rPr>
          <w:rFonts w:hint="default" w:ascii="仿宋_GB2312" w:hAnsi="仿宋_GB2312" w:cs="仿宋_GB2312"/>
          <w:b w:val="0"/>
          <w:bCs/>
          <w:sz w:val="32"/>
          <w:szCs w:val="32"/>
          <w:lang w:val="en-US" w:eastAsia="zh-CN"/>
        </w:rPr>
        <w:t>（</w:t>
      </w:r>
      <w:r>
        <w:rPr>
          <w:rFonts w:hint="eastAsia" w:ascii="仿宋_GB2312" w:hAnsi="仿宋_GB2312" w:cs="仿宋_GB2312"/>
          <w:b w:val="0"/>
          <w:bCs/>
          <w:sz w:val="32"/>
          <w:szCs w:val="32"/>
          <w:lang w:val="en-US" w:eastAsia="zh-CN"/>
        </w:rPr>
        <w:t>四十八</w:t>
      </w:r>
      <w:r>
        <w:rPr>
          <w:rFonts w:hint="default" w:ascii="仿宋_GB2312" w:hAnsi="仿宋_GB2312" w:cs="仿宋_GB2312"/>
          <w:b w:val="0"/>
          <w:bCs/>
          <w:sz w:val="32"/>
          <w:szCs w:val="32"/>
          <w:lang w:val="en-US" w:eastAsia="zh-CN"/>
        </w:rPr>
        <w:t>）“三公”经费：纳入财政预算管理的“三公”经费，是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spacing w:line="580" w:lineRule="exact"/>
        <w:ind w:firstLine="2640" w:firstLineChars="600"/>
        <w:rPr>
          <w:rFonts w:hint="eastAsia" w:ascii="黑体" w:hAnsi="黑体" w:eastAsia="黑体"/>
          <w:sz w:val="44"/>
          <w:szCs w:val="44"/>
        </w:rPr>
      </w:pPr>
    </w:p>
    <w:p>
      <w:pPr>
        <w:spacing w:line="580" w:lineRule="exact"/>
        <w:ind w:firstLine="2640" w:firstLineChars="600"/>
        <w:rPr>
          <w:rFonts w:hint="eastAsia" w:ascii="黑体" w:hAnsi="黑体" w:eastAsia="黑体"/>
          <w:sz w:val="44"/>
          <w:szCs w:val="44"/>
        </w:rPr>
      </w:pPr>
    </w:p>
    <w:p>
      <w:pPr>
        <w:spacing w:line="600" w:lineRule="exact"/>
        <w:jc w:val="center"/>
        <w:outlineLvl w:val="0"/>
        <w:rPr>
          <w:rStyle w:val="31"/>
          <w:rFonts w:ascii="黑体" w:hAnsi="黑体" w:eastAsia="黑体"/>
          <w:b w:val="0"/>
        </w:rPr>
      </w:pPr>
      <w:bookmarkStart w:id="48" w:name="_Toc15377226"/>
      <w:r>
        <w:rPr>
          <w:rFonts w:ascii="宋体"/>
          <w:b/>
          <w:sz w:val="44"/>
          <w:szCs w:val="44"/>
        </w:rPr>
        <w:br w:type="page"/>
      </w:r>
      <w:bookmarkStart w:id="49" w:name="_Toc15396614"/>
      <w:r>
        <w:rPr>
          <w:rFonts w:hint="eastAsia" w:ascii="黑体" w:hAnsi="黑体" w:eastAsia="黑体"/>
          <w:sz w:val="44"/>
          <w:szCs w:val="44"/>
        </w:rPr>
        <w:t>第</w:t>
      </w:r>
      <w:r>
        <w:rPr>
          <w:rStyle w:val="31"/>
          <w:rFonts w:hint="eastAsia" w:ascii="黑体" w:hAnsi="黑体" w:eastAsia="黑体"/>
          <w:b w:val="0"/>
        </w:rPr>
        <w:t>四部分 附件</w:t>
      </w:r>
      <w:bookmarkEnd w:id="49"/>
    </w:p>
    <w:p>
      <w:pPr>
        <w:widowControl/>
        <w:adjustRightInd w:val="0"/>
        <w:snapToGrid w:val="0"/>
        <w:spacing w:line="560" w:lineRule="exact"/>
        <w:ind w:firstLine="640" w:firstLineChars="200"/>
        <w:contextualSpacing/>
        <w:jc w:val="left"/>
        <w:rPr>
          <w:rFonts w:ascii="黑体" w:hAnsi="宋体" w:eastAsia="黑体" w:cs="宋体"/>
          <w:kern w:val="0"/>
          <w:sz w:val="32"/>
          <w:szCs w:val="32"/>
          <w:shd w:val="clear" w:color="auto" w:fill="FFFFFF"/>
        </w:rPr>
      </w:pPr>
    </w:p>
    <w:p>
      <w:pPr>
        <w:pStyle w:val="2"/>
        <w:jc w:val="center"/>
        <w:rPr>
          <w:rFonts w:hint="eastAsia" w:ascii="黑体" w:hAnsi="黑体" w:eastAsia="黑体" w:cs="黑体"/>
          <w:lang w:val="en-US" w:eastAsia="zh-CN"/>
        </w:rPr>
      </w:pPr>
      <w:r>
        <w:rPr>
          <w:rFonts w:hint="eastAsia" w:ascii="黑体" w:hAnsi="黑体" w:eastAsia="黑体" w:cs="黑体"/>
          <w:lang w:val="en-US" w:eastAsia="zh-CN"/>
        </w:rPr>
        <w:t>2022年剑阁县普安镇人民政府部门整体绩效评价报告</w:t>
      </w:r>
    </w:p>
    <w:p>
      <w:pPr>
        <w:widowControl/>
        <w:numPr>
          <w:ilvl w:val="0"/>
          <w:numId w:val="7"/>
        </w:numPr>
        <w:adjustRightInd w:val="0"/>
        <w:snapToGrid w:val="0"/>
        <w:spacing w:line="560" w:lineRule="exact"/>
        <w:ind w:firstLine="640" w:firstLineChars="200"/>
        <w:contextualSpacing/>
        <w:jc w:val="left"/>
        <w:rPr>
          <w:rFonts w:ascii="黑体" w:hAnsi="宋体" w:eastAsia="黑体" w:cs="宋体"/>
          <w:kern w:val="0"/>
          <w:sz w:val="32"/>
          <w:szCs w:val="32"/>
          <w:highlight w:val="none"/>
          <w:shd w:val="clear" w:color="auto" w:fill="FFFFFF"/>
          <w:lang w:val="zh-CN"/>
        </w:rPr>
      </w:pPr>
      <w:r>
        <w:rPr>
          <w:rFonts w:hint="eastAsia" w:ascii="黑体" w:hAnsi="宋体" w:eastAsia="黑体" w:cs="宋体"/>
          <w:kern w:val="0"/>
          <w:sz w:val="32"/>
          <w:szCs w:val="32"/>
          <w:highlight w:val="none"/>
          <w:shd w:val="clear" w:color="auto" w:fill="FFFFFF"/>
          <w:lang w:val="zh-CN"/>
        </w:rPr>
        <w:t>部门（单位）基本情况</w:t>
      </w:r>
    </w:p>
    <w:p>
      <w:pPr>
        <w:widowControl/>
        <w:numPr>
          <w:ilvl w:val="0"/>
          <w:numId w:val="8"/>
        </w:numPr>
        <w:adjustRightInd w:val="0"/>
        <w:snapToGrid w:val="0"/>
        <w:spacing w:line="560" w:lineRule="exact"/>
        <w:ind w:firstLine="643" w:firstLineChars="200"/>
        <w:contextualSpacing/>
        <w:jc w:val="left"/>
        <w:rPr>
          <w:rFonts w:hint="eastAsia" w:ascii="楷体_GB2312" w:hAnsi="楷体_GB2312" w:eastAsia="楷体_GB2312" w:cs="楷体_GB2312"/>
          <w:b/>
          <w:bCs/>
          <w:kern w:val="0"/>
          <w:sz w:val="32"/>
          <w:szCs w:val="32"/>
          <w:highlight w:val="none"/>
          <w:shd w:val="clear" w:color="auto" w:fill="FFFFFF"/>
          <w:lang w:val="zh-CN"/>
        </w:rPr>
      </w:pPr>
      <w:r>
        <w:rPr>
          <w:rFonts w:hint="eastAsia" w:ascii="楷体_GB2312" w:hAnsi="楷体_GB2312" w:eastAsia="楷体_GB2312" w:cs="楷体_GB2312"/>
          <w:b/>
          <w:bCs/>
          <w:kern w:val="0"/>
          <w:sz w:val="32"/>
          <w:szCs w:val="32"/>
          <w:highlight w:val="none"/>
          <w:shd w:val="clear" w:color="auto" w:fill="FFFFFF"/>
          <w:lang w:val="zh-CN"/>
        </w:rPr>
        <w:t>机构组成。</w:t>
      </w:r>
    </w:p>
    <w:p>
      <w:pPr>
        <w:pStyle w:val="2"/>
        <w:numPr>
          <w:ilvl w:val="0"/>
          <w:numId w:val="0"/>
        </w:numPr>
        <w:ind w:firstLine="600" w:firstLineChars="200"/>
        <w:rPr>
          <w:rFonts w:hint="eastAsia"/>
          <w:highlight w:val="none"/>
          <w:lang w:val="en-US" w:eastAsia="zh-CN"/>
        </w:rPr>
      </w:pPr>
      <w:r>
        <w:rPr>
          <w:rFonts w:hint="eastAsia"/>
          <w:highlight w:val="none"/>
          <w:lang w:val="en-US" w:eastAsia="zh-CN"/>
        </w:rPr>
        <w:t>普安镇人民政府内设九办四中心：党建工作办公室、经济发展办公室、党政综合办公室、社会事务办公室、乡村振兴办公室、社会综合治理办公室、财政所、城市建设发展办公室、商贸物流发展办公室、便民服务中心、经济发展中心、农业农村服务中心、</w:t>
      </w:r>
    </w:p>
    <w:p>
      <w:pPr>
        <w:pStyle w:val="2"/>
        <w:numPr>
          <w:ilvl w:val="0"/>
          <w:numId w:val="0"/>
        </w:numPr>
        <w:rPr>
          <w:rFonts w:hint="eastAsia"/>
          <w:highlight w:val="none"/>
          <w:lang w:val="en-US" w:eastAsia="zh-CN"/>
        </w:rPr>
      </w:pPr>
      <w:r>
        <w:rPr>
          <w:rFonts w:hint="eastAsia"/>
          <w:highlight w:val="none"/>
          <w:lang w:val="en-US" w:eastAsia="zh-CN"/>
        </w:rPr>
        <w:t>社会治理中心。</w:t>
      </w:r>
    </w:p>
    <w:p>
      <w:pPr>
        <w:pStyle w:val="2"/>
        <w:numPr>
          <w:ilvl w:val="0"/>
          <w:numId w:val="8"/>
        </w:numPr>
        <w:ind w:left="0" w:leftChars="0" w:firstLine="643" w:firstLineChars="200"/>
        <w:rPr>
          <w:rFonts w:hint="eastAsia" w:ascii="楷体_GB2312" w:hAnsi="楷体_GB2312" w:eastAsia="楷体_GB2312" w:cs="楷体_GB2312"/>
          <w:b/>
          <w:bCs/>
          <w:kern w:val="0"/>
          <w:sz w:val="32"/>
          <w:szCs w:val="32"/>
          <w:highlight w:val="none"/>
          <w:shd w:val="clear" w:color="auto" w:fill="FFFFFF"/>
          <w:lang w:val="zh-CN"/>
        </w:rPr>
      </w:pPr>
      <w:r>
        <w:rPr>
          <w:rFonts w:hint="eastAsia" w:ascii="楷体_GB2312" w:hAnsi="楷体_GB2312" w:eastAsia="楷体_GB2312" w:cs="楷体_GB2312"/>
          <w:b/>
          <w:bCs/>
          <w:kern w:val="0"/>
          <w:sz w:val="32"/>
          <w:szCs w:val="32"/>
          <w:highlight w:val="none"/>
          <w:shd w:val="clear" w:color="auto" w:fill="FFFFFF"/>
          <w:lang w:val="zh-CN"/>
        </w:rPr>
        <w:t>机构职能和人员概况。</w:t>
      </w:r>
    </w:p>
    <w:p>
      <w:pPr>
        <w:pStyle w:val="2"/>
        <w:numPr>
          <w:ilvl w:val="0"/>
          <w:numId w:val="0"/>
        </w:numPr>
        <w:ind w:firstLine="600" w:firstLineChars="200"/>
        <w:rPr>
          <w:rFonts w:hint="eastAsia"/>
          <w:highlight w:val="none"/>
          <w:lang w:val="en-US" w:eastAsia="zh-CN"/>
        </w:rPr>
      </w:pPr>
      <w:r>
        <w:rPr>
          <w:rFonts w:hint="eastAsia"/>
          <w:highlight w:val="none"/>
          <w:lang w:val="en-US" w:eastAsia="zh-CN"/>
        </w:rPr>
        <w:t>1、</w:t>
      </w:r>
      <w:r>
        <w:rPr>
          <w:rFonts w:hint="eastAsia"/>
          <w:highlight w:val="none"/>
          <w:lang w:val="zh-CN" w:eastAsia="zh-CN"/>
        </w:rPr>
        <w:t>人员概况</w:t>
      </w:r>
    </w:p>
    <w:p>
      <w:pPr>
        <w:pStyle w:val="2"/>
        <w:numPr>
          <w:ilvl w:val="0"/>
          <w:numId w:val="0"/>
        </w:numPr>
        <w:ind w:firstLine="600" w:firstLineChars="200"/>
        <w:rPr>
          <w:rFonts w:hint="eastAsia" w:ascii="仿宋" w:hAnsi="仿宋" w:eastAsia="仿宋" w:cs="仿宋"/>
          <w:color w:val="333333"/>
          <w:sz w:val="32"/>
          <w:szCs w:val="32"/>
          <w:highlight w:val="none"/>
          <w:shd w:val="clear" w:color="auto" w:fill="FFFFFF"/>
          <w:lang w:val="en-US" w:eastAsia="zh-CN"/>
        </w:rPr>
      </w:pPr>
      <w:r>
        <w:rPr>
          <w:rFonts w:hint="eastAsia"/>
          <w:highlight w:val="none"/>
          <w:lang w:val="en-US" w:eastAsia="zh-CN"/>
        </w:rPr>
        <w:t>2022年总编制216名，其中行政编制85名，工勤编制11名，事业编制120名。2022年年初预算实有在职人员234人，其中行政人员76人，事业人员149人，工勤人员9人。2022年末，全镇实有在职人员225人，其中行政</w:t>
      </w:r>
      <w:r>
        <w:rPr>
          <w:rFonts w:hint="eastAsia" w:ascii="仿宋" w:hAnsi="仿宋" w:eastAsia="仿宋" w:cs="仿宋"/>
          <w:color w:val="333333"/>
          <w:sz w:val="32"/>
          <w:szCs w:val="32"/>
          <w:highlight w:val="none"/>
          <w:shd w:val="clear" w:color="auto" w:fill="FFFFFF"/>
        </w:rPr>
        <w:t>人员</w:t>
      </w:r>
      <w:r>
        <w:rPr>
          <w:rFonts w:hint="eastAsia" w:ascii="仿宋" w:hAnsi="仿宋" w:eastAsia="仿宋" w:cs="仿宋"/>
          <w:color w:val="333333"/>
          <w:sz w:val="32"/>
          <w:szCs w:val="32"/>
          <w:highlight w:val="none"/>
          <w:shd w:val="clear" w:color="auto" w:fill="FFFFFF"/>
          <w:lang w:val="en-US" w:eastAsia="zh-CN"/>
        </w:rPr>
        <w:t>84</w:t>
      </w:r>
      <w:r>
        <w:rPr>
          <w:rFonts w:hint="eastAsia" w:ascii="仿宋" w:hAnsi="仿宋" w:eastAsia="仿宋" w:cs="仿宋"/>
          <w:color w:val="333333"/>
          <w:sz w:val="32"/>
          <w:szCs w:val="32"/>
          <w:highlight w:val="none"/>
          <w:shd w:val="clear" w:color="auto" w:fill="FFFFFF"/>
        </w:rPr>
        <w:t>人</w:t>
      </w:r>
      <w:r>
        <w:rPr>
          <w:rFonts w:hint="eastAsia" w:ascii="仿宋" w:hAnsi="仿宋" w:eastAsia="仿宋" w:cs="仿宋"/>
          <w:color w:val="333333"/>
          <w:sz w:val="32"/>
          <w:szCs w:val="32"/>
          <w:highlight w:val="none"/>
          <w:shd w:val="clear" w:color="auto" w:fill="FFFFFF"/>
          <w:lang w:eastAsia="zh-CN"/>
        </w:rPr>
        <w:t>，</w:t>
      </w:r>
      <w:r>
        <w:rPr>
          <w:rFonts w:hint="eastAsia" w:ascii="仿宋" w:hAnsi="仿宋" w:eastAsia="仿宋" w:cs="仿宋"/>
          <w:color w:val="333333"/>
          <w:sz w:val="32"/>
          <w:szCs w:val="32"/>
          <w:highlight w:val="none"/>
          <w:shd w:val="clear" w:color="auto" w:fill="FFFFFF"/>
          <w:lang w:val="en-US" w:eastAsia="zh-CN"/>
        </w:rPr>
        <w:t>事业人员132人，工勤人员9人。</w:t>
      </w:r>
    </w:p>
    <w:p>
      <w:pPr>
        <w:pStyle w:val="2"/>
        <w:numPr>
          <w:ilvl w:val="0"/>
          <w:numId w:val="0"/>
        </w:numPr>
        <w:ind w:firstLine="600" w:firstLineChars="200"/>
        <w:rPr>
          <w:rFonts w:hint="eastAsia"/>
          <w:highlight w:val="none"/>
          <w:lang w:val="zh-CN" w:eastAsia="zh-CN"/>
        </w:rPr>
      </w:pPr>
      <w:r>
        <w:rPr>
          <w:rFonts w:hint="eastAsia"/>
          <w:highlight w:val="none"/>
          <w:lang w:val="zh-CN" w:eastAsia="zh-CN"/>
        </w:rPr>
        <w:t>机构职能</w:t>
      </w:r>
    </w:p>
    <w:p>
      <w:pPr>
        <w:pStyle w:val="2"/>
        <w:numPr>
          <w:ilvl w:val="0"/>
          <w:numId w:val="0"/>
        </w:numPr>
        <w:ind w:firstLine="600" w:firstLineChars="200"/>
        <w:rPr>
          <w:rFonts w:hint="eastAsia" w:ascii="仿宋" w:hAnsi="仿宋" w:eastAsia="仿宋" w:cs="仿宋"/>
          <w:color w:val="000000"/>
          <w:sz w:val="32"/>
          <w:szCs w:val="32"/>
          <w:highlight w:val="none"/>
        </w:rPr>
      </w:pPr>
      <w:r>
        <w:rPr>
          <w:rFonts w:hint="eastAsia"/>
          <w:highlight w:val="none"/>
          <w:lang w:val="en-US" w:eastAsia="zh-CN"/>
        </w:rPr>
        <w:t>1、制定和组织实施经济、科技和社会发展计划，制定资源开发技术改造和产业结构调整方案，组织指导好各业生产，搞好商品流通，协调好本镇与外地区的经济交流与合作，抓</w:t>
      </w:r>
      <w:r>
        <w:rPr>
          <w:rFonts w:hint="eastAsia" w:ascii="仿宋" w:hAnsi="仿宋" w:eastAsia="仿宋" w:cs="仿宋"/>
          <w:color w:val="333333"/>
          <w:sz w:val="32"/>
          <w:szCs w:val="32"/>
          <w:highlight w:val="none"/>
          <w:shd w:val="clear" w:color="auto" w:fill="FFFFFF"/>
        </w:rPr>
        <w:t>好招商引资，人才引进项目开发，不断培育市场体系，组织经济运行，促进经济发展。</w:t>
      </w:r>
    </w:p>
    <w:p>
      <w:pPr>
        <w:pStyle w:val="2"/>
        <w:numPr>
          <w:ilvl w:val="0"/>
          <w:numId w:val="0"/>
        </w:numPr>
        <w:ind w:firstLine="600" w:firstLineChars="200"/>
        <w:rPr>
          <w:rFonts w:hint="eastAsia"/>
          <w:highlight w:val="none"/>
          <w:lang w:val="zh-CN" w:eastAsia="zh-CN"/>
        </w:rPr>
      </w:pPr>
      <w:r>
        <w:rPr>
          <w:rFonts w:hint="eastAsia"/>
          <w:highlight w:val="none"/>
          <w:lang w:val="zh-CN" w:eastAsia="zh-CN"/>
        </w:rPr>
        <w:t>2、制定并组织实施村镇建设规划，部署重点工程建设，地方道路建设及公共设施，水利设施的管理，负责土地、林木、水等自然资源和生态环境的保护，做好护林防火工作。                  </w:t>
      </w:r>
    </w:p>
    <w:p>
      <w:pPr>
        <w:pStyle w:val="2"/>
        <w:numPr>
          <w:ilvl w:val="0"/>
          <w:numId w:val="0"/>
        </w:numPr>
        <w:ind w:firstLine="600" w:firstLineChars="200"/>
        <w:rPr>
          <w:rFonts w:hint="eastAsia"/>
          <w:highlight w:val="none"/>
          <w:lang w:val="zh-CN" w:eastAsia="zh-CN"/>
        </w:rPr>
      </w:pPr>
      <w:r>
        <w:rPr>
          <w:rFonts w:hint="eastAsia"/>
          <w:highlight w:val="none"/>
          <w:lang w:val="zh-CN" w:eastAsia="zh-CN"/>
        </w:rPr>
        <w:t>3、负责本行政区域内的民政、计划生育、文化教育、卫生、体育等社会公益事业的综合性工作，维护一切经济单位和个人的正当经济权益，取缔非法经济活动，调解和处理民事纠纷，打击刑事犯罪维护社会稳定。</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firstLine="640" w:firstLineChars="200"/>
        <w:rPr>
          <w:rFonts w:hint="eastAsia" w:ascii="仿宋" w:hAnsi="仿宋" w:eastAsia="仿宋" w:cs="仿宋"/>
          <w:color w:val="666666"/>
          <w:sz w:val="32"/>
          <w:szCs w:val="32"/>
          <w:highlight w:val="none"/>
        </w:rPr>
      </w:pPr>
      <w:r>
        <w:rPr>
          <w:rFonts w:hint="eastAsia" w:ascii="仿宋" w:hAnsi="仿宋" w:eastAsia="仿宋" w:cs="仿宋"/>
          <w:color w:val="333333"/>
          <w:sz w:val="32"/>
          <w:szCs w:val="32"/>
          <w:highlight w:val="none"/>
          <w:shd w:val="clear" w:color="auto" w:fill="FFFFFF"/>
        </w:rPr>
        <w:t>4、按计划组织本级财政收入和地方税的征收，完成国家财政计划，不断培植税源，管好财政资金，增强财政实力。  </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firstLine="640" w:firstLineChars="200"/>
        <w:rPr>
          <w:rFonts w:hint="eastAsia" w:ascii="仿宋" w:hAnsi="仿宋" w:eastAsia="仿宋" w:cs="仿宋"/>
          <w:color w:val="333333"/>
          <w:sz w:val="32"/>
          <w:szCs w:val="32"/>
          <w:highlight w:val="none"/>
          <w:shd w:val="clear" w:color="auto" w:fill="FFFFFF"/>
        </w:rPr>
      </w:pPr>
      <w:r>
        <w:rPr>
          <w:rFonts w:hint="eastAsia" w:ascii="仿宋" w:hAnsi="仿宋" w:eastAsia="仿宋" w:cs="仿宋"/>
          <w:color w:val="333333"/>
          <w:sz w:val="32"/>
          <w:szCs w:val="32"/>
          <w:highlight w:val="none"/>
          <w:shd w:val="clear" w:color="auto" w:fill="FFFFFF"/>
        </w:rPr>
        <w:t>　5、抓好精神文明建设，丰富群众文化生活，提倡移风易俗，反对封建迷信，破除陈规陋习，树立社会主义新风尚。</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firstLine="640" w:firstLineChars="200"/>
        <w:rPr>
          <w:rFonts w:hint="eastAsia" w:ascii="仿宋" w:hAnsi="仿宋" w:eastAsia="仿宋" w:cs="仿宋"/>
          <w:color w:val="333333"/>
          <w:sz w:val="32"/>
          <w:szCs w:val="32"/>
          <w:highlight w:val="none"/>
          <w:shd w:val="clear" w:color="auto" w:fill="FFFFFF"/>
          <w:lang w:val="zh-CN"/>
        </w:rPr>
      </w:pPr>
      <w:r>
        <w:rPr>
          <w:rFonts w:hint="eastAsia" w:ascii="仿宋" w:hAnsi="仿宋" w:eastAsia="仿宋" w:cs="仿宋"/>
          <w:color w:val="333333"/>
          <w:sz w:val="32"/>
          <w:szCs w:val="32"/>
          <w:highlight w:val="none"/>
          <w:shd w:val="clear" w:color="auto" w:fill="FFFFFF"/>
        </w:rPr>
        <w:t>6、完成上级政府交办</w:t>
      </w:r>
      <w:r>
        <w:rPr>
          <w:rFonts w:hint="eastAsia" w:ascii="仿宋" w:hAnsi="仿宋" w:eastAsia="仿宋" w:cs="仿宋"/>
          <w:color w:val="333333"/>
          <w:sz w:val="32"/>
          <w:szCs w:val="32"/>
          <w:highlight w:val="none"/>
          <w:shd w:val="clear" w:color="auto" w:fill="FFFFFF"/>
          <w:lang w:eastAsia="zh-CN"/>
        </w:rPr>
        <w:t>的其他事项</w:t>
      </w:r>
      <w:r>
        <w:rPr>
          <w:rFonts w:hint="eastAsia" w:ascii="仿宋" w:hAnsi="仿宋" w:eastAsia="仿宋" w:cs="仿宋"/>
          <w:color w:val="333333"/>
          <w:sz w:val="32"/>
          <w:szCs w:val="32"/>
          <w:highlight w:val="none"/>
          <w:shd w:val="clear" w:color="auto" w:fill="FFFFFF"/>
        </w:rPr>
        <w:t>。</w:t>
      </w:r>
    </w:p>
    <w:p>
      <w:pPr>
        <w:widowControl/>
        <w:adjustRightInd w:val="0"/>
        <w:snapToGrid w:val="0"/>
        <w:spacing w:line="560" w:lineRule="exact"/>
        <w:ind w:firstLine="643" w:firstLineChars="200"/>
        <w:contextualSpacing/>
        <w:jc w:val="left"/>
        <w:rPr>
          <w:rFonts w:hint="eastAsia" w:ascii="楷体_GB2312" w:hAnsi="楷体_GB2312" w:eastAsia="楷体_GB2312" w:cs="楷体_GB2312"/>
          <w:b/>
          <w:bCs/>
          <w:kern w:val="0"/>
          <w:sz w:val="32"/>
          <w:szCs w:val="32"/>
          <w:highlight w:val="none"/>
          <w:shd w:val="clear" w:color="auto" w:fill="FFFFFF"/>
          <w:lang w:val="zh-CN"/>
        </w:rPr>
      </w:pPr>
      <w:r>
        <w:rPr>
          <w:rFonts w:hint="eastAsia" w:ascii="楷体_GB2312" w:hAnsi="楷体_GB2312" w:eastAsia="楷体_GB2312" w:cs="楷体_GB2312"/>
          <w:b/>
          <w:bCs/>
          <w:kern w:val="0"/>
          <w:sz w:val="32"/>
          <w:szCs w:val="32"/>
          <w:highlight w:val="none"/>
          <w:shd w:val="clear" w:color="auto" w:fill="FFFFFF"/>
          <w:lang w:val="zh-CN"/>
        </w:rPr>
        <w:t>（三）年度主要工作任务。</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华文仿宋" w:hAnsi="华文仿宋" w:eastAsia="华文仿宋" w:cs="华文仿宋"/>
          <w:i w:val="0"/>
          <w:iCs w:val="0"/>
          <w:caps w:val="0"/>
          <w:color w:val="000000"/>
          <w:spacing w:val="0"/>
          <w:sz w:val="32"/>
          <w:szCs w:val="32"/>
        </w:rPr>
      </w:pPr>
      <w:r>
        <w:rPr>
          <w:rFonts w:hint="eastAsia" w:ascii="华文仿宋" w:hAnsi="华文仿宋" w:eastAsia="华文仿宋" w:cs="华文仿宋"/>
          <w:i w:val="0"/>
          <w:iCs w:val="0"/>
          <w:caps w:val="0"/>
          <w:color w:val="000000"/>
          <w:spacing w:val="0"/>
          <w:sz w:val="32"/>
          <w:szCs w:val="32"/>
        </w:rPr>
        <w:t>（一）实施乡村全面振兴，增添“普安不普通”成色。深入实施乡村振兴战略，加快建成现代农业强镇，全力创建省市县各级乡村振兴示范镇。</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华文仿宋" w:hAnsi="华文仿宋" w:eastAsia="华文仿宋" w:cs="华文仿宋"/>
          <w:i w:val="0"/>
          <w:iCs w:val="0"/>
          <w:caps w:val="0"/>
          <w:color w:val="000000"/>
          <w:spacing w:val="0"/>
          <w:sz w:val="32"/>
          <w:szCs w:val="32"/>
        </w:rPr>
      </w:pPr>
      <w:r>
        <w:rPr>
          <w:rFonts w:hint="eastAsia" w:ascii="华文仿宋" w:hAnsi="华文仿宋" w:eastAsia="华文仿宋" w:cs="华文仿宋"/>
          <w:i w:val="0"/>
          <w:iCs w:val="0"/>
          <w:caps w:val="0"/>
          <w:color w:val="000000"/>
          <w:spacing w:val="0"/>
          <w:sz w:val="32"/>
          <w:szCs w:val="32"/>
        </w:rPr>
        <w:t>1.巩固脱贫成效。严格落实《普安镇防止返贫监测帮扶工作方案》和“四个不摘”要求，不断健全防止返贫动态监测和帮扶机制，强化掉边掉角户和易地搬迁户后续扶持。全面做好脱贫攻坚后评估反馈问题和核心指标动态新增问题整改，扎实开展控辍保学和掉边掉角户安居工作，调整优化公益岗位、医疗救助资助等政策。聚焦脱贫攻坚“后半篇”文章和易地扶贫搬迁后续治理，持续深化“12345”共建共管共享的投工投劳模式和“六要六有”群众教育工作法。重点抓好广安对口帮扶6个项目规划实施；着重抓好东西部协作水池村冬枣园40亩温控大棚建设项目规划实施；持续抓好四个乡村振兴重点帮扶村整体规划和项目落地实施，做优做实脱贫攻坚成果同乡村振兴有效衔接。</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华文仿宋" w:hAnsi="华文仿宋" w:eastAsia="华文仿宋" w:cs="华文仿宋"/>
          <w:i w:val="0"/>
          <w:iCs w:val="0"/>
          <w:caps w:val="0"/>
          <w:color w:val="000000"/>
          <w:spacing w:val="0"/>
          <w:sz w:val="32"/>
          <w:szCs w:val="32"/>
        </w:rPr>
      </w:pPr>
      <w:r>
        <w:rPr>
          <w:rFonts w:hint="eastAsia" w:ascii="华文仿宋" w:hAnsi="华文仿宋" w:eastAsia="华文仿宋" w:cs="华文仿宋"/>
          <w:i w:val="0"/>
          <w:iCs w:val="0"/>
          <w:caps w:val="0"/>
          <w:color w:val="000000"/>
          <w:spacing w:val="0"/>
          <w:sz w:val="32"/>
          <w:szCs w:val="32"/>
        </w:rPr>
        <w:t>2.发展现代农业。一是深化农业供给侧结构性改革。以石洞沟—抄手现代农业产业园区为支撑，强化“三园”建设，大力发展订单农业，擦亮猕猴桃、冬枣、砂糖橘、中药材系列“普安品牌”。二是强化粮食安全综合保障能力。坚决遏制耕地“非农化”、防止耕地“非粮化”，高效推进撂荒土地统筹利用，规划提升建设高标准农田，三是完善产品加工销售体系。依托普安食品工业园区，做实农产品初精深加工，完善电商物流销售平台，有机结合“线上+线下”销售模式，持续打造网红农产品经济。四是壮大畜牧</w:t>
      </w:r>
      <w:r>
        <w:rPr>
          <w:rFonts w:hint="eastAsia" w:ascii="华文仿宋" w:hAnsi="华文仿宋" w:eastAsia="华文仿宋" w:cs="华文仿宋"/>
          <w:i w:val="0"/>
          <w:iCs w:val="0"/>
          <w:caps w:val="0"/>
          <w:color w:val="000000"/>
          <w:spacing w:val="0"/>
          <w:sz w:val="32"/>
          <w:szCs w:val="32"/>
          <w:lang w:eastAsia="zh-CN"/>
        </w:rPr>
        <w:t>生产</w:t>
      </w:r>
      <w:r>
        <w:rPr>
          <w:rFonts w:hint="eastAsia" w:ascii="华文仿宋" w:hAnsi="华文仿宋" w:eastAsia="华文仿宋" w:cs="华文仿宋"/>
          <w:i w:val="0"/>
          <w:iCs w:val="0"/>
          <w:caps w:val="0"/>
          <w:color w:val="000000"/>
          <w:spacing w:val="0"/>
          <w:sz w:val="32"/>
          <w:szCs w:val="32"/>
        </w:rPr>
        <w:t>发展规模。</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华文仿宋" w:hAnsi="华文仿宋" w:eastAsia="华文仿宋" w:cs="华文仿宋"/>
          <w:i w:val="0"/>
          <w:iCs w:val="0"/>
          <w:caps w:val="0"/>
          <w:color w:val="000000"/>
          <w:spacing w:val="0"/>
          <w:sz w:val="32"/>
          <w:szCs w:val="32"/>
        </w:rPr>
      </w:pPr>
      <w:r>
        <w:rPr>
          <w:rFonts w:hint="eastAsia" w:ascii="华文仿宋" w:hAnsi="华文仿宋" w:eastAsia="华文仿宋" w:cs="华文仿宋"/>
          <w:i w:val="0"/>
          <w:iCs w:val="0"/>
          <w:caps w:val="0"/>
          <w:color w:val="000000"/>
          <w:spacing w:val="0"/>
          <w:sz w:val="32"/>
          <w:szCs w:val="32"/>
        </w:rPr>
        <w:t>3.推动乡村建设。积极构建“一圈五点多线”美丽乡村示范格局，串联下寺、汉阳、江口、盐店等乡镇形成美丽宜居示范片，规划打造普安进出口名片展示点3处。做好脱贫攻坚衔接资金项目规划、广安对口帮扶项目规划、以工代赈项目储备库规划。深入实施农村人居环境整治，坚持把乡村规划与文化保护、乡村旅游、主导产业相结合，加强城乡环境综合治理工作，推进城乡污水处理、垃圾治理、交通设施一体化。扎实抓好农村“厕所革命”，完成闻溪村、江东村、松林村、响水村农村无害化卫生厕所升级改造772户，开展村容村貌提升、陈规陋习整治行动，谋划农业灌溉水利兴修，加快基本公共服务均等化。成立城乡环境治理督导组，对全镇各村社环境治理进行巡查及通报，确保我镇城乡环境综合治理得到全面提升。</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华文仿宋" w:hAnsi="华文仿宋" w:eastAsia="华文仿宋" w:cs="华文仿宋"/>
          <w:i w:val="0"/>
          <w:iCs w:val="0"/>
          <w:caps w:val="0"/>
          <w:color w:val="000000"/>
          <w:spacing w:val="0"/>
          <w:sz w:val="32"/>
          <w:szCs w:val="32"/>
        </w:rPr>
      </w:pPr>
      <w:r>
        <w:rPr>
          <w:rFonts w:hint="eastAsia" w:ascii="华文仿宋" w:hAnsi="华文仿宋" w:eastAsia="华文仿宋" w:cs="华文仿宋"/>
          <w:i w:val="0"/>
          <w:iCs w:val="0"/>
          <w:caps w:val="0"/>
          <w:color w:val="000000"/>
          <w:spacing w:val="0"/>
          <w:sz w:val="32"/>
          <w:szCs w:val="32"/>
        </w:rPr>
        <w:t>（二）全面提升城市能级，塑造“普安不普通”形象</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华文仿宋" w:hAnsi="华文仿宋" w:eastAsia="华文仿宋" w:cs="华文仿宋"/>
          <w:i w:val="0"/>
          <w:iCs w:val="0"/>
          <w:caps w:val="0"/>
          <w:color w:val="000000"/>
          <w:spacing w:val="0"/>
          <w:sz w:val="32"/>
          <w:szCs w:val="32"/>
        </w:rPr>
      </w:pPr>
      <w:r>
        <w:rPr>
          <w:rFonts w:hint="eastAsia" w:ascii="华文仿宋" w:hAnsi="华文仿宋" w:eastAsia="华文仿宋" w:cs="华文仿宋"/>
          <w:i w:val="0"/>
          <w:iCs w:val="0"/>
          <w:caps w:val="0"/>
          <w:color w:val="000000"/>
          <w:spacing w:val="0"/>
          <w:sz w:val="32"/>
          <w:szCs w:val="32"/>
        </w:rPr>
        <w:t>1.基础设施完善。依托“省级百强中心镇”培育创建工程，以“疏密、增绿、有序、提升”为抓手，加快规划实施三江口至东门桥头交通线路，启动绕城路东线建设，形成城区外围闭环，构建“两环两横”交通格局，缓解城区拥堵现状。</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华文仿宋" w:hAnsi="华文仿宋" w:eastAsia="华文仿宋" w:cs="华文仿宋"/>
          <w:i w:val="0"/>
          <w:iCs w:val="0"/>
          <w:caps w:val="0"/>
          <w:color w:val="000000"/>
          <w:spacing w:val="0"/>
          <w:sz w:val="32"/>
          <w:szCs w:val="32"/>
        </w:rPr>
      </w:pPr>
      <w:r>
        <w:rPr>
          <w:rFonts w:hint="eastAsia" w:ascii="华文仿宋" w:hAnsi="华文仿宋" w:eastAsia="华文仿宋" w:cs="华文仿宋"/>
          <w:i w:val="0"/>
          <w:iCs w:val="0"/>
          <w:caps w:val="0"/>
          <w:color w:val="000000"/>
          <w:spacing w:val="0"/>
          <w:sz w:val="32"/>
          <w:szCs w:val="32"/>
        </w:rPr>
        <w:t>2.城市品质提升。依托“历史文化名城”建设、鹤鸣山4A级景区打造和老旧小区改造，持续开展“清洁普安”“干净村庄”行动。实施城区道路维修、标识标线修复、标识标牌完善、城区数字化监控、抓拍系统升级改造，规范普闻路等车辆行驶线路，大力整治重车进城、乱停乱放、占道经营、违规载客等乱象，推进农村生活垃圾治理，逐步实现城区功能大完善、环境大改变、面貌大提升。</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华文仿宋" w:hAnsi="华文仿宋" w:eastAsia="华文仿宋" w:cs="华文仿宋"/>
          <w:i w:val="0"/>
          <w:iCs w:val="0"/>
          <w:caps w:val="0"/>
          <w:color w:val="000000"/>
          <w:spacing w:val="0"/>
          <w:sz w:val="32"/>
          <w:szCs w:val="32"/>
        </w:rPr>
      </w:pPr>
      <w:r>
        <w:rPr>
          <w:rFonts w:hint="eastAsia" w:ascii="华文仿宋" w:hAnsi="华文仿宋" w:eastAsia="华文仿宋" w:cs="华文仿宋"/>
          <w:i w:val="0"/>
          <w:iCs w:val="0"/>
          <w:caps w:val="0"/>
          <w:color w:val="000000"/>
          <w:spacing w:val="0"/>
          <w:sz w:val="32"/>
          <w:szCs w:val="32"/>
        </w:rPr>
        <w:t>3.环境问题整治。纵深推进“三大一强”专项攻坚行动，抓好中央环保督察反馈问题整改，加大生态环境保护和修复力度，维护水生态平衡，牢牢守住耕地红线，确保森林覆盖率。抓好温州商城、闻溪河流域、建筑工地等重点领域污染源头把控，加大环保设施运行监督管理，加强对道路施工工地、混凝搅拌站、城区露天堆场砂场等点位扬尘污染管控，深入开展农业面源、畜禽养殖和水产养殖污染管控，持续抓好农村乱占耕地违法建房整治，强力推行殡葬改革。</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华文仿宋" w:hAnsi="华文仿宋" w:eastAsia="华文仿宋" w:cs="华文仿宋"/>
          <w:i w:val="0"/>
          <w:iCs w:val="0"/>
          <w:caps w:val="0"/>
          <w:color w:val="000000"/>
          <w:spacing w:val="0"/>
          <w:sz w:val="32"/>
          <w:szCs w:val="32"/>
        </w:rPr>
      </w:pPr>
      <w:r>
        <w:rPr>
          <w:rFonts w:hint="eastAsia" w:ascii="华文仿宋" w:hAnsi="华文仿宋" w:eastAsia="华文仿宋" w:cs="华文仿宋"/>
          <w:i w:val="0"/>
          <w:iCs w:val="0"/>
          <w:caps w:val="0"/>
          <w:color w:val="000000"/>
          <w:spacing w:val="0"/>
          <w:sz w:val="32"/>
          <w:szCs w:val="32"/>
        </w:rPr>
        <w:t>4.践行绿色发展。着力打好三大保卫战，完善“林长制”工作体系，进一步加强对村组秸秆焚烧的监管和防控，持续抓好严禁焚烧工作，确保不点一把火、不冒一股烟。深化“河长制”工作，加快实施“农村厕所”革命，全面推进畜禽养殖</w:t>
      </w:r>
      <w:r>
        <w:rPr>
          <w:rFonts w:hint="eastAsia" w:ascii="华文仿宋" w:hAnsi="华文仿宋" w:eastAsia="华文仿宋" w:cs="华文仿宋"/>
          <w:i w:val="0"/>
          <w:iCs w:val="0"/>
          <w:caps w:val="0"/>
          <w:color w:val="000000"/>
          <w:spacing w:val="0"/>
          <w:sz w:val="32"/>
          <w:szCs w:val="32"/>
          <w:lang w:eastAsia="zh-CN"/>
        </w:rPr>
        <w:t>污水处理</w:t>
      </w:r>
      <w:r>
        <w:rPr>
          <w:rFonts w:hint="eastAsia" w:ascii="华文仿宋" w:hAnsi="华文仿宋" w:eastAsia="华文仿宋" w:cs="华文仿宋"/>
          <w:i w:val="0"/>
          <w:iCs w:val="0"/>
          <w:caps w:val="0"/>
          <w:color w:val="000000"/>
          <w:spacing w:val="0"/>
          <w:sz w:val="32"/>
          <w:szCs w:val="32"/>
        </w:rPr>
        <w:t>、闻溪河污水管网整治、工业企业污染整治等一系列水污染整治工作，稳步提升全辖区生活污水治理率。持续推进农业面源污染防治工作，大力推进农村农药包装废弃物回收处置工作，整顿清理可再生资源回收站，对农村居民点入口集中区，新建垃圾收集转运场，规范危险废物储存、处置。</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华文仿宋" w:hAnsi="华文仿宋" w:eastAsia="华文仿宋" w:cs="华文仿宋"/>
          <w:i w:val="0"/>
          <w:iCs w:val="0"/>
          <w:caps w:val="0"/>
          <w:color w:val="000000"/>
          <w:spacing w:val="0"/>
          <w:sz w:val="32"/>
          <w:szCs w:val="32"/>
        </w:rPr>
      </w:pPr>
      <w:r>
        <w:rPr>
          <w:rFonts w:hint="eastAsia" w:ascii="华文仿宋" w:hAnsi="华文仿宋" w:eastAsia="华文仿宋" w:cs="华文仿宋"/>
          <w:i w:val="0"/>
          <w:iCs w:val="0"/>
          <w:caps w:val="0"/>
          <w:color w:val="000000"/>
          <w:spacing w:val="0"/>
          <w:sz w:val="32"/>
          <w:szCs w:val="32"/>
        </w:rPr>
        <w:t>（三）不断提高民生品质，厚植“普安不普通”情怀</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华文仿宋" w:hAnsi="华文仿宋" w:eastAsia="华文仿宋" w:cs="华文仿宋"/>
          <w:i w:val="0"/>
          <w:iCs w:val="0"/>
          <w:caps w:val="0"/>
          <w:color w:val="000000"/>
          <w:spacing w:val="0"/>
          <w:sz w:val="32"/>
          <w:szCs w:val="32"/>
        </w:rPr>
      </w:pPr>
      <w:r>
        <w:rPr>
          <w:rFonts w:hint="eastAsia" w:ascii="华文仿宋" w:hAnsi="华文仿宋" w:eastAsia="华文仿宋" w:cs="华文仿宋"/>
          <w:i w:val="0"/>
          <w:iCs w:val="0"/>
          <w:caps w:val="0"/>
          <w:color w:val="000000"/>
          <w:spacing w:val="0"/>
          <w:sz w:val="32"/>
          <w:szCs w:val="32"/>
        </w:rPr>
        <w:t>1.优化社会公共服务。持续推进“互联网＋政务服务”工作，拓展便民利民功能。通过向上争取项目资金、招商引资等方式，规划建设城区2—3个智慧停车场，新增停车位1000个，经请示上级有关部门同意，规划实行城区部分路段机动车临时占道停放服务收费管理制度，规范停车收费。改建城乡公厕及农村卫生厕所，新增厕位300个。</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华文仿宋" w:hAnsi="华文仿宋" w:eastAsia="华文仿宋" w:cs="华文仿宋"/>
          <w:i w:val="0"/>
          <w:iCs w:val="0"/>
          <w:caps w:val="0"/>
          <w:color w:val="000000"/>
          <w:spacing w:val="0"/>
          <w:sz w:val="32"/>
          <w:szCs w:val="32"/>
        </w:rPr>
      </w:pPr>
      <w:r>
        <w:rPr>
          <w:rFonts w:hint="eastAsia" w:ascii="华文仿宋" w:hAnsi="华文仿宋" w:eastAsia="华文仿宋" w:cs="华文仿宋"/>
          <w:i w:val="0"/>
          <w:iCs w:val="0"/>
          <w:caps w:val="0"/>
          <w:color w:val="000000"/>
          <w:spacing w:val="0"/>
          <w:sz w:val="32"/>
          <w:szCs w:val="32"/>
        </w:rPr>
        <w:t>2.提升社会保障水平。持续开展“我为群众办实事”活动，落实好市县各项民生工程，着力办好村级卫生健康服务、农村安全饮水供水工程服务、养老服务机构服务、农村计划生育扶助等民生实事。统筹抓好高校毕业生、返乡农民工、退役军人等重点群体就业技能培训。深入实施全民参保计划，稳步提高各项社会保险待遇水平。扎实做好城镇困难群众解困脱困工作，继续关注失独家庭、低保户、残疾人等社会弱势群体社会救助工作，确保共同富裕路上“一个不能少”。</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华文仿宋" w:hAnsi="华文仿宋" w:eastAsia="华文仿宋" w:cs="华文仿宋"/>
          <w:i w:val="0"/>
          <w:iCs w:val="0"/>
          <w:caps w:val="0"/>
          <w:color w:val="000000"/>
          <w:spacing w:val="0"/>
          <w:sz w:val="32"/>
          <w:szCs w:val="32"/>
        </w:rPr>
      </w:pPr>
      <w:r>
        <w:rPr>
          <w:rFonts w:hint="eastAsia" w:ascii="华文仿宋" w:hAnsi="华文仿宋" w:eastAsia="华文仿宋" w:cs="华文仿宋"/>
          <w:i w:val="0"/>
          <w:iCs w:val="0"/>
          <w:caps w:val="0"/>
          <w:color w:val="000000"/>
          <w:spacing w:val="0"/>
          <w:sz w:val="32"/>
          <w:szCs w:val="32"/>
        </w:rPr>
        <w:t>3.加强城乡基层治理。不断完善“综治中心+网格化+信息化”基层社会治理体系。充分发挥群众自治和德治教化作用，引导群众行为、规范社会秩序。坚持和发展新时代“枫桥经验”，完善矛盾纠纷多元预防调处化解机制，推动征地拆迁、交通事故</w:t>
      </w:r>
      <w:r>
        <w:rPr>
          <w:rFonts w:hint="eastAsia" w:ascii="华文仿宋" w:hAnsi="华文仿宋" w:eastAsia="华文仿宋" w:cs="华文仿宋"/>
          <w:i w:val="0"/>
          <w:iCs w:val="0"/>
          <w:caps w:val="0"/>
          <w:color w:val="000000"/>
          <w:spacing w:val="0"/>
          <w:sz w:val="32"/>
          <w:szCs w:val="32"/>
          <w:lang w:eastAsia="zh-CN"/>
        </w:rPr>
        <w:t>等</w:t>
      </w:r>
      <w:r>
        <w:rPr>
          <w:rFonts w:hint="eastAsia" w:ascii="华文仿宋" w:hAnsi="华文仿宋" w:eastAsia="华文仿宋" w:cs="华文仿宋"/>
          <w:i w:val="0"/>
          <w:iCs w:val="0"/>
          <w:caps w:val="0"/>
          <w:color w:val="000000"/>
          <w:spacing w:val="0"/>
          <w:sz w:val="32"/>
          <w:szCs w:val="32"/>
        </w:rPr>
        <w:t>纠纷高发领域专业性调解，扎实开展治理重复信访、化解信访积案专项工作，及时化解剑门府、城北丽景、龙海楠亭等问题楼盘遗留问题。做好新时代民族宗教工作，支持工会、共青团、妇联和残联、红十字会等群团组织更好发挥作用，做实关心下一代工作，做好双拥共建、退役军人事务、人民防空、禁毒、科普、档案、保密、地方志、邮政等工作。</w:t>
      </w:r>
    </w:p>
    <w:p>
      <w:pPr>
        <w:pStyle w:val="2"/>
        <w:rPr>
          <w:rFonts w:hint="eastAsia"/>
          <w:lang w:val="zh-CN"/>
        </w:rPr>
      </w:pPr>
    </w:p>
    <w:p>
      <w:pPr>
        <w:widowControl/>
        <w:numPr>
          <w:ilvl w:val="0"/>
          <w:numId w:val="0"/>
        </w:numPr>
        <w:adjustRightInd w:val="0"/>
        <w:snapToGrid w:val="0"/>
        <w:spacing w:line="560" w:lineRule="exact"/>
        <w:ind w:left="0" w:leftChars="0" w:firstLine="643" w:firstLineChars="200"/>
        <w:contextualSpacing/>
        <w:jc w:val="left"/>
        <w:rPr>
          <w:rFonts w:hint="eastAsia" w:ascii="楷体_GB2312" w:hAnsi="楷体_GB2312" w:eastAsia="楷体_GB2312" w:cs="楷体_GB2312"/>
          <w:b/>
          <w:bCs/>
          <w:kern w:val="0"/>
          <w:sz w:val="32"/>
          <w:szCs w:val="32"/>
          <w:shd w:val="clear" w:color="auto" w:fill="FFFFFF"/>
          <w:lang w:val="zh-CN"/>
        </w:rPr>
      </w:pPr>
      <w:r>
        <w:rPr>
          <w:rFonts w:hint="eastAsia" w:ascii="楷体_GB2312" w:hAnsi="楷体_GB2312" w:eastAsia="楷体_GB2312" w:cs="楷体_GB2312"/>
          <w:b/>
          <w:bCs/>
          <w:kern w:val="0"/>
          <w:sz w:val="32"/>
          <w:szCs w:val="32"/>
          <w:shd w:val="clear" w:fill="FFFFFF"/>
          <w:lang w:val="zh-CN" w:eastAsia="zh-CN" w:bidi="ar-SA"/>
        </w:rPr>
        <w:t>（</w:t>
      </w:r>
      <w:r>
        <w:rPr>
          <w:rFonts w:hint="eastAsia" w:ascii="楷体_GB2312" w:hAnsi="楷体_GB2312" w:eastAsia="楷体_GB2312" w:cs="楷体_GB2312"/>
          <w:b/>
          <w:bCs/>
          <w:kern w:val="0"/>
          <w:sz w:val="32"/>
          <w:szCs w:val="32"/>
          <w:shd w:val="clear" w:fill="FFFFFF"/>
          <w:lang w:val="en-US" w:eastAsia="zh-CN" w:bidi="ar-SA"/>
        </w:rPr>
        <w:t>四</w:t>
      </w:r>
      <w:r>
        <w:rPr>
          <w:rFonts w:hint="eastAsia" w:ascii="楷体_GB2312" w:hAnsi="楷体_GB2312" w:eastAsia="楷体_GB2312" w:cs="楷体_GB2312"/>
          <w:b/>
          <w:bCs/>
          <w:kern w:val="0"/>
          <w:sz w:val="32"/>
          <w:szCs w:val="32"/>
          <w:shd w:val="clear" w:fill="FFFFFF"/>
          <w:lang w:val="zh-CN" w:eastAsia="zh-CN" w:bidi="ar-SA"/>
        </w:rPr>
        <w:t>）</w:t>
      </w:r>
      <w:r>
        <w:rPr>
          <w:rFonts w:hint="eastAsia" w:ascii="楷体_GB2312" w:hAnsi="楷体_GB2312" w:eastAsia="楷体_GB2312" w:cs="楷体_GB2312"/>
          <w:b/>
          <w:bCs/>
          <w:kern w:val="0"/>
          <w:sz w:val="32"/>
          <w:szCs w:val="32"/>
          <w:shd w:val="clear" w:color="auto" w:fill="FFFFFF"/>
          <w:lang w:val="zh-CN"/>
        </w:rPr>
        <w:t>部门整体支出绩效目标。</w:t>
      </w:r>
    </w:p>
    <w:p>
      <w:pPr>
        <w:pStyle w:val="2"/>
        <w:numPr>
          <w:ilvl w:val="0"/>
          <w:numId w:val="0"/>
        </w:numPr>
        <w:ind w:leftChars="200"/>
        <w:rPr>
          <w:lang w:val="zh-CN"/>
        </w:rPr>
      </w:pPr>
      <w:r>
        <w:rPr>
          <w:rFonts w:hint="eastAsia"/>
          <w:lang w:val="zh-CN"/>
        </w:rPr>
        <w:t>1.做好招商引资工作，以诚招商，依托工业园区、农业园区等园区建设，突出地方优势，全力引进企业进驻普安。2.开展金剑园区、金昆高速的土地征收、拆迁安置工作。3.做好脱贫攻坚衔接资金项目规划、广安对口帮扶项目规划、以工代赈项目储备库规划。4.加强农业推广，完成农业实用技术培训。5.落实惠农政策补贴工作，发展农村经济。6.加强城乡环境治理工作，做到户分类、村收集、镇运转、市县集中处理。加快农贸市场、停车位、公厕、垃圾处理站等设施增设。7.做好非物质文化遗产的传承与保护，扫黄打非，加强法律宣传，开展禁毒防邪，维护社会治安。8.做好城乡最低生活保障、特困供养人员、临时救助、慈善福利、社会治理、高龄补贴、两残补贴等工作。9.严抓疫情防控工作，开展健康普查活动，做好隔离点值班值守。</w:t>
      </w:r>
    </w:p>
    <w:p>
      <w:pPr>
        <w:widowControl/>
        <w:adjustRightInd w:val="0"/>
        <w:snapToGrid w:val="0"/>
        <w:spacing w:line="560" w:lineRule="exact"/>
        <w:ind w:firstLine="640" w:firstLineChars="200"/>
        <w:contextualSpacing/>
        <w:jc w:val="left"/>
        <w:rPr>
          <w:rFonts w:ascii="黑体" w:hAnsi="宋体" w:eastAsia="黑体" w:cs="宋体"/>
          <w:kern w:val="0"/>
          <w:sz w:val="32"/>
          <w:szCs w:val="32"/>
          <w:shd w:val="clear" w:color="auto" w:fill="FFFFFF"/>
        </w:rPr>
      </w:pPr>
      <w:r>
        <w:rPr>
          <w:rFonts w:hint="eastAsia" w:ascii="黑体" w:hAnsi="宋体" w:eastAsia="黑体" w:cs="宋体"/>
          <w:kern w:val="0"/>
          <w:sz w:val="32"/>
          <w:szCs w:val="32"/>
          <w:shd w:val="clear" w:color="auto" w:fill="FFFFFF"/>
        </w:rPr>
        <w:t>二、部门资金收支情况</w:t>
      </w:r>
    </w:p>
    <w:p>
      <w:pPr>
        <w:widowControl/>
        <w:adjustRightInd w:val="0"/>
        <w:snapToGrid w:val="0"/>
        <w:spacing w:line="560" w:lineRule="exact"/>
        <w:ind w:firstLine="643" w:firstLineChars="200"/>
        <w:contextualSpacing/>
        <w:jc w:val="left"/>
        <w:rPr>
          <w:rFonts w:ascii="楷体_GB2312" w:hAnsi="楷体_GB2312" w:eastAsia="楷体_GB2312" w:cs="楷体_GB2312"/>
          <w:b/>
          <w:bCs/>
          <w:kern w:val="0"/>
          <w:sz w:val="32"/>
          <w:szCs w:val="32"/>
          <w:shd w:val="clear" w:color="auto" w:fill="FFFFFF"/>
          <w:lang w:val="zh-CN"/>
        </w:rPr>
      </w:pPr>
      <w:r>
        <w:rPr>
          <w:rFonts w:hint="eastAsia" w:ascii="楷体_GB2312" w:hAnsi="楷体_GB2312" w:eastAsia="楷体_GB2312" w:cs="楷体_GB2312"/>
          <w:b/>
          <w:bCs/>
          <w:kern w:val="0"/>
          <w:sz w:val="32"/>
          <w:szCs w:val="32"/>
          <w:shd w:val="clear" w:color="auto" w:fill="FFFFFF"/>
          <w:lang w:val="zh-CN"/>
        </w:rPr>
        <w:t>（一）部门总体收支情况。</w:t>
      </w:r>
    </w:p>
    <w:p>
      <w:pPr>
        <w:widowControl/>
        <w:adjustRightInd w:val="0"/>
        <w:snapToGrid w:val="0"/>
        <w:spacing w:line="560" w:lineRule="exact"/>
        <w:ind w:firstLine="640" w:firstLineChars="200"/>
        <w:contextualSpacing/>
        <w:jc w:val="left"/>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1.部门总体收入情况</w:t>
      </w:r>
    </w:p>
    <w:p>
      <w:pPr>
        <w:pStyle w:val="2"/>
        <w:numPr>
          <w:ilvl w:val="0"/>
          <w:numId w:val="0"/>
        </w:numPr>
        <w:ind w:firstLine="600" w:firstLineChars="200"/>
        <w:rPr>
          <w:rFonts w:hint="eastAsia"/>
          <w:lang w:val="zh-CN" w:eastAsia="zh-CN"/>
        </w:rPr>
      </w:pPr>
      <w:r>
        <w:rPr>
          <w:rFonts w:hint="eastAsia"/>
          <w:lang w:val="en-US" w:eastAsia="zh-CN"/>
        </w:rPr>
        <w:t>2022年普安镇人民政府收入总额为5365.87万元，其中：当年财政基本支出拨款收入3294.54万元。项目支出拨款收入2071.32万元。</w:t>
      </w:r>
    </w:p>
    <w:p>
      <w:pPr>
        <w:widowControl/>
        <w:numPr>
          <w:ilvl w:val="0"/>
          <w:numId w:val="9"/>
        </w:numPr>
        <w:adjustRightInd w:val="0"/>
        <w:snapToGrid w:val="0"/>
        <w:spacing w:line="560" w:lineRule="exact"/>
        <w:ind w:firstLine="640" w:firstLineChars="200"/>
        <w:contextualSpacing/>
        <w:jc w:val="left"/>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部门总体支出情况</w:t>
      </w:r>
    </w:p>
    <w:p>
      <w:pPr>
        <w:keepNext w:val="0"/>
        <w:keepLines w:val="0"/>
        <w:pageBreakBefore w:val="0"/>
        <w:widowControl w:val="0"/>
        <w:kinsoku/>
        <w:wordWrap/>
        <w:overflowPunct/>
        <w:topLinePunct w:val="0"/>
        <w:bidi w:val="0"/>
        <w:spacing w:line="240" w:lineRule="auto"/>
        <w:ind w:right="0" w:rightChars="0" w:firstLine="640" w:firstLineChars="200"/>
        <w:jc w:val="both"/>
        <w:textAlignment w:val="auto"/>
        <w:rPr>
          <w:rFonts w:hint="eastAsia" w:ascii="仿宋_GB2312" w:eastAsia="仿宋_GB2312"/>
          <w:color w:val="000000"/>
          <w:sz w:val="32"/>
          <w:szCs w:val="32"/>
          <w:lang w:val="en-US" w:eastAsia="zh-CN"/>
        </w:rPr>
      </w:pPr>
      <w:r>
        <w:rPr>
          <w:rFonts w:hint="eastAsia" w:ascii="仿宋" w:hAnsi="仿宋" w:eastAsia="仿宋" w:cs="仿宋"/>
          <w:i w:val="0"/>
          <w:caps w:val="0"/>
          <w:color w:val="000000"/>
          <w:spacing w:val="0"/>
          <w:kern w:val="0"/>
          <w:sz w:val="32"/>
          <w:szCs w:val="32"/>
          <w:shd w:val="clear" w:color="auto" w:fill="FFFFFF"/>
          <w:lang w:val="en-US" w:eastAsia="zh-CN" w:bidi="ar"/>
        </w:rPr>
        <w:t>2022年普安镇人民政府支出总额为</w:t>
      </w:r>
      <w:r>
        <w:rPr>
          <w:rFonts w:hint="eastAsia" w:ascii="仿宋_GB2312" w:eastAsia="仿宋_GB2312" w:cs="Times New Roman"/>
          <w:kern w:val="0"/>
          <w:sz w:val="30"/>
          <w:szCs w:val="24"/>
          <w:lang w:val="en-US" w:eastAsia="zh-CN" w:bidi="ar-SA"/>
        </w:rPr>
        <w:t>5365.87</w:t>
      </w:r>
      <w:r>
        <w:rPr>
          <w:rFonts w:hint="eastAsia" w:ascii="仿宋" w:hAnsi="仿宋" w:eastAsia="仿宋" w:cs="仿宋"/>
          <w:i w:val="0"/>
          <w:caps w:val="0"/>
          <w:color w:val="000000"/>
          <w:spacing w:val="0"/>
          <w:kern w:val="0"/>
          <w:sz w:val="32"/>
          <w:szCs w:val="32"/>
          <w:shd w:val="clear" w:color="auto" w:fill="FFFFFF"/>
          <w:lang w:val="en-US" w:eastAsia="zh-CN" w:bidi="ar"/>
        </w:rPr>
        <w:t>万元，其中：当年财政基本支出</w:t>
      </w:r>
      <w:r>
        <w:rPr>
          <w:rFonts w:hint="eastAsia" w:ascii="仿宋_GB2312" w:eastAsia="仿宋_GB2312" w:cs="Times New Roman"/>
          <w:kern w:val="0"/>
          <w:sz w:val="30"/>
          <w:szCs w:val="24"/>
          <w:lang w:val="en-US" w:eastAsia="zh-CN" w:bidi="ar-SA"/>
        </w:rPr>
        <w:t>3294.54</w:t>
      </w:r>
      <w:r>
        <w:rPr>
          <w:rFonts w:hint="eastAsia" w:ascii="仿宋" w:hAnsi="仿宋" w:eastAsia="仿宋" w:cs="仿宋"/>
          <w:i w:val="0"/>
          <w:caps w:val="0"/>
          <w:color w:val="000000"/>
          <w:spacing w:val="0"/>
          <w:kern w:val="0"/>
          <w:sz w:val="32"/>
          <w:szCs w:val="32"/>
          <w:shd w:val="clear" w:color="auto" w:fill="FFFFFF"/>
          <w:lang w:val="en-US" w:eastAsia="zh-CN" w:bidi="ar"/>
        </w:rPr>
        <w:t>万元，按经济分类分：</w:t>
      </w:r>
      <w:r>
        <w:rPr>
          <w:rFonts w:hint="eastAsia" w:ascii="仿宋_GB2312" w:eastAsia="仿宋_GB2312"/>
          <w:color w:val="000000"/>
          <w:sz w:val="32"/>
          <w:szCs w:val="32"/>
        </w:rPr>
        <w:t>基本工资</w:t>
      </w:r>
      <w:r>
        <w:rPr>
          <w:rFonts w:hint="eastAsia" w:eastAsia="仿宋_GB2312"/>
          <w:color w:val="000000"/>
          <w:sz w:val="32"/>
          <w:szCs w:val="32"/>
          <w:lang w:val="en-US" w:eastAsia="zh-CN"/>
        </w:rPr>
        <w:t>998.69</w:t>
      </w:r>
      <w:r>
        <w:rPr>
          <w:rFonts w:hint="eastAsia" w:ascii="仿宋_GB2312" w:eastAsia="仿宋_GB2312"/>
          <w:color w:val="000000"/>
          <w:sz w:val="32"/>
          <w:szCs w:val="32"/>
          <w:lang w:eastAsia="zh-CN"/>
        </w:rPr>
        <w:t>万元</w:t>
      </w:r>
      <w:r>
        <w:rPr>
          <w:rFonts w:hint="eastAsia" w:ascii="仿宋_GB2312" w:eastAsia="仿宋_GB2312"/>
          <w:color w:val="000000"/>
          <w:sz w:val="32"/>
          <w:szCs w:val="32"/>
        </w:rPr>
        <w:t>、津贴补贴</w:t>
      </w:r>
      <w:r>
        <w:rPr>
          <w:rFonts w:hint="eastAsia" w:eastAsia="仿宋_GB2312"/>
          <w:color w:val="000000"/>
          <w:sz w:val="32"/>
          <w:szCs w:val="32"/>
          <w:lang w:val="en-US" w:eastAsia="zh-CN"/>
        </w:rPr>
        <w:t>261.55</w:t>
      </w:r>
      <w:r>
        <w:rPr>
          <w:rFonts w:hint="eastAsia" w:ascii="仿宋_GB2312" w:eastAsia="仿宋_GB2312"/>
          <w:color w:val="000000"/>
          <w:sz w:val="32"/>
          <w:szCs w:val="32"/>
          <w:lang w:eastAsia="zh-CN"/>
        </w:rPr>
        <w:t>万元</w:t>
      </w:r>
      <w:r>
        <w:rPr>
          <w:rFonts w:hint="eastAsia" w:ascii="仿宋_GB2312" w:eastAsia="仿宋_GB2312"/>
          <w:color w:val="000000"/>
          <w:sz w:val="32"/>
          <w:szCs w:val="32"/>
        </w:rPr>
        <w:t>、奖金</w:t>
      </w:r>
      <w:r>
        <w:rPr>
          <w:rFonts w:hint="eastAsia" w:eastAsia="仿宋_GB2312"/>
          <w:color w:val="000000"/>
          <w:sz w:val="32"/>
          <w:szCs w:val="32"/>
          <w:lang w:val="en-US" w:eastAsia="zh-CN"/>
        </w:rPr>
        <w:t>821.15</w:t>
      </w:r>
      <w:r>
        <w:rPr>
          <w:rFonts w:hint="eastAsia" w:ascii="仿宋_GB2312" w:eastAsia="仿宋_GB2312"/>
          <w:color w:val="000000"/>
          <w:sz w:val="32"/>
          <w:szCs w:val="32"/>
          <w:lang w:eastAsia="zh-CN"/>
        </w:rPr>
        <w:t>万元</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绩效工资395.09万元，</w:t>
      </w:r>
      <w:r>
        <w:rPr>
          <w:rFonts w:hint="eastAsia" w:ascii="仿宋_GB2312" w:eastAsia="仿宋_GB2312"/>
          <w:color w:val="000000"/>
          <w:sz w:val="32"/>
          <w:szCs w:val="32"/>
        </w:rPr>
        <w:t>机关事业单位基本养老保险缴费</w:t>
      </w:r>
      <w:r>
        <w:rPr>
          <w:rFonts w:hint="eastAsia" w:eastAsia="仿宋_GB2312"/>
          <w:color w:val="000000"/>
          <w:sz w:val="32"/>
          <w:szCs w:val="32"/>
          <w:lang w:val="en-US" w:eastAsia="zh-CN"/>
        </w:rPr>
        <w:t>254.73</w:t>
      </w:r>
      <w:r>
        <w:rPr>
          <w:rFonts w:hint="eastAsia" w:ascii="仿宋_GB2312" w:eastAsia="仿宋_GB2312"/>
          <w:color w:val="000000"/>
          <w:sz w:val="32"/>
          <w:szCs w:val="32"/>
          <w:lang w:eastAsia="zh-CN"/>
        </w:rPr>
        <w:t>万元，</w:t>
      </w:r>
      <w:r>
        <w:rPr>
          <w:rFonts w:hint="eastAsia" w:ascii="仿宋_GB2312" w:eastAsia="仿宋_GB2312"/>
          <w:color w:val="000000"/>
          <w:sz w:val="32"/>
          <w:szCs w:val="32"/>
          <w:lang w:val="en-US" w:eastAsia="zh-CN"/>
        </w:rPr>
        <w:t>职工基本医疗保险缴费127.36万元，其他社会保障缴费13.97万元，</w:t>
      </w:r>
      <w:r>
        <w:rPr>
          <w:rFonts w:hint="eastAsia" w:ascii="仿宋_GB2312" w:eastAsia="仿宋_GB2312"/>
          <w:color w:val="000000"/>
          <w:sz w:val="32"/>
          <w:szCs w:val="32"/>
        </w:rPr>
        <w:t>住房公积金</w:t>
      </w:r>
      <w:r>
        <w:rPr>
          <w:rFonts w:hint="eastAsia" w:eastAsia="仿宋_GB2312"/>
          <w:color w:val="000000"/>
          <w:sz w:val="32"/>
          <w:szCs w:val="32"/>
          <w:lang w:val="en-US" w:eastAsia="zh-CN"/>
        </w:rPr>
        <w:t>191.04</w:t>
      </w:r>
      <w:r>
        <w:rPr>
          <w:rFonts w:hint="eastAsia" w:ascii="仿宋_GB2312" w:eastAsia="仿宋_GB2312"/>
          <w:color w:val="000000"/>
          <w:sz w:val="32"/>
          <w:szCs w:val="32"/>
          <w:lang w:eastAsia="zh-CN"/>
        </w:rPr>
        <w:t>万元，</w:t>
      </w:r>
      <w:r>
        <w:rPr>
          <w:rFonts w:hint="eastAsia" w:ascii="仿宋_GB2312" w:eastAsia="仿宋_GB2312"/>
          <w:color w:val="000000"/>
          <w:sz w:val="32"/>
          <w:szCs w:val="32"/>
        </w:rPr>
        <w:t>其他工资福利支出</w:t>
      </w:r>
      <w:r>
        <w:rPr>
          <w:rFonts w:hint="eastAsia" w:ascii="仿宋_GB2312" w:eastAsia="仿宋_GB2312"/>
          <w:color w:val="000000"/>
          <w:sz w:val="32"/>
          <w:szCs w:val="32"/>
          <w:lang w:val="en-US" w:eastAsia="zh-CN"/>
        </w:rPr>
        <w:t>4.72万元，</w:t>
      </w:r>
      <w:r>
        <w:rPr>
          <w:rFonts w:hint="eastAsia" w:ascii="仿宋_GB2312" w:eastAsia="仿宋_GB2312"/>
          <w:color w:val="000000"/>
          <w:sz w:val="32"/>
          <w:szCs w:val="32"/>
        </w:rPr>
        <w:t>办公费</w:t>
      </w:r>
      <w:r>
        <w:rPr>
          <w:rFonts w:hint="eastAsia" w:ascii="仿宋_GB2312" w:eastAsia="仿宋_GB2312"/>
          <w:color w:val="000000"/>
          <w:sz w:val="32"/>
          <w:szCs w:val="32"/>
          <w:lang w:val="en-US" w:eastAsia="zh-CN"/>
        </w:rPr>
        <w:t>36.37</w:t>
      </w:r>
      <w:r>
        <w:rPr>
          <w:rFonts w:hint="eastAsia" w:ascii="仿宋_GB2312" w:eastAsia="仿宋_GB2312"/>
          <w:color w:val="000000"/>
          <w:sz w:val="32"/>
          <w:szCs w:val="32"/>
          <w:lang w:eastAsia="zh-CN"/>
        </w:rPr>
        <w:t>万元</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印刷费9.97万元、邮电费5万元，</w:t>
      </w:r>
      <w:r>
        <w:rPr>
          <w:rFonts w:hint="eastAsia" w:ascii="仿宋_GB2312" w:eastAsia="仿宋_GB2312"/>
          <w:color w:val="000000"/>
          <w:sz w:val="32"/>
          <w:szCs w:val="32"/>
        </w:rPr>
        <w:t>水费</w:t>
      </w:r>
      <w:r>
        <w:rPr>
          <w:rFonts w:hint="eastAsia" w:eastAsia="仿宋_GB2312"/>
          <w:color w:val="000000"/>
          <w:sz w:val="32"/>
          <w:szCs w:val="32"/>
          <w:lang w:val="en-US" w:eastAsia="zh-CN"/>
        </w:rPr>
        <w:t>7.00</w:t>
      </w:r>
      <w:r>
        <w:rPr>
          <w:rFonts w:hint="eastAsia" w:ascii="仿宋_GB2312" w:eastAsia="仿宋_GB2312"/>
          <w:color w:val="000000"/>
          <w:sz w:val="32"/>
          <w:szCs w:val="32"/>
          <w:lang w:eastAsia="zh-CN"/>
        </w:rPr>
        <w:t>万元</w:t>
      </w:r>
      <w:r>
        <w:rPr>
          <w:rFonts w:hint="eastAsia" w:ascii="仿宋_GB2312" w:eastAsia="仿宋_GB2312"/>
          <w:color w:val="000000"/>
          <w:sz w:val="32"/>
          <w:szCs w:val="32"/>
        </w:rPr>
        <w:t>、电费</w:t>
      </w:r>
      <w:r>
        <w:rPr>
          <w:rFonts w:hint="eastAsia" w:eastAsia="仿宋_GB2312"/>
          <w:color w:val="000000"/>
          <w:sz w:val="32"/>
          <w:szCs w:val="32"/>
          <w:lang w:val="en-US" w:eastAsia="zh-CN"/>
        </w:rPr>
        <w:t>10</w:t>
      </w:r>
      <w:r>
        <w:rPr>
          <w:rFonts w:hint="eastAsia" w:ascii="仿宋_GB2312" w:eastAsia="仿宋_GB2312"/>
          <w:color w:val="000000"/>
          <w:sz w:val="32"/>
          <w:szCs w:val="32"/>
          <w:lang w:eastAsia="zh-CN"/>
        </w:rPr>
        <w:t>万元、</w:t>
      </w:r>
      <w:r>
        <w:rPr>
          <w:rFonts w:hint="eastAsia" w:ascii="仿宋_GB2312" w:eastAsia="仿宋_GB2312"/>
          <w:color w:val="000000"/>
          <w:sz w:val="32"/>
          <w:szCs w:val="32"/>
        </w:rPr>
        <w:t>差旅费</w:t>
      </w:r>
      <w:r>
        <w:rPr>
          <w:rFonts w:hint="eastAsia" w:eastAsia="仿宋_GB2312"/>
          <w:color w:val="000000"/>
          <w:sz w:val="32"/>
          <w:szCs w:val="32"/>
          <w:lang w:val="en-US" w:eastAsia="zh-CN"/>
        </w:rPr>
        <w:t>30</w:t>
      </w:r>
      <w:r>
        <w:rPr>
          <w:rFonts w:hint="eastAsia" w:ascii="仿宋_GB2312" w:eastAsia="仿宋_GB2312"/>
          <w:color w:val="000000"/>
          <w:sz w:val="32"/>
          <w:szCs w:val="32"/>
          <w:lang w:eastAsia="zh-CN"/>
        </w:rPr>
        <w:t>万元</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培训费1万元，公务接待16.8万元，</w:t>
      </w:r>
      <w:r>
        <w:rPr>
          <w:rFonts w:hint="eastAsia" w:ascii="仿宋_GB2312" w:eastAsia="仿宋_GB2312"/>
          <w:color w:val="000000"/>
          <w:sz w:val="32"/>
          <w:szCs w:val="32"/>
        </w:rPr>
        <w:t>工会经费</w:t>
      </w:r>
      <w:r>
        <w:rPr>
          <w:rFonts w:hint="eastAsia" w:eastAsia="仿宋_GB2312"/>
          <w:color w:val="000000"/>
          <w:sz w:val="32"/>
          <w:szCs w:val="32"/>
          <w:lang w:val="en-US" w:eastAsia="zh-CN"/>
        </w:rPr>
        <w:t>5</w:t>
      </w:r>
      <w:r>
        <w:rPr>
          <w:rFonts w:hint="eastAsia" w:ascii="仿宋_GB2312" w:eastAsia="仿宋_GB2312"/>
          <w:color w:val="000000"/>
          <w:sz w:val="32"/>
          <w:szCs w:val="32"/>
          <w:lang w:eastAsia="zh-CN"/>
        </w:rPr>
        <w:t>万元</w:t>
      </w:r>
      <w:r>
        <w:rPr>
          <w:rFonts w:hint="eastAsia" w:ascii="仿宋_GB2312" w:eastAsia="仿宋_GB2312"/>
          <w:color w:val="000000"/>
          <w:sz w:val="32"/>
          <w:szCs w:val="32"/>
        </w:rPr>
        <w:t>、福利费</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lang w:eastAsia="zh-CN"/>
        </w:rPr>
        <w:t>万元，</w:t>
      </w:r>
      <w:r>
        <w:rPr>
          <w:rFonts w:hint="eastAsia" w:ascii="仿宋_GB2312" w:eastAsia="仿宋_GB2312"/>
          <w:color w:val="000000"/>
          <w:sz w:val="32"/>
          <w:szCs w:val="32"/>
          <w:lang w:val="en-US" w:eastAsia="zh-CN"/>
        </w:rPr>
        <w:t>公务用车运行维护费6.03万元，其他交通费用60.8万元。</w:t>
      </w:r>
    </w:p>
    <w:p>
      <w:pPr>
        <w:keepNext w:val="0"/>
        <w:keepLines w:val="0"/>
        <w:pageBreakBefore w:val="0"/>
        <w:widowControl w:val="0"/>
        <w:kinsoku/>
        <w:wordWrap/>
        <w:overflowPunct/>
        <w:topLinePunct w:val="0"/>
        <w:bidi w:val="0"/>
        <w:spacing w:line="576" w:lineRule="exact"/>
        <w:ind w:left="0" w:leftChars="0" w:right="0" w:rightChars="0" w:firstLine="645"/>
        <w:textAlignment w:val="auto"/>
        <w:rPr>
          <w:rFonts w:hint="eastAsia" w:ascii="仿宋_GB2312" w:eastAsia="仿宋_GB2312"/>
          <w:color w:val="000000"/>
          <w:sz w:val="32"/>
          <w:szCs w:val="32"/>
          <w:lang w:eastAsia="zh-CN"/>
        </w:rPr>
      </w:pPr>
    </w:p>
    <w:p>
      <w:pPr>
        <w:keepNext w:val="0"/>
        <w:keepLines w:val="0"/>
        <w:pageBreakBefore w:val="0"/>
        <w:widowControl w:val="0"/>
        <w:kinsoku/>
        <w:wordWrap/>
        <w:overflowPunct/>
        <w:topLinePunct w:val="0"/>
        <w:bidi w:val="0"/>
        <w:spacing w:line="240" w:lineRule="auto"/>
        <w:ind w:right="0" w:rightChars="0" w:firstLine="640" w:firstLineChars="200"/>
        <w:jc w:val="both"/>
        <w:textAlignment w:val="auto"/>
        <w:rPr>
          <w:rFonts w:hint="default" w:ascii="仿宋_GB2312" w:eastAsia="仿宋_GB2312"/>
          <w:color w:val="000000"/>
          <w:sz w:val="32"/>
          <w:szCs w:val="32"/>
          <w:lang w:val="en-US" w:eastAsia="zh-CN"/>
        </w:rPr>
      </w:pPr>
      <w:r>
        <w:rPr>
          <w:rFonts w:hint="eastAsia" w:ascii="仿宋_GB2312" w:eastAsia="仿宋_GB2312"/>
          <w:color w:val="000000"/>
          <w:sz w:val="32"/>
          <w:szCs w:val="32"/>
          <w:lang w:val="en-US" w:eastAsia="zh-CN"/>
        </w:rPr>
        <w:t>项目支出2071.32万元，按用途分：</w:t>
      </w:r>
      <w:r>
        <w:rPr>
          <w:rFonts w:hint="eastAsia" w:ascii="仿宋_GB2312" w:eastAsia="仿宋_GB2312"/>
          <w:color w:val="000000"/>
          <w:sz w:val="32"/>
          <w:szCs w:val="32"/>
        </w:rPr>
        <w:t>一般公共服务支出</w:t>
      </w:r>
      <w:r>
        <w:rPr>
          <w:rFonts w:hint="eastAsia" w:ascii="仿宋_GB2312" w:eastAsia="仿宋_GB2312"/>
          <w:color w:val="000000"/>
          <w:sz w:val="32"/>
          <w:szCs w:val="32"/>
          <w:lang w:val="en-US" w:eastAsia="zh-CN"/>
        </w:rPr>
        <w:t>24万元，国防支出0.5万元，社会保障和就业支出20万元，卫生健康支出294万元，节能环保支出60万元，城乡社区支出51.04万元，交通运输支出4万元，灾害防治及应急管理支出40万元，农林水支出1577.79万元。</w:t>
      </w:r>
    </w:p>
    <w:p>
      <w:pPr>
        <w:keepNext w:val="0"/>
        <w:keepLines w:val="0"/>
        <w:pageBreakBefore w:val="0"/>
        <w:widowControl w:val="0"/>
        <w:kinsoku/>
        <w:wordWrap/>
        <w:overflowPunct/>
        <w:topLinePunct w:val="0"/>
        <w:bidi w:val="0"/>
        <w:spacing w:line="576" w:lineRule="exact"/>
        <w:ind w:left="0" w:leftChars="0" w:right="0" w:rightChars="0" w:firstLine="640"/>
        <w:textAlignment w:val="auto"/>
      </w:pPr>
      <w:r>
        <w:rPr>
          <w:rFonts w:hint="eastAsia" w:ascii="仿宋" w:hAnsi="仿宋" w:eastAsia="仿宋" w:cs="仿宋"/>
          <w:i w:val="0"/>
          <w:caps w:val="0"/>
          <w:color w:val="333333"/>
          <w:spacing w:val="0"/>
          <w:sz w:val="32"/>
          <w:szCs w:val="32"/>
          <w:shd w:val="clear" w:color="auto" w:fill="FFFFFF"/>
          <w:lang w:val="en-US" w:eastAsia="zh-CN"/>
        </w:rPr>
        <w:t>2022</w:t>
      </w:r>
      <w:r>
        <w:rPr>
          <w:rFonts w:hint="eastAsia" w:ascii="仿宋" w:hAnsi="仿宋" w:eastAsia="仿宋" w:cs="仿宋"/>
          <w:sz w:val="32"/>
          <w:szCs w:val="32"/>
        </w:rPr>
        <w:t>年三公经费总额为</w:t>
      </w:r>
      <w:r>
        <w:rPr>
          <w:rFonts w:hint="eastAsia" w:ascii="仿宋" w:hAnsi="仿宋" w:eastAsia="仿宋" w:cs="仿宋"/>
          <w:i w:val="0"/>
          <w:caps w:val="0"/>
          <w:color w:val="333333"/>
          <w:spacing w:val="0"/>
          <w:sz w:val="32"/>
          <w:szCs w:val="32"/>
          <w:shd w:val="clear" w:color="auto" w:fill="FFFFFF"/>
          <w:lang w:val="en-US" w:eastAsia="zh-CN"/>
        </w:rPr>
        <w:t>22.83</w:t>
      </w:r>
      <w:r>
        <w:rPr>
          <w:rFonts w:hint="eastAsia" w:ascii="仿宋" w:hAnsi="仿宋" w:eastAsia="仿宋" w:cs="仿宋"/>
          <w:sz w:val="32"/>
          <w:szCs w:val="32"/>
        </w:rPr>
        <w:t>万元</w:t>
      </w:r>
      <w:r>
        <w:rPr>
          <w:rFonts w:hint="eastAsia" w:ascii="仿宋" w:hAnsi="仿宋" w:eastAsia="仿宋" w:cs="仿宋"/>
          <w:i w:val="0"/>
          <w:caps w:val="0"/>
          <w:color w:val="333333"/>
          <w:spacing w:val="0"/>
          <w:sz w:val="32"/>
          <w:szCs w:val="32"/>
          <w:shd w:val="clear" w:color="auto" w:fill="FFFFFF"/>
        </w:rPr>
        <w:t>。</w:t>
      </w:r>
      <w:r>
        <w:rPr>
          <w:rFonts w:hint="eastAsia" w:ascii="仿宋" w:hAnsi="仿宋" w:eastAsia="仿宋" w:cs="仿宋"/>
          <w:sz w:val="32"/>
          <w:szCs w:val="32"/>
        </w:rPr>
        <w:t>其中：公务用车运行维护费</w:t>
      </w:r>
      <w:r>
        <w:rPr>
          <w:rFonts w:hint="eastAsia" w:ascii="仿宋" w:hAnsi="仿宋" w:eastAsia="仿宋" w:cs="仿宋"/>
          <w:i w:val="0"/>
          <w:caps w:val="0"/>
          <w:color w:val="333333"/>
          <w:spacing w:val="0"/>
          <w:sz w:val="32"/>
          <w:szCs w:val="32"/>
          <w:shd w:val="clear" w:color="auto" w:fill="FFFFFF"/>
          <w:lang w:val="en-US" w:eastAsia="zh-CN"/>
        </w:rPr>
        <w:t>6.03</w:t>
      </w:r>
      <w:r>
        <w:rPr>
          <w:rFonts w:hint="eastAsia" w:ascii="仿宋" w:hAnsi="仿宋" w:eastAsia="仿宋" w:cs="仿宋"/>
          <w:sz w:val="32"/>
          <w:szCs w:val="32"/>
        </w:rPr>
        <w:t>万元</w:t>
      </w:r>
      <w:r>
        <w:rPr>
          <w:rFonts w:hint="eastAsia" w:ascii="仿宋" w:hAnsi="仿宋" w:eastAsia="仿宋" w:cs="仿宋"/>
          <w:i w:val="0"/>
          <w:caps w:val="0"/>
          <w:color w:val="333333"/>
          <w:spacing w:val="0"/>
          <w:sz w:val="32"/>
          <w:szCs w:val="32"/>
          <w:shd w:val="clear" w:color="auto" w:fill="FFFFFF"/>
        </w:rPr>
        <w:t>，</w:t>
      </w:r>
      <w:r>
        <w:rPr>
          <w:rFonts w:hint="eastAsia" w:ascii="仿宋" w:hAnsi="仿宋" w:eastAsia="仿宋" w:cs="仿宋"/>
          <w:sz w:val="32"/>
          <w:szCs w:val="32"/>
        </w:rPr>
        <w:t>公务接待费</w:t>
      </w:r>
      <w:r>
        <w:rPr>
          <w:rFonts w:hint="eastAsia" w:ascii="仿宋" w:hAnsi="仿宋" w:eastAsia="仿宋" w:cs="仿宋"/>
          <w:i w:val="0"/>
          <w:caps w:val="0"/>
          <w:color w:val="333333"/>
          <w:spacing w:val="0"/>
          <w:sz w:val="32"/>
          <w:szCs w:val="32"/>
          <w:shd w:val="clear" w:color="auto" w:fill="FFFFFF"/>
          <w:lang w:val="en-US" w:eastAsia="zh-CN"/>
        </w:rPr>
        <w:t>16.8</w:t>
      </w:r>
      <w:r>
        <w:rPr>
          <w:rFonts w:hint="eastAsia" w:ascii="仿宋" w:hAnsi="仿宋" w:eastAsia="仿宋" w:cs="仿宋"/>
          <w:sz w:val="32"/>
          <w:szCs w:val="32"/>
        </w:rPr>
        <w:t>万元</w:t>
      </w:r>
      <w:r>
        <w:rPr>
          <w:rFonts w:hint="eastAsia" w:ascii="仿宋" w:hAnsi="仿宋" w:eastAsia="仿宋" w:cs="仿宋"/>
          <w:i w:val="0"/>
          <w:caps w:val="0"/>
          <w:color w:val="333333"/>
          <w:spacing w:val="0"/>
          <w:sz w:val="32"/>
          <w:szCs w:val="32"/>
          <w:shd w:val="clear" w:color="auto" w:fill="FFFFFF"/>
        </w:rPr>
        <w:t>，</w:t>
      </w:r>
      <w:r>
        <w:rPr>
          <w:rFonts w:hint="eastAsia" w:ascii="仿宋" w:hAnsi="仿宋" w:eastAsia="仿宋" w:cs="仿宋"/>
          <w:color w:val="000000"/>
          <w:sz w:val="32"/>
          <w:szCs w:val="32"/>
        </w:rPr>
        <w:t>主要用于执行公务、开展业务活动开支的交通费、住宿费、用餐费等</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因公出国（境）费</w:t>
      </w:r>
      <w:r>
        <w:rPr>
          <w:rFonts w:hint="eastAsia" w:ascii="仿宋" w:hAnsi="仿宋" w:eastAsia="仿宋" w:cs="仿宋"/>
          <w:color w:val="333333"/>
          <w:sz w:val="32"/>
          <w:szCs w:val="32"/>
          <w:lang w:val="en-US" w:eastAsia="zh-CN"/>
        </w:rPr>
        <w:t>0.00</w:t>
      </w:r>
      <w:r>
        <w:rPr>
          <w:rFonts w:hint="eastAsia" w:ascii="仿宋" w:hAnsi="仿宋" w:eastAsia="仿宋" w:cs="仿宋"/>
          <w:color w:val="000000"/>
          <w:sz w:val="32"/>
          <w:szCs w:val="32"/>
        </w:rPr>
        <w:t>万元。全年安排因公出国（境）团组</w:t>
      </w:r>
      <w:r>
        <w:rPr>
          <w:rFonts w:hint="eastAsia" w:ascii="仿宋" w:hAnsi="仿宋" w:eastAsia="仿宋" w:cs="仿宋"/>
          <w:color w:val="000000"/>
          <w:sz w:val="32"/>
          <w:szCs w:val="32"/>
          <w:lang w:val="en-US" w:eastAsia="zh-CN"/>
        </w:rPr>
        <w:t>0</w:t>
      </w:r>
      <w:r>
        <w:rPr>
          <w:rFonts w:hint="eastAsia" w:ascii="仿宋" w:hAnsi="仿宋" w:eastAsia="仿宋" w:cs="仿宋"/>
          <w:color w:val="000000"/>
          <w:sz w:val="32"/>
          <w:szCs w:val="32"/>
        </w:rPr>
        <w:t>次，出国（境）</w:t>
      </w:r>
      <w:r>
        <w:rPr>
          <w:rFonts w:hint="eastAsia" w:ascii="仿宋" w:hAnsi="仿宋" w:eastAsia="仿宋" w:cs="仿宋"/>
          <w:color w:val="000000"/>
          <w:sz w:val="32"/>
          <w:szCs w:val="32"/>
          <w:lang w:val="en-US" w:eastAsia="zh-CN"/>
        </w:rPr>
        <w:t>0</w:t>
      </w:r>
      <w:r>
        <w:rPr>
          <w:rFonts w:hint="eastAsia" w:ascii="仿宋" w:hAnsi="仿宋" w:eastAsia="仿宋" w:cs="仿宋"/>
          <w:color w:val="000000"/>
          <w:sz w:val="32"/>
          <w:szCs w:val="32"/>
        </w:rPr>
        <w:t>人。</w:t>
      </w:r>
    </w:p>
    <w:p>
      <w:pPr>
        <w:widowControl/>
        <w:numPr>
          <w:ilvl w:val="0"/>
          <w:numId w:val="9"/>
        </w:numPr>
        <w:adjustRightInd w:val="0"/>
        <w:snapToGrid w:val="0"/>
        <w:spacing w:line="560" w:lineRule="exact"/>
        <w:ind w:left="0" w:leftChars="0" w:firstLine="640" w:firstLineChars="200"/>
        <w:contextualSpacing/>
        <w:jc w:val="left"/>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部门总体结转结余情况</w:t>
      </w:r>
    </w:p>
    <w:p>
      <w:pPr>
        <w:pStyle w:val="2"/>
        <w:numPr>
          <w:ilvl w:val="0"/>
          <w:numId w:val="0"/>
        </w:numPr>
        <w:ind w:leftChars="200"/>
        <w:rPr>
          <w:rFonts w:hint="default" w:eastAsia="仿宋_GB2312"/>
          <w:lang w:val="en-US" w:eastAsia="zh-CN"/>
        </w:rPr>
      </w:pPr>
      <w:r>
        <w:rPr>
          <w:rFonts w:hint="eastAsia"/>
          <w:lang w:val="en-US" w:eastAsia="zh-CN"/>
        </w:rPr>
        <w:t>普安镇政府部门总体结转结余为0万元。</w:t>
      </w:r>
    </w:p>
    <w:p>
      <w:pPr>
        <w:widowControl/>
        <w:adjustRightInd w:val="0"/>
        <w:snapToGrid w:val="0"/>
        <w:spacing w:line="560" w:lineRule="exact"/>
        <w:ind w:firstLine="643" w:firstLineChars="200"/>
        <w:contextualSpacing/>
        <w:jc w:val="left"/>
        <w:rPr>
          <w:rFonts w:ascii="楷体_GB2312" w:hAnsi="楷体_GB2312" w:eastAsia="楷体_GB2312" w:cs="楷体_GB2312"/>
          <w:b/>
          <w:bCs/>
          <w:kern w:val="0"/>
          <w:sz w:val="32"/>
          <w:szCs w:val="32"/>
          <w:shd w:val="clear" w:color="auto" w:fill="FFFFFF"/>
          <w:lang w:val="zh-CN"/>
        </w:rPr>
      </w:pPr>
      <w:r>
        <w:rPr>
          <w:rFonts w:hint="eastAsia" w:ascii="楷体_GB2312" w:hAnsi="楷体_GB2312" w:eastAsia="楷体_GB2312" w:cs="楷体_GB2312"/>
          <w:b/>
          <w:bCs/>
          <w:kern w:val="0"/>
          <w:sz w:val="32"/>
          <w:szCs w:val="32"/>
          <w:shd w:val="clear" w:color="auto" w:fill="FFFFFF"/>
          <w:lang w:val="zh-CN"/>
        </w:rPr>
        <w:t>（二）部门财政拨款收支情况。</w:t>
      </w:r>
    </w:p>
    <w:p>
      <w:pPr>
        <w:widowControl/>
        <w:adjustRightInd w:val="0"/>
        <w:snapToGrid w:val="0"/>
        <w:spacing w:line="560" w:lineRule="exact"/>
        <w:ind w:firstLine="640" w:firstLineChars="200"/>
        <w:contextualSpacing/>
        <w:jc w:val="left"/>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1.部门财政拨款收入情况</w:t>
      </w:r>
    </w:p>
    <w:p>
      <w:pPr>
        <w:pStyle w:val="2"/>
        <w:ind w:firstLine="900" w:firstLineChars="300"/>
      </w:pPr>
      <w:r>
        <w:rPr>
          <w:rFonts w:hint="eastAsia" w:ascii="仿宋_GB2312" w:hAnsi="Times New Roman" w:eastAsia="仿宋_GB2312" w:cs="Times New Roman"/>
          <w:kern w:val="0"/>
          <w:sz w:val="30"/>
          <w:szCs w:val="24"/>
          <w:lang w:val="en-US" w:eastAsia="zh-CN" w:bidi="ar-SA"/>
        </w:rPr>
        <w:t>202</w:t>
      </w:r>
      <w:r>
        <w:rPr>
          <w:rFonts w:hint="eastAsia" w:cs="Times New Roman"/>
          <w:kern w:val="0"/>
          <w:sz w:val="30"/>
          <w:szCs w:val="24"/>
          <w:lang w:val="en-US" w:eastAsia="zh-CN" w:bidi="ar-SA"/>
        </w:rPr>
        <w:t>2</w:t>
      </w:r>
      <w:r>
        <w:rPr>
          <w:rFonts w:hint="eastAsia" w:ascii="仿宋_GB2312" w:hAnsi="Times New Roman" w:eastAsia="仿宋_GB2312" w:cs="Times New Roman"/>
          <w:kern w:val="0"/>
          <w:sz w:val="30"/>
          <w:szCs w:val="24"/>
          <w:lang w:val="en-US" w:eastAsia="zh-CN" w:bidi="ar-SA"/>
        </w:rPr>
        <w:t>年普安镇人民政府收入总额为</w:t>
      </w:r>
      <w:r>
        <w:rPr>
          <w:rFonts w:hint="eastAsia" w:ascii="仿宋_GB2312" w:eastAsia="仿宋_GB2312" w:cs="Times New Roman"/>
          <w:kern w:val="0"/>
          <w:sz w:val="30"/>
          <w:szCs w:val="24"/>
          <w:lang w:val="en-US" w:eastAsia="zh-CN" w:bidi="ar-SA"/>
        </w:rPr>
        <w:t>5365.87</w:t>
      </w:r>
      <w:r>
        <w:rPr>
          <w:rFonts w:hint="eastAsia" w:ascii="仿宋_GB2312" w:hAnsi="Times New Roman" w:eastAsia="仿宋_GB2312" w:cs="Times New Roman"/>
          <w:kern w:val="0"/>
          <w:sz w:val="30"/>
          <w:szCs w:val="24"/>
          <w:lang w:val="en-US" w:eastAsia="zh-CN" w:bidi="ar-SA"/>
        </w:rPr>
        <w:t>万元</w:t>
      </w:r>
      <w:r>
        <w:rPr>
          <w:rFonts w:hint="eastAsia" w:hAnsi="Times New Roman" w:cs="Times New Roman"/>
          <w:kern w:val="0"/>
          <w:sz w:val="30"/>
          <w:szCs w:val="24"/>
          <w:lang w:val="en-US" w:eastAsia="zh-CN" w:bidi="ar-SA"/>
        </w:rPr>
        <w:t>，全部为财政拨款收入</w:t>
      </w:r>
    </w:p>
    <w:p>
      <w:pPr>
        <w:widowControl/>
        <w:numPr>
          <w:ilvl w:val="0"/>
          <w:numId w:val="0"/>
        </w:numPr>
        <w:adjustRightInd w:val="0"/>
        <w:snapToGrid w:val="0"/>
        <w:spacing w:line="560" w:lineRule="exact"/>
        <w:ind w:leftChars="200" w:firstLine="320" w:firstLineChars="100"/>
        <w:contextualSpacing/>
        <w:jc w:val="left"/>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val="en-US" w:eastAsia="zh-CN"/>
        </w:rPr>
        <w:t>2.</w:t>
      </w:r>
      <w:r>
        <w:rPr>
          <w:rFonts w:hint="eastAsia" w:ascii="仿宋_GB2312" w:hAnsi="仿宋_GB2312" w:eastAsia="仿宋_GB2312" w:cs="仿宋_GB2312"/>
          <w:kern w:val="0"/>
          <w:sz w:val="32"/>
          <w:szCs w:val="32"/>
          <w:shd w:val="clear" w:color="auto" w:fill="FFFFFF"/>
        </w:rPr>
        <w:t>部门财政拨款支出情况</w:t>
      </w:r>
    </w:p>
    <w:p>
      <w:pPr>
        <w:pStyle w:val="2"/>
      </w:pPr>
      <w:r>
        <w:rPr>
          <w:rFonts w:hint="eastAsia" w:ascii="仿宋" w:hAnsi="仿宋" w:eastAsia="仿宋" w:cs="仿宋"/>
          <w:i w:val="0"/>
          <w:caps w:val="0"/>
          <w:color w:val="000000"/>
          <w:spacing w:val="0"/>
          <w:kern w:val="0"/>
          <w:sz w:val="32"/>
          <w:szCs w:val="32"/>
          <w:shd w:val="clear" w:color="auto" w:fill="FFFFFF"/>
          <w:lang w:val="en-US" w:eastAsia="zh-CN" w:bidi="ar"/>
        </w:rPr>
        <w:t>2022年普安镇人民政府支出总额为</w:t>
      </w:r>
      <w:r>
        <w:rPr>
          <w:rFonts w:hint="eastAsia" w:ascii="仿宋_GB2312" w:eastAsia="仿宋_GB2312" w:cs="Times New Roman"/>
          <w:kern w:val="0"/>
          <w:sz w:val="30"/>
          <w:szCs w:val="24"/>
          <w:lang w:val="en-US" w:eastAsia="zh-CN" w:bidi="ar-SA"/>
        </w:rPr>
        <w:t>5365.87</w:t>
      </w:r>
      <w:r>
        <w:rPr>
          <w:rFonts w:hint="eastAsia" w:ascii="仿宋" w:hAnsi="仿宋" w:eastAsia="仿宋" w:cs="仿宋"/>
          <w:i w:val="0"/>
          <w:caps w:val="0"/>
          <w:color w:val="000000"/>
          <w:spacing w:val="0"/>
          <w:kern w:val="0"/>
          <w:sz w:val="32"/>
          <w:szCs w:val="32"/>
          <w:shd w:val="clear" w:color="auto" w:fill="FFFFFF"/>
          <w:lang w:val="en-US" w:eastAsia="zh-CN" w:bidi="ar"/>
        </w:rPr>
        <w:t>万元，</w:t>
      </w:r>
      <w:r>
        <w:rPr>
          <w:rFonts w:hint="eastAsia" w:hAnsi="Times New Roman" w:cs="Times New Roman"/>
          <w:kern w:val="0"/>
          <w:sz w:val="30"/>
          <w:szCs w:val="24"/>
          <w:lang w:val="en-US" w:eastAsia="zh-CN" w:bidi="ar-SA"/>
        </w:rPr>
        <w:t>全部为财政拨款支出。</w:t>
      </w:r>
    </w:p>
    <w:p>
      <w:pPr>
        <w:widowControl/>
        <w:numPr>
          <w:ilvl w:val="0"/>
          <w:numId w:val="0"/>
        </w:numPr>
        <w:adjustRightInd w:val="0"/>
        <w:snapToGrid w:val="0"/>
        <w:spacing w:line="560" w:lineRule="exact"/>
        <w:ind w:leftChars="200"/>
        <w:contextualSpacing/>
        <w:jc w:val="left"/>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val="en-US" w:eastAsia="zh-CN"/>
        </w:rPr>
        <w:t>3.</w:t>
      </w:r>
      <w:r>
        <w:rPr>
          <w:rFonts w:hint="eastAsia" w:ascii="仿宋_GB2312" w:hAnsi="仿宋_GB2312" w:eastAsia="仿宋_GB2312" w:cs="仿宋_GB2312"/>
          <w:kern w:val="0"/>
          <w:sz w:val="32"/>
          <w:szCs w:val="32"/>
          <w:shd w:val="clear" w:color="auto" w:fill="FFFFFF"/>
        </w:rPr>
        <w:t>部门财政拨款结转结余情况</w:t>
      </w:r>
    </w:p>
    <w:p>
      <w:pPr>
        <w:pStyle w:val="2"/>
        <w:numPr>
          <w:ilvl w:val="0"/>
          <w:numId w:val="0"/>
        </w:numPr>
        <w:ind w:leftChars="200" w:firstLine="600" w:firstLineChars="200"/>
      </w:pPr>
      <w:r>
        <w:rPr>
          <w:rFonts w:hint="eastAsia"/>
          <w:lang w:val="en-US" w:eastAsia="zh-CN"/>
        </w:rPr>
        <w:t>普安镇政府部门总体</w:t>
      </w:r>
      <w:r>
        <w:rPr>
          <w:rFonts w:hint="eastAsia" w:ascii="仿宋_GB2312" w:hAnsi="仿宋_GB2312" w:eastAsia="仿宋_GB2312" w:cs="仿宋_GB2312"/>
          <w:kern w:val="0"/>
          <w:sz w:val="32"/>
          <w:szCs w:val="32"/>
          <w:shd w:val="clear" w:color="auto" w:fill="FFFFFF"/>
        </w:rPr>
        <w:t>财政拨款</w:t>
      </w:r>
      <w:r>
        <w:rPr>
          <w:rFonts w:hint="eastAsia"/>
          <w:lang w:val="en-US" w:eastAsia="zh-CN"/>
        </w:rPr>
        <w:t>结转结余为0万元</w:t>
      </w:r>
    </w:p>
    <w:p>
      <w:pPr>
        <w:widowControl/>
        <w:adjustRightInd w:val="0"/>
        <w:snapToGrid w:val="0"/>
        <w:spacing w:line="560" w:lineRule="exact"/>
        <w:ind w:firstLine="640" w:firstLineChars="200"/>
        <w:contextualSpacing/>
        <w:jc w:val="left"/>
        <w:rPr>
          <w:rFonts w:ascii="黑体" w:hAnsi="宋体" w:eastAsia="黑体" w:cs="宋体"/>
          <w:color w:val="auto"/>
          <w:kern w:val="0"/>
          <w:sz w:val="32"/>
          <w:szCs w:val="32"/>
          <w:highlight w:val="none"/>
          <w:shd w:val="clear" w:color="auto" w:fill="FFFFFF"/>
        </w:rPr>
      </w:pPr>
      <w:r>
        <w:rPr>
          <w:rFonts w:hint="eastAsia" w:ascii="黑体" w:hAnsi="宋体" w:eastAsia="黑体" w:cs="宋体"/>
          <w:color w:val="auto"/>
          <w:kern w:val="0"/>
          <w:sz w:val="32"/>
          <w:szCs w:val="32"/>
          <w:highlight w:val="none"/>
          <w:shd w:val="clear" w:color="auto" w:fill="FFFFFF"/>
        </w:rPr>
        <w:t>三、部门整体绩效分析（根据适用指标体系进行调整，</w:t>
      </w:r>
      <w:r>
        <w:rPr>
          <w:rFonts w:hint="eastAsia" w:ascii="黑体" w:hAnsi="宋体" w:eastAsia="黑体" w:cs="宋体"/>
          <w:color w:val="auto"/>
          <w:kern w:val="0"/>
          <w:sz w:val="32"/>
          <w:szCs w:val="32"/>
          <w:highlight w:val="none"/>
          <w:shd w:val="clear" w:color="auto" w:fill="FFFFFF"/>
          <w:lang w:eastAsia="zh-CN"/>
        </w:rPr>
        <w:t>涉及</w:t>
      </w:r>
      <w:r>
        <w:rPr>
          <w:rFonts w:hint="eastAsia" w:ascii="黑体" w:hAnsi="宋体" w:eastAsia="黑体" w:cs="宋体"/>
          <w:color w:val="auto"/>
          <w:kern w:val="0"/>
          <w:sz w:val="32"/>
          <w:szCs w:val="32"/>
          <w:highlight w:val="none"/>
          <w:shd w:val="clear" w:color="auto" w:fill="FFFFFF"/>
        </w:rPr>
        <w:t>有专项资金预算项目的部门，专项资金预算项目自评报告作为本报告附件一并公开）</w:t>
      </w:r>
    </w:p>
    <w:p>
      <w:pPr>
        <w:widowControl/>
        <w:adjustRightInd w:val="0"/>
        <w:snapToGrid w:val="0"/>
        <w:spacing w:line="560" w:lineRule="exact"/>
        <w:ind w:firstLine="643" w:firstLineChars="200"/>
        <w:contextualSpacing/>
        <w:jc w:val="left"/>
        <w:rPr>
          <w:rFonts w:ascii="仿宋_GB2312" w:hAnsi="仿宋_GB2312" w:eastAsia="仿宋_GB2312" w:cs="仿宋_GB2312"/>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（一）部门预算项目绩效分析。</w:t>
      </w:r>
      <w:r>
        <w:rPr>
          <w:rFonts w:hint="eastAsia" w:ascii="仿宋_GB2312" w:hAnsi="仿宋_GB2312" w:eastAsia="仿宋_GB2312" w:cs="仿宋_GB2312"/>
          <w:color w:val="auto"/>
          <w:kern w:val="0"/>
          <w:sz w:val="32"/>
          <w:szCs w:val="32"/>
          <w:highlight w:val="none"/>
          <w:shd w:val="clear" w:color="auto" w:fill="FFFFFF"/>
          <w:lang w:val="zh-CN"/>
        </w:rPr>
        <w:t>（分段表述人员类、运转类、特定目标类项目绩效情况和存在问题）</w:t>
      </w:r>
    </w:p>
    <w:p>
      <w:pPr>
        <w:widowControl/>
        <w:adjustRightInd w:val="0"/>
        <w:snapToGrid w:val="0"/>
        <w:spacing w:line="560" w:lineRule="exact"/>
        <w:ind w:firstLine="640" w:firstLineChars="200"/>
        <w:contextualSpacing/>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1.人员类项目绩效分析</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 w:hAnsi="仿宋" w:eastAsia="仿宋" w:cs="仿宋"/>
          <w:b w:val="0"/>
          <w:bCs w:val="0"/>
          <w:i w:val="0"/>
          <w:iCs w:val="0"/>
          <w:caps w:val="0"/>
          <w:color w:val="000000"/>
          <w:spacing w:val="0"/>
          <w:kern w:val="0"/>
          <w:sz w:val="32"/>
          <w:szCs w:val="32"/>
          <w:shd w:val="clear" w:fill="FFFFFF"/>
          <w:lang w:val="en-US" w:eastAsia="zh-CN" w:bidi="ar-SA"/>
        </w:rPr>
      </w:pPr>
      <w:r>
        <w:rPr>
          <w:rFonts w:hint="eastAsia" w:ascii="仿宋" w:hAnsi="仿宋" w:eastAsia="仿宋" w:cs="仿宋"/>
          <w:b w:val="0"/>
          <w:bCs w:val="0"/>
          <w:i w:val="0"/>
          <w:iCs w:val="0"/>
          <w:caps w:val="0"/>
          <w:color w:val="000000"/>
          <w:spacing w:val="0"/>
          <w:kern w:val="0"/>
          <w:sz w:val="32"/>
          <w:szCs w:val="32"/>
          <w:shd w:val="clear" w:fill="FFFFFF"/>
          <w:lang w:val="zh-CN" w:eastAsia="zh-CN" w:bidi="ar-SA"/>
        </w:rPr>
        <w:t>人员类项目保障职工工资待遇及五险一金正常发放，促进机关职能运转。我单位</w:t>
      </w:r>
      <w:r>
        <w:rPr>
          <w:rFonts w:hint="eastAsia" w:ascii="仿宋" w:hAnsi="仿宋" w:eastAsia="仿宋" w:cs="仿宋"/>
          <w:b w:val="0"/>
          <w:bCs w:val="0"/>
          <w:i w:val="0"/>
          <w:iCs w:val="0"/>
          <w:caps w:val="0"/>
          <w:color w:val="000000"/>
          <w:spacing w:val="0"/>
          <w:kern w:val="0"/>
          <w:sz w:val="32"/>
          <w:szCs w:val="32"/>
          <w:shd w:val="clear" w:fill="FFFFFF"/>
          <w:lang w:val="en-US" w:eastAsia="zh-CN" w:bidi="ar-SA"/>
        </w:rPr>
        <w:t>2022年人员类项目预算3137.54万元，实际支付3104.54万元，资金执行率98.94%，执行情况较好，未使用部分资金系国库未及时审核支付部分保险，将结转至下年使用。存在问题：资金到位不及时，影响职工五险一金按时缴纳。</w:t>
      </w:r>
    </w:p>
    <w:p>
      <w:pPr>
        <w:widowControl/>
        <w:adjustRightInd w:val="0"/>
        <w:snapToGrid w:val="0"/>
        <w:spacing w:line="560" w:lineRule="exact"/>
        <w:ind w:firstLine="640" w:firstLineChars="200"/>
        <w:contextualSpacing/>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2.运转类项目绩效分析</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 w:hAnsi="仿宋" w:eastAsia="仿宋" w:cs="仿宋"/>
          <w:b w:val="0"/>
          <w:bCs w:val="0"/>
          <w:i w:val="0"/>
          <w:iCs w:val="0"/>
          <w:caps w:val="0"/>
          <w:color w:val="000000"/>
          <w:spacing w:val="0"/>
          <w:kern w:val="0"/>
          <w:sz w:val="32"/>
          <w:szCs w:val="32"/>
          <w:shd w:val="clear" w:fill="FFFFFF"/>
          <w:lang w:val="en-US" w:eastAsia="zh-CN" w:bidi="ar-SA"/>
        </w:rPr>
      </w:pPr>
      <w:r>
        <w:rPr>
          <w:rFonts w:hint="eastAsia" w:ascii="仿宋" w:hAnsi="仿宋" w:eastAsia="仿宋" w:cs="仿宋"/>
          <w:b w:val="0"/>
          <w:bCs w:val="0"/>
          <w:i w:val="0"/>
          <w:iCs w:val="0"/>
          <w:caps w:val="0"/>
          <w:color w:val="000000"/>
          <w:spacing w:val="0"/>
          <w:kern w:val="0"/>
          <w:sz w:val="32"/>
          <w:szCs w:val="32"/>
          <w:shd w:val="clear" w:fill="FFFFFF"/>
          <w:lang w:val="zh-CN" w:eastAsia="zh-CN" w:bidi="ar-SA"/>
        </w:rPr>
        <w:t>运转类项目保障机关运转，日常水电气、办公费、差旅费等开销。我单位</w:t>
      </w:r>
      <w:r>
        <w:rPr>
          <w:rFonts w:hint="eastAsia" w:ascii="仿宋" w:hAnsi="仿宋" w:eastAsia="仿宋" w:cs="仿宋"/>
          <w:b w:val="0"/>
          <w:bCs w:val="0"/>
          <w:i w:val="0"/>
          <w:iCs w:val="0"/>
          <w:caps w:val="0"/>
          <w:color w:val="000000"/>
          <w:spacing w:val="0"/>
          <w:kern w:val="0"/>
          <w:sz w:val="32"/>
          <w:szCs w:val="32"/>
          <w:shd w:val="clear" w:fill="FFFFFF"/>
          <w:lang w:val="en-US" w:eastAsia="zh-CN" w:bidi="ar-SA"/>
        </w:rPr>
        <w:t>2022年运转类项目预算189.99万元，实际支付189.99万元，资金执行率100%，机关日常事务运转得到充分保障，预算执行情况较好。</w:t>
      </w:r>
    </w:p>
    <w:p>
      <w:pPr>
        <w:widowControl/>
        <w:adjustRightInd w:val="0"/>
        <w:snapToGrid w:val="0"/>
        <w:spacing w:line="560" w:lineRule="exact"/>
        <w:ind w:firstLine="640" w:firstLineChars="200"/>
        <w:contextualSpacing/>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3.特定目标类项目绩效分析</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 w:hAnsi="仿宋" w:eastAsia="仿宋" w:cs="仿宋"/>
          <w:b w:val="0"/>
          <w:bCs w:val="0"/>
          <w:i w:val="0"/>
          <w:iCs w:val="0"/>
          <w:caps w:val="0"/>
          <w:color w:val="000000"/>
          <w:spacing w:val="0"/>
          <w:kern w:val="0"/>
          <w:sz w:val="32"/>
          <w:szCs w:val="32"/>
          <w:shd w:val="clear" w:fill="FFFFFF"/>
          <w:lang w:val="zh-CN" w:eastAsia="zh-CN" w:bidi="ar-SA"/>
        </w:rPr>
      </w:pPr>
      <w:r>
        <w:rPr>
          <w:rFonts w:hint="eastAsia" w:ascii="仿宋" w:hAnsi="仿宋" w:eastAsia="仿宋" w:cs="仿宋"/>
          <w:b w:val="0"/>
          <w:bCs w:val="0"/>
          <w:i w:val="0"/>
          <w:iCs w:val="0"/>
          <w:caps w:val="0"/>
          <w:color w:val="000000"/>
          <w:spacing w:val="0"/>
          <w:kern w:val="0"/>
          <w:sz w:val="32"/>
          <w:szCs w:val="32"/>
          <w:shd w:val="clear" w:fill="FFFFFF"/>
          <w:lang w:val="en-US" w:eastAsia="zh-CN" w:bidi="ar-SA"/>
        </w:rPr>
        <w:t>特定目标类</w:t>
      </w:r>
      <w:r>
        <w:rPr>
          <w:rFonts w:hint="eastAsia" w:ascii="仿宋" w:hAnsi="仿宋" w:eastAsia="仿宋" w:cs="仿宋"/>
          <w:b w:val="0"/>
          <w:bCs w:val="0"/>
          <w:i w:val="0"/>
          <w:iCs w:val="0"/>
          <w:caps w:val="0"/>
          <w:color w:val="000000"/>
          <w:spacing w:val="0"/>
          <w:kern w:val="0"/>
          <w:sz w:val="32"/>
          <w:szCs w:val="32"/>
          <w:shd w:val="clear" w:fill="FFFFFF"/>
          <w:lang w:val="zh-CN" w:eastAsia="zh-CN" w:bidi="ar-SA"/>
        </w:rPr>
        <w:t>项目用于保障村级支出，及其他项目支出。我单位</w:t>
      </w:r>
      <w:r>
        <w:rPr>
          <w:rFonts w:hint="eastAsia" w:ascii="仿宋" w:hAnsi="仿宋" w:eastAsia="仿宋" w:cs="仿宋"/>
          <w:b w:val="0"/>
          <w:bCs w:val="0"/>
          <w:i w:val="0"/>
          <w:iCs w:val="0"/>
          <w:caps w:val="0"/>
          <w:color w:val="000000"/>
          <w:spacing w:val="0"/>
          <w:kern w:val="0"/>
          <w:sz w:val="32"/>
          <w:szCs w:val="32"/>
          <w:shd w:val="clear" w:fill="FFFFFF"/>
          <w:lang w:val="en-US" w:eastAsia="zh-CN" w:bidi="ar-SA"/>
        </w:rPr>
        <w:t>2022年特定目标类项目预算2071.32万元，实际支付2071.32万元，资金执行率100%，执行情况较好。</w:t>
      </w:r>
    </w:p>
    <w:p>
      <w:pPr>
        <w:widowControl/>
        <w:adjustRightInd w:val="0"/>
        <w:snapToGrid w:val="0"/>
        <w:spacing w:line="560" w:lineRule="exact"/>
        <w:ind w:firstLine="643" w:firstLineChars="200"/>
        <w:contextualSpacing/>
        <w:jc w:val="left"/>
        <w:rPr>
          <w:rFonts w:ascii="楷体_GB2312" w:hAnsi="楷体_GB2312" w:eastAsia="楷体_GB2312" w:cs="楷体_GB2312"/>
          <w:b/>
          <w:bCs/>
          <w:kern w:val="0"/>
          <w:sz w:val="32"/>
          <w:szCs w:val="32"/>
          <w:shd w:val="clear" w:color="auto" w:fill="FFFFFF"/>
          <w:lang w:val="zh-CN"/>
        </w:rPr>
      </w:pPr>
      <w:r>
        <w:rPr>
          <w:rFonts w:hint="eastAsia" w:ascii="楷体_GB2312" w:hAnsi="楷体_GB2312" w:eastAsia="楷体_GB2312" w:cs="楷体_GB2312"/>
          <w:b/>
          <w:bCs/>
          <w:kern w:val="0"/>
          <w:sz w:val="32"/>
          <w:szCs w:val="32"/>
          <w:shd w:val="clear" w:color="auto" w:fill="FFFFFF"/>
          <w:lang w:val="zh-CN"/>
        </w:rPr>
        <w:t>（二）部门整体履职绩效分析。</w:t>
      </w:r>
    </w:p>
    <w:p>
      <w:pPr>
        <w:widowControl/>
        <w:adjustRightInd w:val="0"/>
        <w:snapToGrid w:val="0"/>
        <w:spacing w:line="560"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围绕部门整体绩效目标完成情况和部门履职情况进行绩效分析。</w:t>
      </w:r>
    </w:p>
    <w:p>
      <w:pPr>
        <w:widowControl/>
        <w:adjustRightInd w:val="0"/>
        <w:snapToGrid w:val="0"/>
        <w:spacing w:line="560" w:lineRule="exact"/>
        <w:ind w:firstLine="643" w:firstLineChars="200"/>
        <w:contextualSpacing/>
        <w:jc w:val="left"/>
        <w:rPr>
          <w:rFonts w:ascii="楷体_GB2312" w:hAnsi="楷体_GB2312" w:eastAsia="楷体_GB2312" w:cs="楷体_GB2312"/>
          <w:b/>
          <w:bCs/>
          <w:kern w:val="0"/>
          <w:sz w:val="32"/>
          <w:szCs w:val="32"/>
          <w:shd w:val="clear" w:color="auto" w:fill="FFFFFF"/>
          <w:lang w:val="zh-CN"/>
        </w:rPr>
      </w:pPr>
      <w:r>
        <w:rPr>
          <w:rFonts w:hint="eastAsia" w:ascii="楷体_GB2312" w:hAnsi="楷体_GB2312" w:eastAsia="楷体_GB2312" w:cs="楷体_GB2312"/>
          <w:b/>
          <w:bCs/>
          <w:kern w:val="0"/>
          <w:sz w:val="32"/>
          <w:szCs w:val="32"/>
          <w:shd w:val="clear" w:color="auto" w:fill="FFFFFF"/>
          <w:lang w:val="zh-CN"/>
        </w:rPr>
        <w:t>（三）结果应用情况。</w:t>
      </w:r>
    </w:p>
    <w:p>
      <w:pPr>
        <w:pStyle w:val="14"/>
        <w:keepNext w:val="0"/>
        <w:keepLines w:val="0"/>
        <w:widowControl/>
        <w:suppressLineNumbers w:val="0"/>
        <w:ind w:left="0" w:firstLine="640" w:firstLineChars="200"/>
        <w:rPr>
          <w:rFonts w:hint="eastAsia" w:ascii="仿宋" w:hAnsi="仿宋" w:eastAsia="仿宋" w:cs="仿宋"/>
          <w:kern w:val="2"/>
          <w:sz w:val="32"/>
          <w:szCs w:val="32"/>
          <w:lang w:val="zh-CN" w:eastAsia="zh-CN" w:bidi="ar-SA"/>
        </w:rPr>
      </w:pPr>
      <w:r>
        <w:rPr>
          <w:rFonts w:hint="eastAsia" w:ascii="仿宋" w:hAnsi="仿宋" w:eastAsia="仿宋" w:cs="仿宋"/>
          <w:kern w:val="2"/>
          <w:sz w:val="32"/>
          <w:szCs w:val="32"/>
          <w:lang w:val="en-US" w:eastAsia="zh-CN" w:bidi="ar-SA"/>
        </w:rPr>
        <w:t>根据实际情况进行部门绩效管理，按规定组织和开展绩效评价，工作内容包括本部门的自评、完成本部门绩效评价报告与佐证、对各项目都进行了绩效评价，积极加强绩效管理与落实。通过加强绩效评价，提高了资金使用的效率和效益，让工作留下了痕迹，同时也产生了许多宝贵的经验。</w:t>
      </w:r>
    </w:p>
    <w:p>
      <w:pPr>
        <w:widowControl/>
        <w:numPr>
          <w:ilvl w:val="0"/>
          <w:numId w:val="10"/>
        </w:numPr>
        <w:adjustRightInd w:val="0"/>
        <w:snapToGrid w:val="0"/>
        <w:spacing w:line="560" w:lineRule="exact"/>
        <w:ind w:firstLine="643" w:firstLineChars="200"/>
        <w:contextualSpacing/>
        <w:jc w:val="left"/>
        <w:rPr>
          <w:rFonts w:ascii="楷体_GB2312" w:hAnsi="楷体_GB2312" w:eastAsia="楷体_GB2312" w:cs="楷体_GB2312"/>
          <w:b/>
          <w:bCs/>
          <w:kern w:val="0"/>
          <w:sz w:val="32"/>
          <w:szCs w:val="32"/>
          <w:shd w:val="clear" w:color="auto" w:fill="FFFFFF"/>
          <w:lang w:val="zh-CN"/>
        </w:rPr>
      </w:pPr>
      <w:r>
        <w:rPr>
          <w:rFonts w:hint="eastAsia" w:ascii="楷体_GB2312" w:hAnsi="楷体_GB2312" w:eastAsia="楷体_GB2312" w:cs="楷体_GB2312"/>
          <w:b/>
          <w:bCs/>
          <w:kern w:val="0"/>
          <w:sz w:val="32"/>
          <w:szCs w:val="32"/>
          <w:shd w:val="clear" w:color="auto" w:fill="FFFFFF"/>
          <w:lang w:val="zh-CN"/>
        </w:rPr>
        <w:t>自评质量。</w:t>
      </w:r>
    </w:p>
    <w:p>
      <w:pPr>
        <w:spacing w:line="580" w:lineRule="exact"/>
        <w:ind w:firstLine="640" w:firstLineChars="200"/>
        <w:rPr>
          <w:rFonts w:hint="default" w:ascii="仿宋_GB2312" w:hAnsi="仿宋_GB2312" w:eastAsia="仿宋_GB2312"/>
          <w:sz w:val="32"/>
          <w:szCs w:val="32"/>
          <w:lang w:val="en-US"/>
        </w:rPr>
      </w:pP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val="en-US" w:eastAsia="zh-CN"/>
        </w:rPr>
        <w:t>部门</w:t>
      </w:r>
      <w:r>
        <w:rPr>
          <w:rFonts w:hint="eastAsia" w:ascii="仿宋_GB2312" w:hAnsi="仿宋_GB2312" w:eastAsia="仿宋_GB2312" w:cs="仿宋_GB2312"/>
          <w:sz w:val="32"/>
          <w:szCs w:val="32"/>
        </w:rPr>
        <w:t>按要求对</w:t>
      </w:r>
      <w:r>
        <w:rPr>
          <w:rFonts w:hint="eastAsia" w:ascii="仿宋_GB2312" w:hAnsi="仿宋_GB2312" w:eastAsia="仿宋_GB2312" w:cs="仿宋_GB2312"/>
          <w:sz w:val="32"/>
          <w:szCs w:val="32"/>
          <w:lang w:eastAsia="zh-CN"/>
        </w:rPr>
        <w:t>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年部门整体支出开展绩效自评，从评价情况来看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完成效果较好</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本部门围绕年初工作规划和重点性工作，积极履职，强化管理，通过加强预算收支管理，不断健全内部管理制度，梳理内部管理流程，部门整体支出管理情况得到提升。</w:t>
      </w:r>
      <w:r>
        <w:rPr>
          <w:rFonts w:hint="eastAsia" w:ascii="仿宋_GB2312" w:hAnsi="仿宋_GB2312" w:eastAsia="仿宋_GB2312" w:cs="仿宋_GB2312"/>
          <w:sz w:val="32"/>
          <w:szCs w:val="32"/>
        </w:rPr>
        <w:t>本部门还自行组织了</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个项目绩效评价，从评价情况来看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完成效果较好。</w:t>
      </w:r>
    </w:p>
    <w:p>
      <w:pPr>
        <w:widowControl/>
        <w:adjustRightInd w:val="0"/>
        <w:snapToGrid w:val="0"/>
        <w:spacing w:line="560" w:lineRule="exact"/>
        <w:ind w:firstLine="640" w:firstLineChars="200"/>
        <w:contextualSpacing/>
        <w:jc w:val="left"/>
        <w:rPr>
          <w:rFonts w:ascii="黑体" w:hAnsi="宋体" w:eastAsia="黑体" w:cs="宋体"/>
          <w:kern w:val="0"/>
          <w:sz w:val="32"/>
          <w:szCs w:val="32"/>
          <w:shd w:val="clear" w:color="auto" w:fill="FFFFFF"/>
        </w:rPr>
      </w:pPr>
      <w:r>
        <w:rPr>
          <w:rFonts w:hint="eastAsia" w:ascii="黑体" w:hAnsi="宋体" w:eastAsia="黑体" w:cs="宋体"/>
          <w:kern w:val="0"/>
          <w:sz w:val="32"/>
          <w:szCs w:val="32"/>
          <w:shd w:val="clear" w:color="auto" w:fill="FFFFFF"/>
        </w:rPr>
        <w:t>四、评价结论及建议</w:t>
      </w:r>
    </w:p>
    <w:p>
      <w:pPr>
        <w:widowControl/>
        <w:adjustRightInd w:val="0"/>
        <w:snapToGrid w:val="0"/>
        <w:spacing w:line="560" w:lineRule="exact"/>
        <w:ind w:firstLine="643" w:firstLineChars="200"/>
        <w:contextualSpacing/>
        <w:jc w:val="left"/>
        <w:rPr>
          <w:rFonts w:hint="eastAsia" w:ascii="楷体_GB2312" w:hAnsi="楷体_GB2312" w:eastAsia="楷体_GB2312" w:cs="楷体_GB2312"/>
          <w:b/>
          <w:bCs/>
          <w:kern w:val="0"/>
          <w:sz w:val="32"/>
          <w:szCs w:val="32"/>
          <w:shd w:val="clear" w:color="auto" w:fill="FFFFFF"/>
          <w:lang w:val="zh-CN"/>
        </w:rPr>
      </w:pPr>
      <w:r>
        <w:rPr>
          <w:rFonts w:hint="eastAsia" w:ascii="楷体_GB2312" w:hAnsi="楷体_GB2312" w:eastAsia="楷体_GB2312" w:cs="楷体_GB2312"/>
          <w:b/>
          <w:bCs/>
          <w:kern w:val="0"/>
          <w:sz w:val="32"/>
          <w:szCs w:val="32"/>
          <w:shd w:val="clear" w:color="auto" w:fill="FFFFFF"/>
          <w:lang w:val="zh-CN"/>
        </w:rPr>
        <w:t>（一）评价结论。</w:t>
      </w:r>
    </w:p>
    <w:p>
      <w:pPr>
        <w:spacing w:line="580" w:lineRule="exact"/>
        <w:ind w:firstLine="640" w:firstLineChars="200"/>
        <w:rPr>
          <w:rFonts w:hint="eastAsia" w:ascii="仿宋_GB2312" w:hAnsi="仿宋_GB2312" w:eastAsia="仿宋_GB2312" w:cs="仿宋_GB2312"/>
          <w:sz w:val="32"/>
          <w:szCs w:val="32"/>
        </w:rPr>
      </w:pPr>
      <w:r>
        <w:rPr>
          <w:rFonts w:hint="eastAsia" w:ascii="仿宋" w:hAnsi="仿宋" w:eastAsia="仿宋" w:cs="仿宋"/>
          <w:i w:val="0"/>
          <w:caps w:val="0"/>
          <w:color w:val="666666"/>
          <w:spacing w:val="0"/>
          <w:sz w:val="32"/>
          <w:szCs w:val="32"/>
          <w:shd w:val="clear" w:color="auto" w:fill="FFFFFF"/>
        </w:rPr>
        <w:t>　</w:t>
      </w:r>
      <w:r>
        <w:rPr>
          <w:rFonts w:hint="eastAsia" w:ascii="仿宋_GB2312" w:hAnsi="仿宋_GB2312" w:eastAsia="仿宋_GB2312" w:cs="仿宋_GB2312"/>
          <w:sz w:val="32"/>
          <w:szCs w:val="32"/>
          <w:lang w:eastAsia="zh-CN"/>
        </w:rPr>
        <w:t>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年，根据镇年初工作规划和重点性工作，围绕</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政府全面建成小康社会的发展蓝图，积极履职，强化管理，较好</w:t>
      </w:r>
      <w:r>
        <w:rPr>
          <w:rFonts w:hint="eastAsia" w:ascii="仿宋_GB2312" w:hAnsi="仿宋_GB2312" w:eastAsia="仿宋_GB2312" w:cs="仿宋_GB2312"/>
          <w:sz w:val="32"/>
          <w:szCs w:val="32"/>
          <w:lang w:eastAsia="zh-CN"/>
        </w:rPr>
        <w:t>地</w:t>
      </w:r>
      <w:r>
        <w:rPr>
          <w:rFonts w:hint="eastAsia" w:ascii="仿宋_GB2312" w:hAnsi="仿宋_GB2312" w:eastAsia="仿宋_GB2312" w:cs="仿宋_GB2312"/>
          <w:sz w:val="32"/>
          <w:szCs w:val="32"/>
        </w:rPr>
        <w:t>完成了年度工作目标。通过加强预算收支管理，不断建立健全内部管理制度，梳理内部管理流程，部门整体支出管理情况得到提升。根据</w:t>
      </w:r>
      <w:r>
        <w:rPr>
          <w:rFonts w:hint="eastAsia" w:ascii="仿宋_GB2312" w:hAnsi="仿宋_GB2312" w:eastAsia="仿宋_GB2312" w:cs="仿宋_GB2312"/>
          <w:sz w:val="32"/>
          <w:szCs w:val="32"/>
          <w:lang w:eastAsia="zh-CN"/>
        </w:rPr>
        <w:t>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年度部门整体支出状况的概述和分析，部门整体支出绩效情况如下：</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）经济效益评价</w:t>
      </w:r>
    </w:p>
    <w:p>
      <w:pPr>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 本年预算配置控制较好。财政供养人员控制在预算编制以内，编制内在职人员控制率小于100%；“三公”经费预算总额较上年</w:t>
      </w:r>
      <w:r>
        <w:rPr>
          <w:rFonts w:hint="eastAsia" w:ascii="仿宋_GB2312" w:hAnsi="仿宋_GB2312" w:eastAsia="仿宋_GB2312" w:cs="仿宋_GB2312"/>
          <w:sz w:val="32"/>
          <w:szCs w:val="32"/>
          <w:lang w:val="en-US" w:eastAsia="zh-CN"/>
        </w:rPr>
        <w:t>持平。</w:t>
      </w:r>
    </w:p>
    <w:p>
      <w:pPr>
        <w:spacing w:line="58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2. 预算执行方面。支出总额控制在预算总额以内，预算管理方面，制度执行总体较为有效，仍需进一步强化；资金使用管理需进一步加强。</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资产管理方面，建立了资产管理制度，定期进行了盘点和资产清理，总体执行较好。</w:t>
      </w:r>
    </w:p>
    <w:p>
      <w:pPr>
        <w:spacing w:line="58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根据部门整体支出绩效评价指标体系，本镇</w:t>
      </w:r>
      <w:r>
        <w:rPr>
          <w:rFonts w:hint="eastAsia" w:ascii="仿宋_GB2312" w:hAnsi="仿宋_GB2312" w:eastAsia="仿宋_GB2312" w:cs="仿宋_GB2312"/>
          <w:sz w:val="32"/>
          <w:szCs w:val="32"/>
          <w:lang w:eastAsia="zh-CN"/>
        </w:rPr>
        <w:t>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年度评价得分为9</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分。</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）效率性评价和有效性评价</w:t>
      </w:r>
    </w:p>
    <w:p>
      <w:pPr>
        <w:spacing w:line="580" w:lineRule="exact"/>
        <w:ind w:firstLine="960" w:firstLineChars="300"/>
        <w:rPr>
          <w:lang w:val="zh-CN"/>
        </w:rPr>
      </w:pPr>
      <w:r>
        <w:rPr>
          <w:rFonts w:hint="eastAsia" w:ascii="仿宋_GB2312" w:hAnsi="仿宋_GB2312" w:eastAsia="仿宋_GB2312" w:cs="仿宋_GB2312"/>
          <w:sz w:val="32"/>
          <w:szCs w:val="32"/>
        </w:rPr>
        <w:t>我镇预算安排的基本支出保障了我镇正常的工作运转，我镇在执行上是严格遵守各项财经纪律的。我镇在资金的管理和使用上，严守法律底线、纪律底线、道德底线。</w:t>
      </w:r>
    </w:p>
    <w:p>
      <w:pPr>
        <w:widowControl/>
        <w:numPr>
          <w:ilvl w:val="0"/>
          <w:numId w:val="11"/>
        </w:numPr>
        <w:adjustRightInd w:val="0"/>
        <w:snapToGrid w:val="0"/>
        <w:spacing w:line="560" w:lineRule="exact"/>
        <w:ind w:firstLine="643" w:firstLineChars="200"/>
        <w:contextualSpacing/>
        <w:jc w:val="left"/>
        <w:rPr>
          <w:rFonts w:hint="eastAsia" w:ascii="楷体_GB2312" w:hAnsi="楷体_GB2312" w:eastAsia="楷体_GB2312" w:cs="楷体_GB2312"/>
          <w:b/>
          <w:bCs/>
          <w:kern w:val="0"/>
          <w:sz w:val="32"/>
          <w:szCs w:val="32"/>
          <w:shd w:val="clear" w:color="auto" w:fill="FFFFFF"/>
          <w:lang w:val="zh-CN"/>
        </w:rPr>
      </w:pPr>
      <w:r>
        <w:rPr>
          <w:rFonts w:hint="eastAsia" w:ascii="楷体_GB2312" w:hAnsi="楷体_GB2312" w:eastAsia="楷体_GB2312" w:cs="楷体_GB2312"/>
          <w:b/>
          <w:bCs/>
          <w:kern w:val="0"/>
          <w:sz w:val="32"/>
          <w:szCs w:val="32"/>
          <w:shd w:val="clear" w:color="auto" w:fill="FFFFFF"/>
          <w:lang w:val="zh-CN"/>
        </w:rPr>
        <w:t>存在问题。</w:t>
      </w:r>
    </w:p>
    <w:p>
      <w:pPr>
        <w:spacing w:line="580" w:lineRule="exact"/>
        <w:ind w:firstLine="640" w:firstLineChars="200"/>
        <w:rPr>
          <w:lang w:val="zh-CN"/>
        </w:rPr>
      </w:pPr>
      <w:r>
        <w:rPr>
          <w:rFonts w:hint="eastAsia" w:ascii="仿宋_GB2312" w:hAnsi="仿宋_GB2312" w:eastAsia="仿宋_GB2312" w:cs="仿宋_GB2312"/>
          <w:sz w:val="32"/>
          <w:szCs w:val="32"/>
        </w:rPr>
        <w:t>通过绩效评价工作的逐步推进，各部门逐步树立了绩效理念，对预算计算评价工作的态度由“被动接受”变为“主动实施”，但了解还不够深入，对单位绩效不重视，认为绩效评价只是财务部门的事情，相关职责部门配合不够，往往只能提供有限的财经资料或简单的工作计划、工作总结，绩效评价工作资料非常有限，内容粗浅。</w:t>
      </w:r>
    </w:p>
    <w:p>
      <w:pPr>
        <w:widowControl/>
        <w:numPr>
          <w:ilvl w:val="0"/>
          <w:numId w:val="11"/>
        </w:numPr>
        <w:adjustRightInd w:val="0"/>
        <w:snapToGrid w:val="0"/>
        <w:spacing w:line="560" w:lineRule="exact"/>
        <w:ind w:left="0" w:leftChars="0" w:firstLine="643" w:firstLineChars="200"/>
        <w:contextualSpacing/>
        <w:jc w:val="left"/>
        <w:rPr>
          <w:rFonts w:hint="eastAsia" w:ascii="楷体_GB2312" w:hAnsi="楷体_GB2312" w:eastAsia="楷体_GB2312" w:cs="楷体_GB2312"/>
          <w:b/>
          <w:bCs/>
          <w:kern w:val="0"/>
          <w:sz w:val="32"/>
          <w:szCs w:val="32"/>
          <w:shd w:val="clear" w:color="auto" w:fill="FFFFFF"/>
          <w:lang w:val="zh-CN"/>
        </w:rPr>
      </w:pPr>
      <w:r>
        <w:rPr>
          <w:rFonts w:hint="eastAsia" w:ascii="楷体_GB2312" w:hAnsi="楷体_GB2312" w:eastAsia="楷体_GB2312" w:cs="楷体_GB2312"/>
          <w:b/>
          <w:bCs/>
          <w:kern w:val="0"/>
          <w:sz w:val="32"/>
          <w:szCs w:val="32"/>
          <w:shd w:val="clear" w:color="auto" w:fill="FFFFFF"/>
          <w:lang w:val="zh-CN"/>
        </w:rPr>
        <w:t>改进建议。</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细化预算编制工作，认真做好预算的编制。进一步加强镇内部机构各部门的预算管理意识，严格按照预算编制的相关制度和要求进行预算编制；全面编制预算项目，优先保障固定性的、相对刚性的费用支出项目，尽量压缩变动性的、有控制空间的费用项目，进一步提高预算编制的科学性、严谨性和可控性。</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2、</w:t>
      </w:r>
      <w:r>
        <w:rPr>
          <w:rFonts w:hint="eastAsia" w:ascii="仿宋_GB2312" w:hAnsi="仿宋_GB2312" w:eastAsia="仿宋_GB2312" w:cs="仿宋_GB2312"/>
          <w:sz w:val="32"/>
          <w:szCs w:val="32"/>
        </w:rPr>
        <w:t>加强财务管理，严格财务审核。在费用报账支付时，按照预算规定的费用项目和用途进行资金使用审核、列报支付、财务核算，杜绝超支现象的发生。</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持续抓好“三公”经费控制管理。严格控制“三公”经费的规模和比例，把关“三公”经费支出的审核、审批，杜绝挪用和挤占其他预算资金行为；进一步细化“三公”经费的管理，合理压缩“三公”经费支出。</w:t>
      </w:r>
    </w:p>
    <w:p>
      <w:pPr>
        <w:spacing w:line="58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4、</w:t>
      </w:r>
      <w:r>
        <w:rPr>
          <w:rFonts w:hint="eastAsia" w:ascii="仿宋_GB2312" w:hAnsi="仿宋_GB2312" w:eastAsia="仿宋_GB2312" w:cs="仿宋_GB2312"/>
          <w:sz w:val="32"/>
          <w:szCs w:val="32"/>
        </w:rPr>
        <w:t>加强项目开展进度的跟踪，开展项目绩效评价，确保项目绩效目标的完成。</w:t>
      </w:r>
    </w:p>
    <w:tbl>
      <w:tblPr>
        <w:tblStyle w:val="18"/>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9"/>
        <w:gridCol w:w="438"/>
        <w:gridCol w:w="452"/>
        <w:gridCol w:w="770"/>
        <w:gridCol w:w="939"/>
        <w:gridCol w:w="266"/>
        <w:gridCol w:w="940"/>
        <w:gridCol w:w="237"/>
        <w:gridCol w:w="979"/>
        <w:gridCol w:w="268"/>
        <w:gridCol w:w="1043"/>
        <w:gridCol w:w="697"/>
        <w:gridCol w:w="7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 w:hRule="atLeast"/>
        </w:trPr>
        <w:tc>
          <w:tcPr>
            <w:tcW w:w="962" w:type="pct"/>
            <w:gridSpan w:val="3"/>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hint="default" w:ascii="黑体" w:hAnsi="宋体" w:eastAsia="黑体" w:cs="黑体"/>
                <w:i w:val="0"/>
                <w:iCs w:val="0"/>
                <w:color w:val="000000"/>
                <w:sz w:val="21"/>
                <w:szCs w:val="21"/>
                <w:u w:val="none"/>
                <w:lang w:val="en-US"/>
              </w:rPr>
            </w:pPr>
            <w:r>
              <w:rPr>
                <w:rFonts w:hint="eastAsia" w:ascii="黑体" w:hAnsi="宋体" w:eastAsia="黑体" w:cs="黑体"/>
                <w:i w:val="0"/>
                <w:iCs w:val="0"/>
                <w:color w:val="000000"/>
                <w:kern w:val="0"/>
                <w:sz w:val="21"/>
                <w:szCs w:val="21"/>
                <w:u w:val="none"/>
                <w:lang w:val="en-US" w:eastAsia="zh-CN" w:bidi="ar"/>
              </w:rPr>
              <w:t>附件2</w:t>
            </w:r>
          </w:p>
        </w:tc>
        <w:tc>
          <w:tcPr>
            <w:tcW w:w="454" w:type="pct"/>
            <w:tcBorders>
              <w:top w:val="nil"/>
              <w:left w:val="nil"/>
              <w:bottom w:val="nil"/>
              <w:right w:val="nil"/>
            </w:tcBorders>
            <w:shd w:val="clear" w:color="auto" w:fill="auto"/>
            <w:noWrap/>
            <w:vAlign w:val="center"/>
          </w:tcPr>
          <w:p>
            <w:pPr>
              <w:jc w:val="both"/>
              <w:rPr>
                <w:rFonts w:hint="eastAsia" w:ascii="黑体" w:hAnsi="宋体" w:eastAsia="黑体" w:cs="黑体"/>
                <w:i w:val="0"/>
                <w:iCs w:val="0"/>
                <w:color w:val="000000"/>
                <w:sz w:val="21"/>
                <w:szCs w:val="21"/>
                <w:u w:val="none"/>
              </w:rPr>
            </w:pPr>
          </w:p>
        </w:tc>
        <w:tc>
          <w:tcPr>
            <w:tcW w:w="553" w:type="pct"/>
            <w:tcBorders>
              <w:top w:val="nil"/>
              <w:left w:val="nil"/>
              <w:bottom w:val="nil"/>
              <w:right w:val="nil"/>
            </w:tcBorders>
            <w:shd w:val="clear" w:color="auto" w:fill="auto"/>
            <w:noWrap/>
            <w:vAlign w:val="center"/>
          </w:tcPr>
          <w:p>
            <w:pPr>
              <w:jc w:val="both"/>
              <w:rPr>
                <w:rFonts w:hint="eastAsia" w:ascii="宋体" w:hAnsi="宋体" w:eastAsia="宋体" w:cs="宋体"/>
                <w:i w:val="0"/>
                <w:iCs w:val="0"/>
                <w:color w:val="000000"/>
                <w:sz w:val="21"/>
                <w:szCs w:val="21"/>
                <w:u w:val="none"/>
              </w:rPr>
            </w:pPr>
          </w:p>
        </w:tc>
        <w:tc>
          <w:tcPr>
            <w:tcW w:w="158" w:type="pct"/>
            <w:tcBorders>
              <w:top w:val="nil"/>
              <w:left w:val="nil"/>
              <w:bottom w:val="nil"/>
              <w:right w:val="nil"/>
            </w:tcBorders>
            <w:shd w:val="clear" w:color="auto" w:fill="auto"/>
            <w:noWrap/>
            <w:vAlign w:val="center"/>
          </w:tcPr>
          <w:p>
            <w:pPr>
              <w:jc w:val="both"/>
              <w:rPr>
                <w:rFonts w:hint="eastAsia" w:ascii="宋体" w:hAnsi="宋体" w:eastAsia="宋体" w:cs="宋体"/>
                <w:i w:val="0"/>
                <w:iCs w:val="0"/>
                <w:color w:val="000000"/>
                <w:sz w:val="21"/>
                <w:szCs w:val="21"/>
                <w:u w:val="none"/>
              </w:rPr>
            </w:pPr>
          </w:p>
        </w:tc>
        <w:tc>
          <w:tcPr>
            <w:tcW w:w="553" w:type="pct"/>
            <w:tcBorders>
              <w:top w:val="nil"/>
              <w:left w:val="nil"/>
              <w:bottom w:val="nil"/>
              <w:right w:val="nil"/>
            </w:tcBorders>
            <w:shd w:val="clear" w:color="auto" w:fill="auto"/>
            <w:noWrap/>
            <w:vAlign w:val="center"/>
          </w:tcPr>
          <w:p>
            <w:pPr>
              <w:jc w:val="both"/>
              <w:rPr>
                <w:rFonts w:hint="eastAsia" w:ascii="宋体" w:hAnsi="宋体" w:eastAsia="宋体" w:cs="宋体"/>
                <w:i w:val="0"/>
                <w:iCs w:val="0"/>
                <w:color w:val="000000"/>
                <w:sz w:val="21"/>
                <w:szCs w:val="21"/>
                <w:u w:val="none"/>
              </w:rPr>
            </w:pPr>
          </w:p>
        </w:tc>
        <w:tc>
          <w:tcPr>
            <w:tcW w:w="141" w:type="pct"/>
            <w:tcBorders>
              <w:top w:val="nil"/>
              <w:left w:val="nil"/>
              <w:bottom w:val="nil"/>
              <w:right w:val="nil"/>
            </w:tcBorders>
            <w:shd w:val="clear" w:color="auto" w:fill="auto"/>
            <w:noWrap/>
            <w:vAlign w:val="center"/>
          </w:tcPr>
          <w:p>
            <w:pPr>
              <w:jc w:val="both"/>
              <w:rPr>
                <w:rFonts w:hint="eastAsia" w:ascii="宋体" w:hAnsi="宋体" w:eastAsia="宋体" w:cs="宋体"/>
                <w:i w:val="0"/>
                <w:iCs w:val="0"/>
                <w:color w:val="000000"/>
                <w:sz w:val="21"/>
                <w:szCs w:val="21"/>
                <w:u w:val="none"/>
              </w:rPr>
            </w:pPr>
          </w:p>
        </w:tc>
        <w:tc>
          <w:tcPr>
            <w:tcW w:w="577" w:type="pct"/>
            <w:tcBorders>
              <w:top w:val="nil"/>
              <w:left w:val="nil"/>
              <w:bottom w:val="nil"/>
              <w:right w:val="nil"/>
            </w:tcBorders>
            <w:shd w:val="clear" w:color="auto" w:fill="auto"/>
            <w:noWrap/>
            <w:vAlign w:val="center"/>
          </w:tcPr>
          <w:p>
            <w:pPr>
              <w:jc w:val="both"/>
              <w:rPr>
                <w:rFonts w:hint="eastAsia" w:ascii="宋体" w:hAnsi="宋体" w:eastAsia="宋体" w:cs="宋体"/>
                <w:i w:val="0"/>
                <w:iCs w:val="0"/>
                <w:color w:val="000000"/>
                <w:sz w:val="20"/>
                <w:szCs w:val="20"/>
                <w:u w:val="none"/>
              </w:rPr>
            </w:pPr>
          </w:p>
        </w:tc>
        <w:tc>
          <w:tcPr>
            <w:tcW w:w="159" w:type="pct"/>
            <w:tcBorders>
              <w:top w:val="nil"/>
              <w:left w:val="nil"/>
              <w:bottom w:val="nil"/>
              <w:right w:val="nil"/>
            </w:tcBorders>
            <w:shd w:val="clear" w:color="auto" w:fill="auto"/>
            <w:noWrap/>
            <w:vAlign w:val="center"/>
          </w:tcPr>
          <w:p>
            <w:pPr>
              <w:jc w:val="both"/>
              <w:rPr>
                <w:rFonts w:hint="eastAsia" w:ascii="宋体" w:hAnsi="宋体" w:eastAsia="宋体" w:cs="宋体"/>
                <w:i w:val="0"/>
                <w:iCs w:val="0"/>
                <w:color w:val="000000"/>
                <w:sz w:val="20"/>
                <w:szCs w:val="20"/>
                <w:u w:val="none"/>
              </w:rPr>
            </w:pPr>
          </w:p>
        </w:tc>
        <w:tc>
          <w:tcPr>
            <w:tcW w:w="614" w:type="pct"/>
            <w:tcBorders>
              <w:top w:val="nil"/>
              <w:left w:val="nil"/>
              <w:bottom w:val="nil"/>
              <w:right w:val="nil"/>
            </w:tcBorders>
            <w:shd w:val="clear" w:color="auto" w:fill="auto"/>
            <w:noWrap/>
            <w:vAlign w:val="center"/>
          </w:tcPr>
          <w:p>
            <w:pPr>
              <w:jc w:val="both"/>
              <w:rPr>
                <w:rFonts w:hint="eastAsia" w:ascii="宋体" w:hAnsi="宋体" w:eastAsia="宋体" w:cs="宋体"/>
                <w:i w:val="0"/>
                <w:iCs w:val="0"/>
                <w:color w:val="000000"/>
                <w:sz w:val="20"/>
                <w:szCs w:val="20"/>
                <w:u w:val="none"/>
              </w:rPr>
            </w:pPr>
          </w:p>
        </w:tc>
        <w:tc>
          <w:tcPr>
            <w:tcW w:w="389" w:type="pct"/>
            <w:tcBorders>
              <w:top w:val="nil"/>
              <w:left w:val="nil"/>
              <w:bottom w:val="nil"/>
              <w:right w:val="nil"/>
            </w:tcBorders>
            <w:shd w:val="clear" w:color="auto" w:fill="auto"/>
            <w:noWrap/>
            <w:vAlign w:val="center"/>
          </w:tcPr>
          <w:p>
            <w:pPr>
              <w:jc w:val="both"/>
              <w:rPr>
                <w:rFonts w:hint="eastAsia" w:ascii="宋体" w:hAnsi="宋体" w:eastAsia="宋体" w:cs="宋体"/>
                <w:i w:val="0"/>
                <w:iCs w:val="0"/>
                <w:color w:val="000000"/>
                <w:sz w:val="20"/>
                <w:szCs w:val="20"/>
                <w:u w:val="none"/>
              </w:rPr>
            </w:pPr>
          </w:p>
        </w:tc>
        <w:tc>
          <w:tcPr>
            <w:tcW w:w="436" w:type="pct"/>
            <w:tcBorders>
              <w:top w:val="nil"/>
              <w:left w:val="nil"/>
              <w:bottom w:val="nil"/>
              <w:right w:val="nil"/>
            </w:tcBorders>
            <w:shd w:val="clear" w:color="auto" w:fill="auto"/>
            <w:noWrap/>
            <w:vAlign w:val="center"/>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13"/>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2022年度部门整体支出绩效目标自评表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部门（单位）名称</w:t>
            </w:r>
          </w:p>
        </w:tc>
        <w:tc>
          <w:tcPr>
            <w:tcW w:w="4037" w:type="pct"/>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剑阁县</w:t>
            </w:r>
            <w:r>
              <w:rPr>
                <w:rFonts w:hint="eastAsia" w:ascii="宋体" w:hAnsi="宋体" w:cs="宋体"/>
                <w:i w:val="0"/>
                <w:iCs w:val="0"/>
                <w:color w:val="000000"/>
                <w:kern w:val="0"/>
                <w:sz w:val="16"/>
                <w:szCs w:val="16"/>
                <w:u w:val="none"/>
                <w:lang w:val="en-US" w:eastAsia="zh-CN" w:bidi="ar"/>
              </w:rPr>
              <w:t>普安</w:t>
            </w:r>
            <w:r>
              <w:rPr>
                <w:rFonts w:hint="eastAsia" w:ascii="宋体" w:hAnsi="宋体" w:eastAsia="宋体" w:cs="宋体"/>
                <w:i w:val="0"/>
                <w:iCs w:val="0"/>
                <w:color w:val="000000"/>
                <w:kern w:val="0"/>
                <w:sz w:val="16"/>
                <w:szCs w:val="16"/>
                <w:u w:val="none"/>
                <w:lang w:val="en-US" w:eastAsia="zh-CN" w:bidi="ar"/>
              </w:rPr>
              <w:t>镇人民政府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 w:hRule="atLeast"/>
        </w:trPr>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年度主要</w:t>
            </w:r>
          </w:p>
        </w:tc>
        <w:tc>
          <w:tcPr>
            <w:tcW w:w="1691"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年初任务目标</w:t>
            </w:r>
          </w:p>
        </w:tc>
        <w:tc>
          <w:tcPr>
            <w:tcW w:w="2871"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5" w:hRule="atLeast"/>
        </w:trPr>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任务</w:t>
            </w:r>
          </w:p>
        </w:tc>
        <w:tc>
          <w:tcPr>
            <w:tcW w:w="169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按时足额发放镇干部和村干部工资、足额缴纳保险，开展基层党组织活动，保障民生，宣传党的方针、政策，完成上级交办的各项工作。</w:t>
            </w:r>
          </w:p>
        </w:tc>
        <w:tc>
          <w:tcPr>
            <w:tcW w:w="2871"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按时足额发放镇干部和村干部工资、足额缴纳保险，开展基层党组织活动，保障民生，宣传党的方针、政策，完成上级交办的各项工作。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4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预算执行情况（万元）</w:t>
            </w:r>
          </w:p>
        </w:tc>
        <w:tc>
          <w:tcPr>
            <w:tcW w:w="52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71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全年预算数（A）</w:t>
            </w:r>
          </w:p>
        </w:tc>
        <w:tc>
          <w:tcPr>
            <w:tcW w:w="87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全年执行数（B）</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分值</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执行率（B/A)</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2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年度资金总额：</w:t>
            </w:r>
          </w:p>
        </w:tc>
        <w:tc>
          <w:tcPr>
            <w:tcW w:w="171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5365.87</w:t>
            </w:r>
          </w:p>
        </w:tc>
        <w:tc>
          <w:tcPr>
            <w:tcW w:w="87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5365.87</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2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Style w:val="40"/>
                <w:sz w:val="16"/>
                <w:szCs w:val="16"/>
                <w:lang w:val="en-US" w:eastAsia="zh-CN" w:bidi="ar"/>
              </w:rPr>
              <w:t xml:space="preserve"> 其中：财政拨款</w:t>
            </w:r>
          </w:p>
        </w:tc>
        <w:tc>
          <w:tcPr>
            <w:tcW w:w="171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5365.87</w:t>
            </w:r>
          </w:p>
        </w:tc>
        <w:tc>
          <w:tcPr>
            <w:tcW w:w="87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5365.87</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2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其他资金</w:t>
            </w:r>
          </w:p>
        </w:tc>
        <w:tc>
          <w:tcPr>
            <w:tcW w:w="171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7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年度总体目标</w:t>
            </w:r>
          </w:p>
        </w:tc>
        <w:tc>
          <w:tcPr>
            <w:tcW w:w="1691" w:type="pct"/>
            <w:gridSpan w:val="5"/>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预期目标</w:t>
            </w:r>
          </w:p>
        </w:tc>
        <w:tc>
          <w:tcPr>
            <w:tcW w:w="2871" w:type="pct"/>
            <w:gridSpan w:val="7"/>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691" w:type="pct"/>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2871" w:type="pct"/>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691"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保障机关运转，完成全年预算支出</w:t>
            </w:r>
          </w:p>
        </w:tc>
        <w:tc>
          <w:tcPr>
            <w:tcW w:w="2871"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保障机关运转，完成全年预算支出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4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年度绩效指标</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7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6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预期指标值（包含数字及文字描述）</w:t>
            </w:r>
          </w:p>
        </w:tc>
        <w:tc>
          <w:tcPr>
            <w:tcW w:w="73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实际完成指标值（包含数字及文字描述）</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未完成原因及拟采取的改进措施</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财政复评得分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完成指标</w:t>
            </w:r>
          </w:p>
        </w:tc>
        <w:tc>
          <w:tcPr>
            <w:tcW w:w="720"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在职职工工资保险保障率</w:t>
            </w:r>
          </w:p>
        </w:tc>
        <w:tc>
          <w:tcPr>
            <w:tcW w:w="6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100%</w:t>
            </w:r>
          </w:p>
        </w:tc>
        <w:tc>
          <w:tcPr>
            <w:tcW w:w="7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100%</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2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村社干部报酬支付率</w:t>
            </w:r>
          </w:p>
        </w:tc>
        <w:tc>
          <w:tcPr>
            <w:tcW w:w="6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100%</w:t>
            </w:r>
          </w:p>
        </w:tc>
        <w:tc>
          <w:tcPr>
            <w:tcW w:w="7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100%</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2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c>
          <w:tcPr>
            <w:tcW w:w="7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20"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全镇运转经费保障</w:t>
            </w:r>
          </w:p>
        </w:tc>
        <w:tc>
          <w:tcPr>
            <w:tcW w:w="6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≥95%</w:t>
            </w:r>
          </w:p>
        </w:tc>
        <w:tc>
          <w:tcPr>
            <w:tcW w:w="7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98%</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2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c>
          <w:tcPr>
            <w:tcW w:w="7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2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20"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完成时间</w:t>
            </w:r>
          </w:p>
        </w:tc>
        <w:tc>
          <w:tcPr>
            <w:tcW w:w="6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2022年度内</w:t>
            </w:r>
          </w:p>
        </w:tc>
        <w:tc>
          <w:tcPr>
            <w:tcW w:w="7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2022年度内</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2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c>
          <w:tcPr>
            <w:tcW w:w="7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2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 w:hRule="atLeast"/>
        </w:trPr>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20"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经费成本</w:t>
            </w:r>
          </w:p>
        </w:tc>
        <w:tc>
          <w:tcPr>
            <w:tcW w:w="6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3"/>
                <w:szCs w:val="13"/>
                <w:u w:val="none"/>
                <w:lang w:val="en-US"/>
              </w:rPr>
            </w:pPr>
            <w:r>
              <w:rPr>
                <w:rFonts w:hint="eastAsia" w:ascii="宋体" w:hAnsi="宋体" w:cs="宋体"/>
                <w:i w:val="0"/>
                <w:iCs w:val="0"/>
                <w:color w:val="000000"/>
                <w:kern w:val="0"/>
                <w:sz w:val="13"/>
                <w:szCs w:val="13"/>
                <w:u w:val="none"/>
                <w:lang w:val="en-US" w:eastAsia="zh-CN" w:bidi="ar"/>
              </w:rPr>
              <w:t>预算内资金</w:t>
            </w:r>
          </w:p>
        </w:tc>
        <w:tc>
          <w:tcPr>
            <w:tcW w:w="7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13"/>
                <w:szCs w:val="13"/>
                <w:u w:val="none"/>
                <w:lang w:val="en-US"/>
              </w:rPr>
            </w:pPr>
            <w:r>
              <w:rPr>
                <w:rFonts w:hint="eastAsia" w:ascii="宋体" w:hAnsi="宋体" w:cs="宋体"/>
                <w:i w:val="0"/>
                <w:iCs w:val="0"/>
                <w:color w:val="000000"/>
                <w:kern w:val="0"/>
                <w:sz w:val="13"/>
                <w:szCs w:val="13"/>
                <w:u w:val="none"/>
                <w:lang w:val="en-US" w:eastAsia="zh-CN" w:bidi="ar"/>
              </w:rPr>
              <w:t>预算内资金</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 w:hRule="atLeast"/>
        </w:trPr>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2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c>
          <w:tcPr>
            <w:tcW w:w="7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w:t>
            </w:r>
          </w:p>
        </w:tc>
        <w:tc>
          <w:tcPr>
            <w:tcW w:w="720"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指标</w:t>
            </w: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c>
          <w:tcPr>
            <w:tcW w:w="7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2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c>
          <w:tcPr>
            <w:tcW w:w="7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20"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w:t>
            </w: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保障政府正常运转和辖区安全稳定</w:t>
            </w:r>
          </w:p>
        </w:tc>
        <w:tc>
          <w:tcPr>
            <w:tcW w:w="6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定性优良中低差</w:t>
            </w:r>
          </w:p>
        </w:tc>
        <w:tc>
          <w:tcPr>
            <w:tcW w:w="7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优</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9</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 w:hRule="atLeast"/>
        </w:trPr>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2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c>
          <w:tcPr>
            <w:tcW w:w="7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20"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w:t>
            </w: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改善辖区内人居环境</w:t>
            </w:r>
          </w:p>
        </w:tc>
        <w:tc>
          <w:tcPr>
            <w:tcW w:w="6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定性优良中低差</w:t>
            </w:r>
          </w:p>
        </w:tc>
        <w:tc>
          <w:tcPr>
            <w:tcW w:w="7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优</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 w:hRule="atLeast"/>
        </w:trPr>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2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c>
          <w:tcPr>
            <w:tcW w:w="7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20"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w:t>
            </w: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重点工作实施效果可持续影响</w:t>
            </w:r>
          </w:p>
        </w:tc>
        <w:tc>
          <w:tcPr>
            <w:tcW w:w="6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定性优良中低差</w:t>
            </w:r>
          </w:p>
        </w:tc>
        <w:tc>
          <w:tcPr>
            <w:tcW w:w="73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优</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8</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7" w:hRule="atLeast"/>
        </w:trPr>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2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c>
          <w:tcPr>
            <w:tcW w:w="7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720"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群众满意度</w:t>
            </w:r>
          </w:p>
        </w:tc>
        <w:tc>
          <w:tcPr>
            <w:tcW w:w="6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≥95%</w:t>
            </w:r>
          </w:p>
        </w:tc>
        <w:tc>
          <w:tcPr>
            <w:tcW w:w="7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95%</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trPr>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2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c>
          <w:tcPr>
            <w:tcW w:w="7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7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c>
          <w:tcPr>
            <w:tcW w:w="7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w:t>
            </w:r>
            <w:r>
              <w:rPr>
                <w:rFonts w:hint="eastAsia" w:ascii="宋体" w:hAnsi="宋体" w:cs="宋体"/>
                <w:i w:val="0"/>
                <w:iCs w:val="0"/>
                <w:color w:val="000000"/>
                <w:kern w:val="0"/>
                <w:sz w:val="16"/>
                <w:szCs w:val="16"/>
                <w:u w:val="none"/>
                <w:lang w:val="en-US" w:eastAsia="zh-CN" w:bidi="ar"/>
              </w:rPr>
              <w:t>6</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16"/>
                <w:szCs w:val="16"/>
                <w:u w:val="none"/>
              </w:rPr>
            </w:pPr>
          </w:p>
        </w:tc>
      </w:tr>
    </w:tbl>
    <w:p>
      <w:pPr>
        <w:rPr>
          <w:rFonts w:hint="eastAsia" w:ascii="黑体" w:hAnsi="黑体" w:eastAsia="黑体" w:cs="黑体"/>
          <w:sz w:val="32"/>
          <w:szCs w:val="32"/>
        </w:rPr>
      </w:pPr>
    </w:p>
    <w:p>
      <w:pPr>
        <w:pStyle w:val="17"/>
        <w:spacing w:line="560" w:lineRule="exact"/>
        <w:ind w:left="0" w:leftChars="0" w:firstLine="0" w:firstLineChars="0"/>
        <w:rPr>
          <w:sz w:val="32"/>
          <w:lang w:val="zh-CN"/>
        </w:rPr>
      </w:pPr>
    </w:p>
    <w:p>
      <w:pPr>
        <w:pStyle w:val="2"/>
        <w:spacing w:before="93"/>
        <w:rPr>
          <w:rFonts w:hAnsi="宋体" w:cs="宋体"/>
          <w:sz w:val="32"/>
          <w:szCs w:val="32"/>
          <w:shd w:val="clear" w:color="auto" w:fill="FFFFFF"/>
          <w:lang w:val="zh-CN"/>
        </w:rPr>
      </w:pPr>
    </w:p>
    <w:p>
      <w:pPr>
        <w:pStyle w:val="2"/>
        <w:spacing w:before="93"/>
        <w:rPr>
          <w:sz w:val="32"/>
          <w:szCs w:val="32"/>
        </w:rPr>
      </w:pPr>
      <w:r>
        <w:rPr>
          <w:rFonts w:hint="eastAsia" w:hAnsi="宋体" w:cs="宋体"/>
          <w:sz w:val="32"/>
          <w:szCs w:val="32"/>
          <w:shd w:val="clear" w:color="auto" w:fill="FFFFFF"/>
          <w:lang w:val="zh-CN"/>
        </w:rPr>
        <w:t>附件</w:t>
      </w:r>
      <w:r>
        <w:rPr>
          <w:rFonts w:hint="eastAsia" w:hAnsi="宋体" w:cs="宋体"/>
          <w:sz w:val="32"/>
          <w:szCs w:val="32"/>
          <w:shd w:val="clear" w:color="auto" w:fill="FFFFFF"/>
        </w:rPr>
        <w:t>2</w:t>
      </w:r>
    </w:p>
    <w:p>
      <w:pPr>
        <w:keepNext w:val="0"/>
        <w:keepLines w:val="0"/>
        <w:widowControl/>
        <w:suppressLineNumbers w:val="0"/>
        <w:ind w:left="4812" w:hanging="4800" w:hangingChars="1200"/>
        <w:jc w:val="left"/>
        <w:rPr>
          <w:rFonts w:hint="default" w:ascii="微软雅黑" w:hAnsi="微软雅黑" w:eastAsia="微软雅黑" w:cs="微软雅黑"/>
          <w:color w:val="000000"/>
          <w:kern w:val="0"/>
          <w:sz w:val="40"/>
          <w:szCs w:val="40"/>
          <w:lang w:val="en-US" w:eastAsia="zh-CN" w:bidi="ar"/>
        </w:rPr>
      </w:pPr>
      <w:r>
        <w:rPr>
          <w:rFonts w:ascii="微软雅黑" w:hAnsi="微软雅黑" w:eastAsia="微软雅黑" w:cs="微软雅黑"/>
          <w:color w:val="000000"/>
          <w:kern w:val="0"/>
          <w:sz w:val="40"/>
          <w:szCs w:val="40"/>
          <w:lang w:val="en-US" w:eastAsia="zh-CN" w:bidi="ar"/>
        </w:rPr>
        <w:t>202</w:t>
      </w:r>
      <w:r>
        <w:rPr>
          <w:rFonts w:hint="eastAsia" w:ascii="微软雅黑" w:hAnsi="微软雅黑" w:eastAsia="微软雅黑" w:cs="微软雅黑"/>
          <w:color w:val="000000"/>
          <w:kern w:val="0"/>
          <w:sz w:val="40"/>
          <w:szCs w:val="40"/>
          <w:lang w:val="en-US" w:eastAsia="zh-CN" w:bidi="ar"/>
        </w:rPr>
        <w:t>2</w:t>
      </w:r>
      <w:r>
        <w:rPr>
          <w:rFonts w:ascii="微软雅黑" w:hAnsi="微软雅黑" w:eastAsia="微软雅黑" w:cs="微软雅黑"/>
          <w:color w:val="000000"/>
          <w:kern w:val="0"/>
          <w:sz w:val="40"/>
          <w:szCs w:val="40"/>
          <w:lang w:val="en-US" w:eastAsia="zh-CN" w:bidi="ar"/>
        </w:rPr>
        <w:t>年</w:t>
      </w:r>
      <w:r>
        <w:rPr>
          <w:rFonts w:hint="eastAsia" w:ascii="黑体" w:hAnsi="宋体" w:eastAsia="黑体" w:cs="黑体"/>
          <w:color w:val="000000"/>
          <w:kern w:val="0"/>
          <w:sz w:val="43"/>
          <w:szCs w:val="43"/>
          <w:lang w:val="en-US" w:eastAsia="zh-CN" w:bidi="ar"/>
        </w:rPr>
        <w:t>城乡环境卫生</w:t>
      </w:r>
      <w:r>
        <w:rPr>
          <w:rFonts w:hint="eastAsia" w:ascii="微软雅黑" w:hAnsi="微软雅黑" w:eastAsia="微软雅黑" w:cs="微软雅黑"/>
          <w:color w:val="000000"/>
          <w:kern w:val="0"/>
          <w:sz w:val="40"/>
          <w:szCs w:val="40"/>
          <w:lang w:val="en-US" w:eastAsia="zh-CN" w:bidi="ar"/>
        </w:rPr>
        <w:t>项目支出绩效评价</w:t>
      </w:r>
    </w:p>
    <w:p>
      <w:pPr>
        <w:keepNext w:val="0"/>
        <w:keepLines w:val="0"/>
        <w:widowControl/>
        <w:suppressLineNumbers w:val="0"/>
        <w:ind w:left="4791" w:leftChars="1710" w:hanging="1200" w:hangingChars="300"/>
        <w:jc w:val="left"/>
      </w:pPr>
      <w:r>
        <w:rPr>
          <w:rFonts w:hint="eastAsia" w:ascii="微软雅黑" w:hAnsi="微软雅黑" w:eastAsia="微软雅黑" w:cs="微软雅黑"/>
          <w:color w:val="000000"/>
          <w:kern w:val="0"/>
          <w:sz w:val="40"/>
          <w:szCs w:val="40"/>
          <w:lang w:val="en-US" w:eastAsia="zh-CN" w:bidi="ar"/>
        </w:rPr>
        <w:t xml:space="preserve">报告 </w:t>
      </w:r>
    </w:p>
    <w:p>
      <w:pPr>
        <w:keepNext w:val="0"/>
        <w:keepLines w:val="0"/>
        <w:widowControl/>
        <w:numPr>
          <w:ilvl w:val="0"/>
          <w:numId w:val="12"/>
        </w:numPr>
        <w:suppressLineNumbers w:val="0"/>
        <w:jc w:val="left"/>
        <w:rPr>
          <w:rFonts w:hint="eastAsia" w:ascii="黑体" w:hAnsi="宋体" w:eastAsia="黑体" w:cs="黑体"/>
          <w:color w:val="000000"/>
          <w:kern w:val="0"/>
          <w:sz w:val="31"/>
          <w:szCs w:val="31"/>
          <w:lang w:val="en-US" w:eastAsia="zh-CN" w:bidi="ar"/>
        </w:rPr>
      </w:pPr>
      <w:r>
        <w:rPr>
          <w:rFonts w:hint="eastAsia" w:ascii="黑体" w:hAnsi="宋体" w:eastAsia="黑体" w:cs="黑体"/>
          <w:color w:val="000000"/>
          <w:kern w:val="0"/>
          <w:sz w:val="31"/>
          <w:szCs w:val="31"/>
          <w:lang w:val="en-US" w:eastAsia="zh-CN" w:bidi="ar"/>
        </w:rPr>
        <w:t xml:space="preserve">项目概况 </w:t>
      </w:r>
    </w:p>
    <w:p>
      <w:pPr>
        <w:keepNext w:val="0"/>
        <w:keepLines w:val="0"/>
        <w:widowControl/>
        <w:numPr>
          <w:ilvl w:val="0"/>
          <w:numId w:val="0"/>
        </w:numPr>
        <w:suppressLineNumbers w:val="0"/>
        <w:ind w:firstLine="622" w:firstLineChars="200"/>
        <w:jc w:val="left"/>
        <w:rPr>
          <w:rFonts w:ascii="楷体" w:hAnsi="楷体" w:eastAsia="楷体" w:cs="楷体"/>
          <w:b/>
          <w:bCs/>
          <w:color w:val="000000"/>
          <w:kern w:val="0"/>
          <w:sz w:val="31"/>
          <w:szCs w:val="31"/>
          <w:lang w:val="en-US" w:eastAsia="zh-CN" w:bidi="ar"/>
        </w:rPr>
      </w:pPr>
      <w:r>
        <w:rPr>
          <w:rFonts w:hint="eastAsia" w:ascii="楷体" w:hAnsi="楷体" w:eastAsia="楷体" w:cs="楷体"/>
          <w:b/>
          <w:bCs/>
          <w:color w:val="000000"/>
          <w:kern w:val="0"/>
          <w:sz w:val="31"/>
          <w:szCs w:val="31"/>
          <w:lang w:val="en-US" w:eastAsia="zh-CN" w:bidi="ar"/>
        </w:rPr>
        <w:t>（一）</w:t>
      </w:r>
      <w:r>
        <w:rPr>
          <w:rFonts w:ascii="楷体" w:hAnsi="楷体" w:eastAsia="楷体" w:cs="楷体"/>
          <w:b/>
          <w:bCs/>
          <w:color w:val="000000"/>
          <w:kern w:val="0"/>
          <w:sz w:val="31"/>
          <w:szCs w:val="31"/>
          <w:lang w:val="en-US" w:eastAsia="zh-CN" w:bidi="ar"/>
        </w:rPr>
        <w:t xml:space="preserve">项目基本情况。 </w:t>
      </w:r>
    </w:p>
    <w:p>
      <w:pPr>
        <w:keepNext w:val="0"/>
        <w:keepLines w:val="0"/>
        <w:widowControl/>
        <w:numPr>
          <w:ilvl w:val="0"/>
          <w:numId w:val="0"/>
        </w:numPr>
        <w:suppressLineNumbers w:val="0"/>
        <w:ind w:firstLine="620" w:firstLineChars="200"/>
        <w:jc w:val="left"/>
      </w:pPr>
      <w:r>
        <w:rPr>
          <w:rFonts w:ascii="仿宋" w:hAnsi="仿宋" w:eastAsia="仿宋" w:cs="仿宋"/>
          <w:color w:val="000000"/>
          <w:kern w:val="0"/>
          <w:sz w:val="31"/>
          <w:szCs w:val="31"/>
          <w:lang w:val="en-US" w:eastAsia="zh-CN" w:bidi="ar"/>
        </w:rPr>
        <w:t>为保障场镇及周边的环境干净整洁</w:t>
      </w:r>
      <w:r>
        <w:rPr>
          <w:rFonts w:hint="eastAsia" w:ascii="仿宋" w:hAnsi="仿宋" w:eastAsia="仿宋" w:cs="仿宋"/>
          <w:color w:val="000000"/>
          <w:kern w:val="0"/>
          <w:sz w:val="31"/>
          <w:szCs w:val="31"/>
          <w:lang w:val="en-US" w:eastAsia="zh-CN" w:bidi="ar"/>
        </w:rPr>
        <w:t>，</w:t>
      </w:r>
      <w:r>
        <w:rPr>
          <w:rFonts w:ascii="仿宋" w:hAnsi="仿宋" w:eastAsia="仿宋" w:cs="仿宋"/>
          <w:color w:val="000000"/>
          <w:kern w:val="0"/>
          <w:sz w:val="31"/>
          <w:szCs w:val="31"/>
          <w:lang w:val="en-US" w:eastAsia="zh-CN" w:bidi="ar"/>
        </w:rPr>
        <w:t xml:space="preserve">给百姓和居民有一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个优美的工作和生活环境提升江口镇城乡环境卫生质量，完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善市政环保、公用基础设施体系，加快城市环境保护基础设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施建设，促进环境保护与经济建设协调发展，加快建设两型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社会。根据住房和城乡建设部《关于加快市政公用行业市场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化进程的意见》《关于加强市政公用事业监管的意见》等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有关文件精神，普安镇人民政府与环卫所一起整治城区环境，提高居民的生活品质，一周收集转运垃圾进行垃圾处理两次。                              </w:t>
      </w:r>
    </w:p>
    <w:p>
      <w:pPr>
        <w:keepNext w:val="0"/>
        <w:keepLines w:val="0"/>
        <w:widowControl/>
        <w:suppressLineNumbers w:val="0"/>
        <w:ind w:firstLine="622" w:firstLineChars="200"/>
        <w:jc w:val="left"/>
        <w:rPr>
          <w:rFonts w:hint="eastAsia" w:ascii="仿宋" w:hAnsi="仿宋" w:eastAsia="仿宋" w:cs="仿宋"/>
          <w:color w:val="000000"/>
          <w:kern w:val="0"/>
          <w:sz w:val="31"/>
          <w:szCs w:val="31"/>
          <w:lang w:val="en-US" w:eastAsia="zh-CN" w:bidi="ar"/>
        </w:rPr>
      </w:pPr>
      <w:r>
        <w:rPr>
          <w:rFonts w:hint="eastAsia" w:ascii="楷体" w:hAnsi="楷体" w:eastAsia="楷体" w:cs="楷体"/>
          <w:b/>
          <w:bCs/>
          <w:color w:val="000000"/>
          <w:kern w:val="0"/>
          <w:sz w:val="31"/>
          <w:szCs w:val="31"/>
          <w:lang w:val="en-US" w:eastAsia="zh-CN" w:bidi="ar"/>
        </w:rPr>
        <w:t xml:space="preserve">（二）项目绩效目标。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1．项目主要内容：保障场镇及周边的优美环境，完成场镇垃圾清运，配备专职人员，对垃圾收集、清运实施日常监督和考核。普安镇镇人民政府生活垃圾无害化处理场配备专职人员，对垃圾处理实施日常监督和考核。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2．项目应实现的具体绩效目标：产出指标：完成城区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及周边垃圾清运（车）不少于 400车；环境卫生质量达到优； </w:t>
      </w:r>
    </w:p>
    <w:p>
      <w:pPr>
        <w:keepNext w:val="0"/>
        <w:keepLines w:val="0"/>
        <w:widowControl/>
        <w:suppressLineNumbers w:val="0"/>
        <w:jc w:val="left"/>
        <w:rPr>
          <w:rFonts w:hint="default"/>
          <w:lang w:val="en-US"/>
        </w:rPr>
      </w:pPr>
      <w:r>
        <w:rPr>
          <w:rFonts w:hint="eastAsia" w:ascii="仿宋" w:hAnsi="仿宋" w:eastAsia="仿宋" w:cs="仿宋"/>
          <w:color w:val="000000"/>
          <w:kern w:val="0"/>
          <w:sz w:val="31"/>
          <w:szCs w:val="31"/>
          <w:lang w:val="en-US" w:eastAsia="zh-CN" w:bidi="ar"/>
        </w:rPr>
        <w:t>项目成果时效为 2022年度；转运成本（元/车）小于等于1000</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元/车。绩效指标：城乡环境，有效改善城乡环境，提升群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众生活幸福指数。满意度指标：群众满意度大于等于 97%。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3．本项目是一项环境综合治理的公益性工程，项目实施后社会效益经济效益、环境效益凸显，具有可持续性。申报目标设定合理。 </w:t>
      </w:r>
    </w:p>
    <w:p>
      <w:pPr>
        <w:keepNext w:val="0"/>
        <w:keepLines w:val="0"/>
        <w:widowControl/>
        <w:suppressLineNumbers w:val="0"/>
        <w:ind w:firstLine="311" w:firstLineChars="100"/>
        <w:jc w:val="left"/>
      </w:pPr>
      <w:r>
        <w:rPr>
          <w:rFonts w:hint="eastAsia" w:ascii="楷体" w:hAnsi="楷体" w:eastAsia="楷体" w:cs="楷体"/>
          <w:b/>
          <w:bCs/>
          <w:color w:val="000000"/>
          <w:kern w:val="0"/>
          <w:sz w:val="31"/>
          <w:szCs w:val="31"/>
          <w:lang w:val="en-US" w:eastAsia="zh-CN" w:bidi="ar"/>
        </w:rPr>
        <w:t xml:space="preserve">（三）项目自评步骤及方法。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部门对垃圾收集、清运、处理的监督考核建立了考核监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督制度，考核细则健全，扣分项目、处罚措施明确。根据综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合得分，组织分管领导及部门负责人对本年度垃圾清运及处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置费项目进行评估，评价项目效益，并提出改进措施。 </w:t>
      </w:r>
    </w:p>
    <w:p>
      <w:pPr>
        <w:keepNext w:val="0"/>
        <w:keepLines w:val="0"/>
        <w:widowControl/>
        <w:suppressLineNumbers w:val="0"/>
        <w:ind w:firstLine="620" w:firstLineChars="200"/>
        <w:jc w:val="left"/>
      </w:pPr>
      <w:r>
        <w:rPr>
          <w:rFonts w:ascii="黑体" w:hAnsi="宋体" w:eastAsia="黑体" w:cs="黑体"/>
          <w:color w:val="000000"/>
          <w:kern w:val="0"/>
          <w:sz w:val="31"/>
          <w:szCs w:val="31"/>
          <w:lang w:val="en-US" w:eastAsia="zh-CN" w:bidi="ar"/>
        </w:rPr>
        <w:t xml:space="preserve">二、项目资金申报及使用情况 </w:t>
      </w:r>
    </w:p>
    <w:p>
      <w:pPr>
        <w:keepNext w:val="0"/>
        <w:keepLines w:val="0"/>
        <w:widowControl/>
        <w:suppressLineNumbers w:val="0"/>
        <w:ind w:firstLine="311" w:firstLineChars="100"/>
        <w:jc w:val="left"/>
      </w:pPr>
      <w:r>
        <w:rPr>
          <w:rFonts w:hint="eastAsia" w:ascii="楷体" w:hAnsi="楷体" w:eastAsia="楷体" w:cs="楷体"/>
          <w:b/>
          <w:bCs/>
          <w:color w:val="000000"/>
          <w:kern w:val="0"/>
          <w:sz w:val="31"/>
          <w:szCs w:val="31"/>
          <w:lang w:val="en-US" w:eastAsia="zh-CN" w:bidi="ar"/>
        </w:rPr>
        <w:t xml:space="preserve">（一）项目资金申报及批复情况。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在规定时间内，由部门进行申报，财政局统一批复。 </w:t>
      </w:r>
    </w:p>
    <w:p>
      <w:pPr>
        <w:keepNext w:val="0"/>
        <w:keepLines w:val="0"/>
        <w:widowControl/>
        <w:numPr>
          <w:ilvl w:val="0"/>
          <w:numId w:val="13"/>
        </w:numPr>
        <w:suppressLineNumbers w:val="0"/>
        <w:ind w:firstLine="311" w:firstLineChars="100"/>
        <w:jc w:val="left"/>
        <w:rPr>
          <w:rFonts w:hint="eastAsia" w:ascii="楷体" w:hAnsi="楷体" w:eastAsia="楷体" w:cs="楷体"/>
          <w:b/>
          <w:bCs/>
          <w:color w:val="000000"/>
          <w:kern w:val="0"/>
          <w:sz w:val="31"/>
          <w:szCs w:val="31"/>
          <w:lang w:val="en-US" w:eastAsia="zh-CN" w:bidi="ar"/>
        </w:rPr>
      </w:pPr>
      <w:r>
        <w:rPr>
          <w:rFonts w:hint="eastAsia" w:ascii="楷体" w:hAnsi="楷体" w:eastAsia="楷体" w:cs="楷体"/>
          <w:b/>
          <w:bCs/>
          <w:color w:val="000000"/>
          <w:kern w:val="0"/>
          <w:sz w:val="31"/>
          <w:szCs w:val="31"/>
          <w:lang w:val="en-US" w:eastAsia="zh-CN" w:bidi="ar"/>
        </w:rPr>
        <w:t xml:space="preserve">资金计划、到位及使用情况（可用表格形式反映）。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720"/>
        <w:jc w:val="left"/>
        <w:rPr>
          <w:rFonts w:hint="eastAsia" w:ascii="仿宋" w:hAnsi="仿宋" w:eastAsia="仿宋" w:cs="仿宋"/>
          <w:sz w:val="32"/>
          <w:szCs w:val="32"/>
        </w:rPr>
      </w:pPr>
      <w:r>
        <w:rPr>
          <w:rFonts w:hint="eastAsia" w:ascii="仿宋" w:hAnsi="仿宋" w:eastAsia="仿宋" w:cs="仿宋"/>
          <w:i w:val="0"/>
          <w:caps w:val="0"/>
          <w:color w:val="000000"/>
          <w:spacing w:val="0"/>
          <w:kern w:val="0"/>
          <w:sz w:val="32"/>
          <w:szCs w:val="32"/>
          <w:lang w:val="en-US" w:eastAsia="zh-CN" w:bidi="ar"/>
        </w:rPr>
        <w:t>1.资金计划及到位。普安镇城乡环境卫生资金共5万元，在实施过程中，于2021年12月申请并批复资金共计5万元。 截至2022年1月底，所有计划资金全部到位，共计5万元。资金到位率100%、到位及时。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720"/>
        <w:jc w:val="left"/>
        <w:rPr>
          <w:rFonts w:hint="default" w:eastAsia="仿宋_GB2312"/>
          <w:lang w:val="en-US" w:eastAsia="zh-CN"/>
        </w:rPr>
      </w:pPr>
      <w:r>
        <w:rPr>
          <w:rFonts w:hint="eastAsia" w:ascii="仿宋" w:hAnsi="仿宋" w:eastAsia="仿宋" w:cs="仿宋"/>
          <w:i w:val="0"/>
          <w:caps w:val="0"/>
          <w:color w:val="000000"/>
          <w:spacing w:val="0"/>
          <w:kern w:val="0"/>
          <w:sz w:val="32"/>
          <w:szCs w:val="32"/>
          <w:lang w:val="en-US" w:eastAsia="zh-CN" w:bidi="ar"/>
        </w:rPr>
        <w:t>2.资金使用。截至2022年12月底，普安镇垃圾清运及处置资金已全部支出，共计5万元。主要用于垃圾清运处置人员及车辆的费用，经费到位并及时支付，支付依据合规合法，资金支付与预算相符。</w:t>
      </w:r>
    </w:p>
    <w:p>
      <w:pPr>
        <w:keepNext w:val="0"/>
        <w:keepLines w:val="0"/>
        <w:widowControl/>
        <w:suppressLineNumbers w:val="0"/>
        <w:ind w:firstLine="311" w:firstLineChars="100"/>
        <w:jc w:val="left"/>
      </w:pPr>
      <w:r>
        <w:rPr>
          <w:rFonts w:hint="eastAsia" w:ascii="楷体" w:hAnsi="楷体" w:eastAsia="楷体" w:cs="楷体"/>
          <w:b/>
          <w:bCs/>
          <w:color w:val="000000"/>
          <w:kern w:val="0"/>
          <w:sz w:val="31"/>
          <w:szCs w:val="31"/>
          <w:lang w:val="en-US" w:eastAsia="zh-CN" w:bidi="ar"/>
        </w:rPr>
        <w:t xml:space="preserve">（三）项目财务管理情况。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各项目实施单位财务管理制度健全，严格执行财务管理制度，账务处理及时，会计核算规范。 </w:t>
      </w:r>
    </w:p>
    <w:p>
      <w:pPr>
        <w:keepNext w:val="0"/>
        <w:keepLines w:val="0"/>
        <w:widowControl/>
        <w:suppressLineNumbers w:val="0"/>
        <w:ind w:firstLine="620" w:firstLineChars="200"/>
        <w:jc w:val="left"/>
      </w:pPr>
      <w:r>
        <w:rPr>
          <w:rFonts w:hint="eastAsia" w:ascii="黑体" w:hAnsi="宋体" w:eastAsia="黑体" w:cs="黑体"/>
          <w:color w:val="000000"/>
          <w:kern w:val="0"/>
          <w:sz w:val="31"/>
          <w:szCs w:val="31"/>
          <w:lang w:val="en-US" w:eastAsia="zh-CN" w:bidi="ar"/>
        </w:rPr>
        <w:t xml:space="preserve">三、项目实施及管理情况 </w:t>
      </w:r>
    </w:p>
    <w:p>
      <w:pPr>
        <w:keepNext w:val="0"/>
        <w:keepLines w:val="0"/>
        <w:widowControl/>
        <w:suppressLineNumbers w:val="0"/>
        <w:ind w:firstLine="622" w:firstLineChars="200"/>
        <w:jc w:val="left"/>
      </w:pPr>
      <w:r>
        <w:rPr>
          <w:rFonts w:hint="eastAsia" w:ascii="楷体" w:hAnsi="楷体" w:eastAsia="楷体" w:cs="楷体"/>
          <w:b/>
          <w:bCs/>
          <w:color w:val="000000"/>
          <w:kern w:val="0"/>
          <w:sz w:val="31"/>
          <w:szCs w:val="31"/>
          <w:lang w:val="en-US" w:eastAsia="zh-CN" w:bidi="ar"/>
        </w:rPr>
        <w:t xml:space="preserve">（一）项目组织架构及实施流程。 </w:t>
      </w:r>
    </w:p>
    <w:p>
      <w:pPr>
        <w:keepNext w:val="0"/>
        <w:keepLines w:val="0"/>
        <w:widowControl/>
        <w:suppressLineNumbers w:val="0"/>
        <w:ind w:firstLine="620" w:firstLineChars="200"/>
        <w:jc w:val="left"/>
      </w:pPr>
      <w:r>
        <w:rPr>
          <w:rFonts w:hint="eastAsia" w:ascii="楷体" w:hAnsi="楷体" w:eastAsia="楷体" w:cs="楷体"/>
          <w:b w:val="0"/>
          <w:bCs w:val="0"/>
          <w:color w:val="000000"/>
          <w:kern w:val="0"/>
          <w:sz w:val="31"/>
          <w:szCs w:val="31"/>
          <w:lang w:val="en-US" w:eastAsia="zh-CN" w:bidi="ar"/>
        </w:rPr>
        <w:t>申报项目－项目执行－项目监督－项目评价</w:t>
      </w:r>
      <w:r>
        <w:rPr>
          <w:rFonts w:hint="eastAsia" w:ascii="楷体" w:hAnsi="楷体" w:eastAsia="楷体" w:cs="楷体"/>
          <w:b/>
          <w:bCs/>
          <w:color w:val="000000"/>
          <w:kern w:val="0"/>
          <w:sz w:val="31"/>
          <w:szCs w:val="31"/>
          <w:lang w:val="en-US" w:eastAsia="zh-CN" w:bidi="ar"/>
        </w:rPr>
        <w:t xml:space="preserve"> </w:t>
      </w:r>
    </w:p>
    <w:p>
      <w:pPr>
        <w:keepNext w:val="0"/>
        <w:keepLines w:val="0"/>
        <w:widowControl/>
        <w:suppressLineNumbers w:val="0"/>
        <w:ind w:firstLine="622" w:firstLineChars="200"/>
        <w:jc w:val="left"/>
      </w:pPr>
      <w:r>
        <w:rPr>
          <w:rFonts w:hint="eastAsia" w:ascii="楷体" w:hAnsi="楷体" w:eastAsia="楷体" w:cs="楷体"/>
          <w:b/>
          <w:bCs/>
          <w:color w:val="000000"/>
          <w:kern w:val="0"/>
          <w:sz w:val="31"/>
          <w:szCs w:val="31"/>
          <w:lang w:val="en-US" w:eastAsia="zh-CN" w:bidi="ar"/>
        </w:rPr>
        <w:t>（二）项目管理情况。</w:t>
      </w:r>
      <w:r>
        <w:rPr>
          <w:rFonts w:hint="eastAsia" w:ascii="仿宋" w:hAnsi="仿宋" w:eastAsia="仿宋" w:cs="仿宋"/>
          <w:color w:val="000000"/>
          <w:kern w:val="0"/>
          <w:sz w:val="31"/>
          <w:szCs w:val="31"/>
          <w:lang w:val="en-US" w:eastAsia="zh-CN" w:bidi="ar"/>
        </w:rPr>
        <w:t xml:space="preserve">结合项目特点，总体评价各项目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实施单位执行相关法律法规及项目管理制度等情况，如招投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标、政府采购、项目公示制等相关规定。 </w:t>
      </w:r>
    </w:p>
    <w:p>
      <w:pPr>
        <w:keepNext w:val="0"/>
        <w:keepLines w:val="0"/>
        <w:widowControl/>
        <w:suppressLineNumbers w:val="0"/>
        <w:ind w:firstLine="622" w:firstLineChars="200"/>
        <w:jc w:val="left"/>
      </w:pPr>
      <w:r>
        <w:rPr>
          <w:rFonts w:hint="eastAsia" w:ascii="楷体" w:hAnsi="楷体" w:eastAsia="楷体" w:cs="楷体"/>
          <w:b/>
          <w:bCs/>
          <w:color w:val="000000"/>
          <w:kern w:val="0"/>
          <w:sz w:val="31"/>
          <w:szCs w:val="31"/>
          <w:lang w:val="en-US" w:eastAsia="zh-CN" w:bidi="ar"/>
        </w:rPr>
        <w:t>（三）项目监管情况。</w:t>
      </w:r>
      <w:r>
        <w:rPr>
          <w:rFonts w:hint="eastAsia" w:ascii="仿宋" w:hAnsi="仿宋" w:eastAsia="仿宋" w:cs="仿宋"/>
          <w:color w:val="000000"/>
          <w:kern w:val="0"/>
          <w:sz w:val="31"/>
          <w:szCs w:val="31"/>
          <w:lang w:val="en-US" w:eastAsia="zh-CN" w:bidi="ar"/>
        </w:rPr>
        <w:t xml:space="preserve">普安镇人民政府的环卫项目的实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施，确保了城乡垃圾的日产日清，改善了城乡卫生环境，同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时项目实施监督到位，产生了良好的社会环境效益。 </w:t>
      </w:r>
    </w:p>
    <w:p>
      <w:pPr>
        <w:keepNext w:val="0"/>
        <w:keepLines w:val="0"/>
        <w:widowControl/>
        <w:suppressLineNumbers w:val="0"/>
        <w:ind w:firstLine="620" w:firstLineChars="200"/>
        <w:jc w:val="left"/>
      </w:pPr>
      <w:r>
        <w:rPr>
          <w:rFonts w:hint="eastAsia" w:ascii="黑体" w:hAnsi="宋体" w:eastAsia="黑体" w:cs="黑体"/>
          <w:color w:val="000000"/>
          <w:kern w:val="0"/>
          <w:sz w:val="31"/>
          <w:szCs w:val="31"/>
          <w:lang w:val="en-US" w:eastAsia="zh-CN" w:bidi="ar"/>
        </w:rPr>
        <w:t xml:space="preserve">四、项目绩效情况 </w:t>
      </w:r>
    </w:p>
    <w:p>
      <w:pPr>
        <w:keepNext w:val="0"/>
        <w:keepLines w:val="0"/>
        <w:widowControl/>
        <w:suppressLineNumbers w:val="0"/>
        <w:ind w:firstLine="311" w:firstLineChars="100"/>
        <w:jc w:val="left"/>
      </w:pPr>
      <w:r>
        <w:rPr>
          <w:rFonts w:hint="eastAsia" w:ascii="楷体" w:hAnsi="楷体" w:eastAsia="楷体" w:cs="楷体"/>
          <w:b/>
          <w:bCs/>
          <w:color w:val="000000"/>
          <w:kern w:val="0"/>
          <w:sz w:val="31"/>
          <w:szCs w:val="31"/>
          <w:lang w:val="en-US" w:eastAsia="zh-CN" w:bidi="ar"/>
        </w:rPr>
        <w:t xml:space="preserve">（一）项目完成情况。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本项目实施组织严密，管理规范有序，资金使用管理到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位，实施后社会经济效益凸显。环卫所成立专门机构考核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办，配备专职人员，对垃圾收集、清运实施日常监督和考核。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为了加强项目的资金管理，我镇制定了重点工程项目建设管理和财务管理制度，并将该项目纳入县级重点工程财务核算，实行集中支付和报账制，确保资金封闭运行，项目实施中监察部门定期或不定期地实行检查、督察，确保项目资金的安全运行。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资金使用过程中，严把监督审核关，建立健全内部审批制度。对每笔用款申请，在所附资料齐备的情况下，经审核确认后再审批后付款。确保了城乡垃圾的日产日清，改善了城乡卫生环境，项目实施到位，产生了良好的社会环境效益。 </w:t>
      </w:r>
    </w:p>
    <w:p>
      <w:pPr>
        <w:keepNext w:val="0"/>
        <w:keepLines w:val="0"/>
        <w:widowControl/>
        <w:suppressLineNumbers w:val="0"/>
        <w:ind w:firstLine="311" w:firstLineChars="100"/>
        <w:jc w:val="left"/>
      </w:pPr>
      <w:r>
        <w:rPr>
          <w:rFonts w:hint="eastAsia" w:ascii="楷体" w:hAnsi="楷体" w:eastAsia="楷体" w:cs="楷体"/>
          <w:b/>
          <w:bCs/>
          <w:color w:val="000000"/>
          <w:kern w:val="0"/>
          <w:sz w:val="31"/>
          <w:szCs w:val="31"/>
          <w:lang w:val="en-US" w:eastAsia="zh-CN" w:bidi="ar"/>
        </w:rPr>
        <w:t xml:space="preserve">（二）项目效益情况。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1、社会效益：通过项目的实施，可改善居民的生活和生态环境，进而提高居民的生活水平和健康水平，保护普安镇整体环境和恢复生态平衡，从而保证整个剑阁县社会经济又好又快发展。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2、环境效益：通过项目的实施，将能够有力地的缓解整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个攸县生活垃圾带来的环境污染和各种社会、经济问题，改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善攸县大气环境质量，消除和减少疾病传播，从而改善剑阁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县城市容貌和环境卫生条件，提高剑阁县的招商引资能力。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3、经济效益：每吨生活垃圾可以分选出 48.8%的 RDF，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替代煤作为水泥窑燃料。按照 RDF 的低位热值 1800Kcal/吨，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通过项目的实施可以年节约一定数量标煤，具有显著的经济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效益。</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4、可持续影响：通过项目的实施，可持续地改善垃圾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收集转运及处理效率，加强再生资源利用、垃圾分类回收仓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储，可持续提高人民生活质量，并可取得良好的社会、经济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和环境效益，具有可持续影响。 </w:t>
      </w:r>
    </w:p>
    <w:p>
      <w:pPr>
        <w:keepNext w:val="0"/>
        <w:keepLines w:val="0"/>
        <w:widowControl/>
        <w:suppressLineNumbers w:val="0"/>
        <w:ind w:firstLine="620" w:firstLineChars="200"/>
        <w:jc w:val="left"/>
      </w:pPr>
      <w:r>
        <w:rPr>
          <w:rFonts w:hint="eastAsia" w:ascii="黑体" w:hAnsi="宋体" w:eastAsia="黑体" w:cs="黑体"/>
          <w:color w:val="000000"/>
          <w:kern w:val="0"/>
          <w:sz w:val="31"/>
          <w:szCs w:val="31"/>
          <w:lang w:val="en-US" w:eastAsia="zh-CN" w:bidi="ar"/>
        </w:rPr>
        <w:t xml:space="preserve">五、评价结论及建议 </w:t>
      </w:r>
    </w:p>
    <w:p>
      <w:pPr>
        <w:keepNext w:val="0"/>
        <w:keepLines w:val="0"/>
        <w:widowControl/>
        <w:suppressLineNumbers w:val="0"/>
        <w:ind w:firstLine="311" w:firstLineChars="100"/>
        <w:jc w:val="left"/>
      </w:pPr>
      <w:r>
        <w:rPr>
          <w:rFonts w:hint="eastAsia" w:ascii="楷体" w:hAnsi="楷体" w:eastAsia="楷体" w:cs="楷体"/>
          <w:b/>
          <w:bCs/>
          <w:color w:val="000000"/>
          <w:kern w:val="0"/>
          <w:sz w:val="31"/>
          <w:szCs w:val="31"/>
          <w:lang w:val="en-US" w:eastAsia="zh-CN" w:bidi="ar"/>
        </w:rPr>
        <w:t xml:space="preserve">（一）评价结论。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我们认为：普安镇人民政府的环卫项目的实施，确保了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城乡垃圾的日产日清，改善了城乡卫生环境，项目实施到位，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产生了良好的社会环境效益。根据普安镇人民政府清运项目绩效评价指标表考评，此次评价指标总分值 97分，综合得分为 90 分，其中：产出指 标总分值 50 分，评价得分 50 分，效益指标总分值 30 分， 评价得分 30 分，满意度指标分值 10 分，评价得分 10 分， 财务指标分值 10 分，评价得分 7分。评价等次：优。 </w:t>
      </w:r>
    </w:p>
    <w:p>
      <w:pPr>
        <w:keepNext w:val="0"/>
        <w:keepLines w:val="0"/>
        <w:widowControl/>
        <w:suppressLineNumbers w:val="0"/>
        <w:ind w:firstLine="311" w:firstLineChars="100"/>
        <w:jc w:val="left"/>
      </w:pPr>
      <w:r>
        <w:rPr>
          <w:rFonts w:hint="eastAsia" w:ascii="楷体" w:hAnsi="楷体" w:eastAsia="楷体" w:cs="楷体"/>
          <w:b/>
          <w:bCs/>
          <w:color w:val="000000"/>
          <w:kern w:val="0"/>
          <w:sz w:val="31"/>
          <w:szCs w:val="31"/>
          <w:lang w:val="en-US" w:eastAsia="zh-CN" w:bidi="ar"/>
        </w:rPr>
        <w:t xml:space="preserve">（二）存在的问题。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未严格执行考核制度。垃圾收集、清运、处理的监督考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核部门虽然建立了对项目实施单位垃圾收集、清运、处理的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考核监督制度，考核细则健全，扣分项目、处罚措施明确。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但是，剑阁县生活垃圾无害化处理场未执行考核制度，即未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对项目实施方的垃圾处理过程和结果进行考核。 </w:t>
      </w:r>
    </w:p>
    <w:p>
      <w:pPr>
        <w:keepNext w:val="0"/>
        <w:keepLines w:val="0"/>
        <w:widowControl/>
        <w:suppressLineNumbers w:val="0"/>
        <w:ind w:firstLine="622" w:firstLineChars="200"/>
        <w:jc w:val="left"/>
      </w:pPr>
      <w:r>
        <w:rPr>
          <w:rFonts w:hint="eastAsia" w:ascii="楷体" w:hAnsi="楷体" w:eastAsia="楷体" w:cs="楷体"/>
          <w:b/>
          <w:bCs/>
          <w:color w:val="000000"/>
          <w:kern w:val="0"/>
          <w:sz w:val="31"/>
          <w:szCs w:val="31"/>
          <w:lang w:val="en-US" w:eastAsia="zh-CN" w:bidi="ar"/>
        </w:rPr>
        <w:t xml:space="preserve">（三）相关建议。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环境卫生项目建设完成后，要经常监督检查其使用情况，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并做好后期维护和保养工作；重视环卫设施的保洁除味工作，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及时清理垃圾，多清洁垃圾桶；及时维修环卫设备，尽量避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免垃圾车漏水污染环境；加强垃圾中转站、垃圾压缩站的管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理，防止“跑、冒、滴、臭”，改善周边环境，防止二次污 </w:t>
      </w:r>
    </w:p>
    <w:p>
      <w:pPr>
        <w:keepNext w:val="0"/>
        <w:keepLines w:val="0"/>
        <w:widowControl/>
        <w:suppressLineNumbers w:val="0"/>
        <w:jc w:val="left"/>
        <w:rPr>
          <w:rFonts w:hint="default"/>
          <w:lang w:val="en-US"/>
        </w:rPr>
      </w:pPr>
      <w:r>
        <w:rPr>
          <w:rFonts w:hint="eastAsia" w:ascii="仿宋" w:hAnsi="仿宋" w:eastAsia="仿宋" w:cs="仿宋"/>
          <w:color w:val="000000"/>
          <w:kern w:val="0"/>
          <w:sz w:val="31"/>
          <w:szCs w:val="31"/>
          <w:lang w:val="en-US" w:eastAsia="zh-CN" w:bidi="ar"/>
        </w:rPr>
        <w:t>染。</w:t>
      </w:r>
    </w:p>
    <w:p>
      <w:pPr>
        <w:spacing w:line="580" w:lineRule="exact"/>
        <w:rPr>
          <w:rStyle w:val="31"/>
          <w:rFonts w:ascii="黑体" w:hAnsi="黑体" w:eastAsia="黑体"/>
          <w:b w:val="0"/>
        </w:rPr>
      </w:pPr>
    </w:p>
    <w:p>
      <w:pPr>
        <w:widowControl/>
        <w:jc w:val="left"/>
        <w:rPr>
          <w:rStyle w:val="31"/>
          <w:rFonts w:ascii="黑体" w:hAnsi="黑体" w:eastAsia="黑体"/>
          <w:b w:val="0"/>
        </w:rPr>
      </w:pPr>
    </w:p>
    <w:p>
      <w:pPr>
        <w:spacing w:before="25"/>
        <w:ind w:right="0"/>
        <w:jc w:val="left"/>
        <w:rPr>
          <w:sz w:val="32"/>
        </w:rPr>
      </w:pPr>
      <w:r>
        <w:rPr>
          <w:sz w:val="32"/>
        </w:rPr>
        <w:t>附表：</w:t>
      </w:r>
    </w:p>
    <w:p>
      <w:pPr>
        <w:ind w:right="0" w:firstLine="960" w:firstLineChars="300"/>
        <w:jc w:val="left"/>
        <w:rPr>
          <w:rFonts w:hint="eastAsia" w:eastAsia="仿宋_GB2312"/>
          <w:sz w:val="32"/>
          <w:szCs w:val="32"/>
          <w:lang w:val="en-US" w:eastAsia="zh-CN"/>
        </w:rPr>
      </w:pPr>
      <w:r>
        <w:rPr>
          <w:sz w:val="32"/>
          <w:szCs w:val="32"/>
        </w:rPr>
        <w:t>202</w:t>
      </w:r>
      <w:r>
        <w:rPr>
          <w:rFonts w:hint="eastAsia"/>
          <w:sz w:val="32"/>
          <w:szCs w:val="32"/>
          <w:lang w:val="en-US" w:eastAsia="zh-CN"/>
        </w:rPr>
        <w:t>2</w:t>
      </w:r>
      <w:r>
        <w:rPr>
          <w:sz w:val="32"/>
          <w:szCs w:val="32"/>
        </w:rPr>
        <w:t xml:space="preserve"> 年</w:t>
      </w:r>
      <w:r>
        <w:rPr>
          <w:rFonts w:hint="eastAsia"/>
          <w:sz w:val="32"/>
          <w:szCs w:val="32"/>
          <w:lang w:val="en-US" w:eastAsia="zh-CN"/>
        </w:rPr>
        <w:t>城乡环境卫生</w:t>
      </w:r>
      <w:r>
        <w:rPr>
          <w:sz w:val="32"/>
          <w:szCs w:val="32"/>
        </w:rPr>
        <w:t>项目</w:t>
      </w:r>
      <w:r>
        <w:rPr>
          <w:rFonts w:hint="eastAsia"/>
          <w:sz w:val="32"/>
          <w:szCs w:val="32"/>
          <w:lang w:val="en-US" w:eastAsia="zh-CN"/>
        </w:rPr>
        <w:t>绩效</w:t>
      </w:r>
      <w:r>
        <w:rPr>
          <w:sz w:val="32"/>
          <w:szCs w:val="32"/>
        </w:rPr>
        <w:t>目标自评</w:t>
      </w:r>
      <w:r>
        <w:rPr>
          <w:rFonts w:hint="eastAsia"/>
          <w:sz w:val="32"/>
          <w:szCs w:val="32"/>
          <w:lang w:val="en-US" w:eastAsia="zh-CN"/>
        </w:rPr>
        <w:t>表</w:t>
      </w:r>
    </w:p>
    <w:p>
      <w:pPr>
        <w:pStyle w:val="2"/>
        <w:spacing w:after="1"/>
        <w:rPr>
          <w:sz w:val="10"/>
        </w:rPr>
      </w:pPr>
    </w:p>
    <w:tbl>
      <w:tblPr>
        <w:tblStyle w:val="18"/>
        <w:tblW w:w="9886" w:type="dxa"/>
        <w:tblInd w:w="-1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83"/>
        <w:gridCol w:w="1143"/>
        <w:gridCol w:w="1635"/>
        <w:gridCol w:w="1189"/>
        <w:gridCol w:w="1225"/>
        <w:gridCol w:w="24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3426" w:type="dxa"/>
            <w:gridSpan w:val="2"/>
          </w:tcPr>
          <w:p>
            <w:pPr>
              <w:pStyle w:val="41"/>
              <w:spacing w:before="165"/>
              <w:ind w:left="717"/>
              <w:jc w:val="left"/>
              <w:rPr>
                <w:rFonts w:hint="eastAsia" w:ascii="仿宋" w:hAnsi="仿宋" w:eastAsia="仿宋" w:cs="仿宋"/>
                <w:sz w:val="21"/>
                <w:szCs w:val="21"/>
              </w:rPr>
            </w:pPr>
            <w:r>
              <w:rPr>
                <w:rFonts w:hint="eastAsia" w:ascii="仿宋" w:hAnsi="仿宋" w:eastAsia="仿宋" w:cs="仿宋"/>
                <w:sz w:val="21"/>
                <w:szCs w:val="21"/>
              </w:rPr>
              <w:t>主管部门及代码</w:t>
            </w:r>
          </w:p>
        </w:tc>
        <w:tc>
          <w:tcPr>
            <w:tcW w:w="2824" w:type="dxa"/>
            <w:gridSpan w:val="2"/>
          </w:tcPr>
          <w:p>
            <w:pPr>
              <w:pStyle w:val="41"/>
              <w:spacing w:before="165"/>
              <w:ind w:left="104"/>
              <w:jc w:val="left"/>
              <w:rPr>
                <w:rFonts w:hint="eastAsia" w:ascii="仿宋" w:hAnsi="仿宋" w:eastAsia="仿宋" w:cs="仿宋"/>
                <w:sz w:val="21"/>
                <w:szCs w:val="21"/>
              </w:rPr>
            </w:pPr>
            <w:r>
              <w:rPr>
                <w:rFonts w:hint="eastAsia" w:ascii="仿宋" w:hAnsi="仿宋" w:eastAsia="仿宋" w:cs="仿宋"/>
                <w:sz w:val="21"/>
                <w:szCs w:val="21"/>
              </w:rPr>
              <w:t>剑阁县财政局</w:t>
            </w:r>
          </w:p>
        </w:tc>
        <w:tc>
          <w:tcPr>
            <w:tcW w:w="1225" w:type="dxa"/>
          </w:tcPr>
          <w:p>
            <w:pPr>
              <w:pStyle w:val="41"/>
              <w:spacing w:before="165"/>
              <w:ind w:left="129"/>
              <w:jc w:val="left"/>
              <w:rPr>
                <w:rFonts w:hint="eastAsia" w:ascii="仿宋" w:hAnsi="仿宋" w:eastAsia="仿宋" w:cs="仿宋"/>
                <w:sz w:val="21"/>
                <w:szCs w:val="21"/>
              </w:rPr>
            </w:pPr>
            <w:r>
              <w:rPr>
                <w:rFonts w:hint="eastAsia" w:ascii="仿宋" w:hAnsi="仿宋" w:eastAsia="仿宋" w:cs="仿宋"/>
                <w:sz w:val="21"/>
                <w:szCs w:val="21"/>
              </w:rPr>
              <w:t>实施单位</w:t>
            </w:r>
          </w:p>
        </w:tc>
        <w:tc>
          <w:tcPr>
            <w:tcW w:w="2411" w:type="dxa"/>
          </w:tcPr>
          <w:p>
            <w:pPr>
              <w:pStyle w:val="41"/>
              <w:spacing w:before="4"/>
              <w:ind w:left="100" w:right="101"/>
              <w:jc w:val="left"/>
              <w:rPr>
                <w:rFonts w:hint="eastAsia" w:ascii="仿宋" w:hAnsi="仿宋" w:eastAsia="仿宋" w:cs="仿宋"/>
                <w:sz w:val="21"/>
                <w:szCs w:val="21"/>
              </w:rPr>
            </w:pPr>
            <w:r>
              <w:rPr>
                <w:rFonts w:hint="eastAsia" w:ascii="仿宋" w:hAnsi="仿宋" w:eastAsia="仿宋" w:cs="仿宋"/>
                <w:sz w:val="21"/>
                <w:szCs w:val="21"/>
              </w:rPr>
              <w:t>剑阁县</w:t>
            </w:r>
            <w:r>
              <w:rPr>
                <w:rFonts w:hint="eastAsia" w:cs="仿宋"/>
                <w:sz w:val="21"/>
                <w:szCs w:val="21"/>
                <w:lang w:val="en-US" w:eastAsia="zh-CN"/>
              </w:rPr>
              <w:t>普安镇人民政府</w:t>
            </w:r>
          </w:p>
          <w:p>
            <w:pPr>
              <w:pStyle w:val="41"/>
              <w:spacing w:before="12" w:line="297" w:lineRule="exact"/>
              <w:ind w:right="1"/>
              <w:jc w:val="left"/>
              <w:rPr>
                <w:rFonts w:hint="eastAsia" w:ascii="仿宋" w:hAnsi="仿宋" w:eastAsia="仿宋" w:cs="仿宋"/>
                <w:sz w:val="21"/>
                <w:szCs w:val="21"/>
              </w:rPr>
            </w:pPr>
            <w:r>
              <w:rPr>
                <w:rFonts w:hint="eastAsia" w:ascii="仿宋" w:hAnsi="仿宋" w:eastAsia="仿宋" w:cs="仿宋"/>
                <w:sz w:val="21"/>
                <w:szCs w:val="21"/>
              </w:rPr>
              <w:t>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26" w:type="dxa"/>
            <w:gridSpan w:val="2"/>
            <w:vMerge w:val="restart"/>
          </w:tcPr>
          <w:p>
            <w:pPr>
              <w:pStyle w:val="41"/>
              <w:spacing w:before="194" w:line="252" w:lineRule="auto"/>
              <w:ind w:left="1077" w:right="1071"/>
              <w:jc w:val="left"/>
              <w:rPr>
                <w:rFonts w:hint="eastAsia" w:ascii="仿宋" w:hAnsi="仿宋" w:eastAsia="仿宋" w:cs="仿宋"/>
                <w:sz w:val="21"/>
                <w:szCs w:val="21"/>
              </w:rPr>
            </w:pPr>
            <w:r>
              <w:rPr>
                <w:rFonts w:hint="eastAsia" w:ascii="仿宋" w:hAnsi="仿宋" w:eastAsia="仿宋" w:cs="仿宋"/>
                <w:spacing w:val="-5"/>
                <w:sz w:val="21"/>
                <w:szCs w:val="21"/>
              </w:rPr>
              <w:t>项目预算执行情况</w:t>
            </w:r>
          </w:p>
          <w:p>
            <w:pPr>
              <w:pStyle w:val="41"/>
              <w:spacing w:line="303" w:lineRule="exact"/>
              <w:ind w:left="1057" w:right="1054"/>
              <w:jc w:val="left"/>
              <w:rPr>
                <w:rFonts w:hint="eastAsia" w:ascii="仿宋" w:hAnsi="仿宋" w:eastAsia="仿宋" w:cs="仿宋"/>
                <w:sz w:val="21"/>
                <w:szCs w:val="21"/>
              </w:rPr>
            </w:pPr>
            <w:r>
              <w:rPr>
                <w:rFonts w:hint="eastAsia" w:ascii="仿宋" w:hAnsi="仿宋" w:eastAsia="仿宋" w:cs="仿宋"/>
                <w:sz w:val="21"/>
                <w:szCs w:val="21"/>
              </w:rPr>
              <w:t>（万元）</w:t>
            </w:r>
          </w:p>
        </w:tc>
        <w:tc>
          <w:tcPr>
            <w:tcW w:w="1635" w:type="dxa"/>
          </w:tcPr>
          <w:p>
            <w:pPr>
              <w:pStyle w:val="41"/>
              <w:spacing w:before="14" w:line="306" w:lineRule="exact"/>
              <w:ind w:left="224"/>
              <w:jc w:val="left"/>
              <w:rPr>
                <w:rFonts w:hint="eastAsia" w:ascii="仿宋" w:hAnsi="仿宋" w:eastAsia="仿宋" w:cs="仿宋"/>
                <w:sz w:val="21"/>
                <w:szCs w:val="21"/>
              </w:rPr>
            </w:pPr>
            <w:r>
              <w:rPr>
                <w:rFonts w:hint="eastAsia" w:ascii="仿宋" w:hAnsi="仿宋" w:eastAsia="仿宋" w:cs="仿宋"/>
                <w:sz w:val="21"/>
                <w:szCs w:val="21"/>
              </w:rPr>
              <w:t>预算数：</w:t>
            </w:r>
          </w:p>
        </w:tc>
        <w:tc>
          <w:tcPr>
            <w:tcW w:w="1189" w:type="dxa"/>
          </w:tcPr>
          <w:p>
            <w:pPr>
              <w:pStyle w:val="41"/>
              <w:spacing w:before="14" w:line="306" w:lineRule="exact"/>
              <w:ind w:left="103"/>
              <w:jc w:val="left"/>
              <w:rPr>
                <w:rFonts w:hint="default" w:ascii="仿宋" w:hAnsi="仿宋" w:eastAsia="仿宋" w:cs="仿宋"/>
                <w:sz w:val="21"/>
                <w:szCs w:val="21"/>
                <w:lang w:val="en-US" w:eastAsia="zh-CN"/>
              </w:rPr>
            </w:pPr>
            <w:r>
              <w:rPr>
                <w:rFonts w:hint="eastAsia" w:cs="仿宋"/>
                <w:sz w:val="21"/>
                <w:szCs w:val="21"/>
                <w:lang w:val="en-US" w:eastAsia="zh-CN"/>
              </w:rPr>
              <w:t>5</w:t>
            </w:r>
          </w:p>
        </w:tc>
        <w:tc>
          <w:tcPr>
            <w:tcW w:w="1225" w:type="dxa"/>
          </w:tcPr>
          <w:p>
            <w:pPr>
              <w:pStyle w:val="41"/>
              <w:spacing w:before="14" w:line="306" w:lineRule="exact"/>
              <w:ind w:left="225"/>
              <w:jc w:val="left"/>
              <w:rPr>
                <w:rFonts w:hint="eastAsia" w:ascii="仿宋" w:hAnsi="仿宋" w:eastAsia="仿宋" w:cs="仿宋"/>
                <w:sz w:val="21"/>
                <w:szCs w:val="21"/>
              </w:rPr>
            </w:pPr>
            <w:r>
              <w:rPr>
                <w:rFonts w:hint="eastAsia" w:ascii="仿宋" w:hAnsi="仿宋" w:eastAsia="仿宋" w:cs="仿宋"/>
                <w:sz w:val="21"/>
                <w:szCs w:val="21"/>
              </w:rPr>
              <w:t>执行数：</w:t>
            </w:r>
          </w:p>
        </w:tc>
        <w:tc>
          <w:tcPr>
            <w:tcW w:w="2411" w:type="dxa"/>
          </w:tcPr>
          <w:p>
            <w:pPr>
              <w:pStyle w:val="41"/>
              <w:spacing w:before="14" w:line="306" w:lineRule="exact"/>
              <w:ind w:right="103"/>
              <w:jc w:val="left"/>
              <w:rPr>
                <w:rFonts w:hint="default" w:ascii="仿宋" w:hAnsi="仿宋" w:eastAsia="仿宋" w:cs="仿宋"/>
                <w:sz w:val="21"/>
                <w:szCs w:val="21"/>
                <w:lang w:val="en-US" w:eastAsia="zh-CN"/>
              </w:rPr>
            </w:pPr>
            <w:r>
              <w:rPr>
                <w:rFonts w:hint="eastAsia" w:cs="仿宋"/>
                <w:sz w:val="21"/>
                <w:szCs w:val="21"/>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3426" w:type="dxa"/>
            <w:gridSpan w:val="2"/>
            <w:vMerge w:val="continue"/>
            <w:tcBorders>
              <w:top w:val="nil"/>
            </w:tcBorders>
          </w:tcPr>
          <w:p>
            <w:pPr>
              <w:jc w:val="left"/>
              <w:rPr>
                <w:rFonts w:hint="eastAsia" w:ascii="仿宋" w:hAnsi="仿宋" w:eastAsia="仿宋" w:cs="仿宋"/>
                <w:sz w:val="21"/>
                <w:szCs w:val="21"/>
              </w:rPr>
            </w:pPr>
          </w:p>
        </w:tc>
        <w:tc>
          <w:tcPr>
            <w:tcW w:w="1635" w:type="dxa"/>
          </w:tcPr>
          <w:p>
            <w:pPr>
              <w:pStyle w:val="41"/>
              <w:spacing w:before="4"/>
              <w:ind w:left="104"/>
              <w:jc w:val="left"/>
              <w:rPr>
                <w:rFonts w:hint="eastAsia" w:ascii="仿宋" w:hAnsi="仿宋" w:eastAsia="仿宋" w:cs="仿宋"/>
                <w:sz w:val="21"/>
                <w:szCs w:val="21"/>
              </w:rPr>
            </w:pPr>
            <w:r>
              <w:rPr>
                <w:rFonts w:hint="eastAsia" w:ascii="仿宋" w:hAnsi="仿宋" w:eastAsia="仿宋" w:cs="仿宋"/>
                <w:sz w:val="21"/>
                <w:szCs w:val="21"/>
              </w:rPr>
              <w:t>其中：</w:t>
            </w:r>
          </w:p>
          <w:p>
            <w:pPr>
              <w:pStyle w:val="41"/>
              <w:spacing w:before="12" w:line="297" w:lineRule="exact"/>
              <w:ind w:left="104"/>
              <w:jc w:val="left"/>
              <w:rPr>
                <w:rFonts w:hint="eastAsia" w:ascii="仿宋" w:hAnsi="仿宋" w:eastAsia="仿宋" w:cs="仿宋"/>
                <w:sz w:val="21"/>
                <w:szCs w:val="21"/>
              </w:rPr>
            </w:pPr>
            <w:r>
              <w:rPr>
                <w:rFonts w:hint="eastAsia" w:ascii="仿宋" w:hAnsi="仿宋" w:eastAsia="仿宋" w:cs="仿宋"/>
                <w:sz w:val="21"/>
                <w:szCs w:val="21"/>
              </w:rPr>
              <w:t>财政拨款</w:t>
            </w:r>
          </w:p>
        </w:tc>
        <w:tc>
          <w:tcPr>
            <w:tcW w:w="1189" w:type="dxa"/>
          </w:tcPr>
          <w:p>
            <w:pPr>
              <w:pStyle w:val="41"/>
              <w:spacing w:before="165"/>
              <w:jc w:val="left"/>
              <w:rPr>
                <w:rFonts w:hint="default" w:ascii="仿宋" w:hAnsi="仿宋" w:eastAsia="仿宋" w:cs="仿宋"/>
                <w:sz w:val="21"/>
                <w:szCs w:val="21"/>
                <w:lang w:val="en-US" w:eastAsia="zh-CN"/>
              </w:rPr>
            </w:pPr>
            <w:r>
              <w:rPr>
                <w:rFonts w:hint="eastAsia" w:cs="仿宋"/>
                <w:sz w:val="21"/>
                <w:szCs w:val="21"/>
                <w:lang w:val="en-US" w:eastAsia="zh-CN"/>
              </w:rPr>
              <w:t>5</w:t>
            </w:r>
          </w:p>
        </w:tc>
        <w:tc>
          <w:tcPr>
            <w:tcW w:w="1225" w:type="dxa"/>
          </w:tcPr>
          <w:p>
            <w:pPr>
              <w:pStyle w:val="41"/>
              <w:spacing w:before="4"/>
              <w:ind w:left="105"/>
              <w:jc w:val="left"/>
              <w:rPr>
                <w:rFonts w:hint="eastAsia" w:ascii="仿宋" w:hAnsi="仿宋" w:eastAsia="仿宋" w:cs="仿宋"/>
                <w:sz w:val="21"/>
                <w:szCs w:val="21"/>
              </w:rPr>
            </w:pPr>
            <w:r>
              <w:rPr>
                <w:rFonts w:hint="eastAsia" w:ascii="仿宋" w:hAnsi="仿宋" w:eastAsia="仿宋" w:cs="仿宋"/>
                <w:sz w:val="21"/>
                <w:szCs w:val="21"/>
              </w:rPr>
              <w:t>其中：</w:t>
            </w:r>
          </w:p>
          <w:p>
            <w:pPr>
              <w:pStyle w:val="41"/>
              <w:spacing w:before="12" w:line="297" w:lineRule="exact"/>
              <w:ind w:left="105"/>
              <w:jc w:val="left"/>
              <w:rPr>
                <w:rFonts w:hint="eastAsia" w:ascii="仿宋" w:hAnsi="仿宋" w:eastAsia="仿宋" w:cs="仿宋"/>
                <w:sz w:val="21"/>
                <w:szCs w:val="21"/>
              </w:rPr>
            </w:pPr>
            <w:r>
              <w:rPr>
                <w:rFonts w:hint="eastAsia" w:ascii="仿宋" w:hAnsi="仿宋" w:eastAsia="仿宋" w:cs="仿宋"/>
                <w:sz w:val="21"/>
                <w:szCs w:val="21"/>
              </w:rPr>
              <w:t>财政拨款</w:t>
            </w:r>
          </w:p>
        </w:tc>
        <w:tc>
          <w:tcPr>
            <w:tcW w:w="2411" w:type="dxa"/>
          </w:tcPr>
          <w:p>
            <w:pPr>
              <w:pStyle w:val="41"/>
              <w:spacing w:before="165"/>
              <w:jc w:val="left"/>
              <w:rPr>
                <w:rFonts w:hint="default" w:ascii="仿宋" w:hAnsi="仿宋" w:eastAsia="仿宋" w:cs="仿宋"/>
                <w:sz w:val="21"/>
                <w:szCs w:val="21"/>
                <w:lang w:val="en-US" w:eastAsia="zh-CN"/>
              </w:rPr>
            </w:pPr>
            <w:r>
              <w:rPr>
                <w:rFonts w:hint="eastAsia" w:cs="仿宋"/>
                <w:sz w:val="21"/>
                <w:szCs w:val="21"/>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426" w:type="dxa"/>
            <w:gridSpan w:val="2"/>
            <w:vMerge w:val="continue"/>
            <w:tcBorders>
              <w:top w:val="nil"/>
            </w:tcBorders>
          </w:tcPr>
          <w:p>
            <w:pPr>
              <w:jc w:val="left"/>
              <w:rPr>
                <w:rFonts w:hint="eastAsia" w:ascii="仿宋" w:hAnsi="仿宋" w:eastAsia="仿宋" w:cs="仿宋"/>
                <w:sz w:val="21"/>
                <w:szCs w:val="21"/>
              </w:rPr>
            </w:pPr>
          </w:p>
        </w:tc>
        <w:tc>
          <w:tcPr>
            <w:tcW w:w="1635" w:type="dxa"/>
          </w:tcPr>
          <w:p>
            <w:pPr>
              <w:pStyle w:val="41"/>
              <w:spacing w:before="14" w:line="306" w:lineRule="exact"/>
              <w:ind w:left="104"/>
              <w:jc w:val="left"/>
              <w:rPr>
                <w:rFonts w:hint="eastAsia" w:ascii="仿宋" w:hAnsi="仿宋" w:eastAsia="仿宋" w:cs="仿宋"/>
                <w:sz w:val="21"/>
                <w:szCs w:val="21"/>
              </w:rPr>
            </w:pPr>
            <w:r>
              <w:rPr>
                <w:rFonts w:hint="eastAsia" w:ascii="仿宋" w:hAnsi="仿宋" w:eastAsia="仿宋" w:cs="仿宋"/>
                <w:sz w:val="21"/>
                <w:szCs w:val="21"/>
              </w:rPr>
              <w:t>其他资金</w:t>
            </w:r>
          </w:p>
        </w:tc>
        <w:tc>
          <w:tcPr>
            <w:tcW w:w="1189" w:type="dxa"/>
          </w:tcPr>
          <w:p>
            <w:pPr>
              <w:pStyle w:val="41"/>
              <w:spacing w:before="14" w:line="306" w:lineRule="exact"/>
              <w:ind w:left="103"/>
              <w:jc w:val="left"/>
              <w:rPr>
                <w:rFonts w:hint="eastAsia" w:ascii="仿宋" w:hAnsi="仿宋" w:eastAsia="仿宋" w:cs="仿宋"/>
                <w:sz w:val="21"/>
                <w:szCs w:val="21"/>
              </w:rPr>
            </w:pPr>
            <w:r>
              <w:rPr>
                <w:rFonts w:hint="eastAsia" w:ascii="仿宋" w:hAnsi="仿宋" w:eastAsia="仿宋" w:cs="仿宋"/>
                <w:sz w:val="21"/>
                <w:szCs w:val="21"/>
              </w:rPr>
              <w:t>0</w:t>
            </w:r>
          </w:p>
        </w:tc>
        <w:tc>
          <w:tcPr>
            <w:tcW w:w="1225" w:type="dxa"/>
          </w:tcPr>
          <w:p>
            <w:pPr>
              <w:pStyle w:val="41"/>
              <w:spacing w:before="14" w:line="306" w:lineRule="exact"/>
              <w:ind w:left="105"/>
              <w:jc w:val="left"/>
              <w:rPr>
                <w:rFonts w:hint="eastAsia" w:ascii="仿宋" w:hAnsi="仿宋" w:eastAsia="仿宋" w:cs="仿宋"/>
                <w:sz w:val="21"/>
                <w:szCs w:val="21"/>
              </w:rPr>
            </w:pPr>
            <w:r>
              <w:rPr>
                <w:rFonts w:hint="eastAsia" w:ascii="仿宋" w:hAnsi="仿宋" w:eastAsia="仿宋" w:cs="仿宋"/>
                <w:sz w:val="21"/>
                <w:szCs w:val="21"/>
              </w:rPr>
              <w:t>其他资金</w:t>
            </w:r>
          </w:p>
        </w:tc>
        <w:tc>
          <w:tcPr>
            <w:tcW w:w="2411" w:type="dxa"/>
          </w:tcPr>
          <w:p>
            <w:pPr>
              <w:pStyle w:val="41"/>
              <w:spacing w:before="14" w:line="306" w:lineRule="exact"/>
              <w:ind w:right="1"/>
              <w:jc w:val="left"/>
              <w:rPr>
                <w:rFonts w:hint="eastAsia" w:ascii="仿宋" w:hAnsi="仿宋" w:eastAsia="仿宋" w:cs="仿宋"/>
                <w:sz w:val="21"/>
                <w:szCs w:val="21"/>
              </w:rPr>
            </w:pPr>
            <w:r>
              <w:rPr>
                <w:rFonts w:hint="eastAsia" w:ascii="仿宋" w:hAnsi="仿宋" w:eastAsia="仿宋" w:cs="仿宋"/>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2283" w:type="dxa"/>
            <w:vMerge w:val="restart"/>
          </w:tcPr>
          <w:p>
            <w:pPr>
              <w:pStyle w:val="41"/>
              <w:spacing w:before="3"/>
              <w:jc w:val="left"/>
              <w:rPr>
                <w:rFonts w:hint="eastAsia" w:ascii="仿宋" w:hAnsi="仿宋" w:eastAsia="仿宋" w:cs="仿宋"/>
                <w:b/>
                <w:sz w:val="21"/>
                <w:szCs w:val="21"/>
              </w:rPr>
            </w:pPr>
          </w:p>
          <w:p>
            <w:pPr>
              <w:pStyle w:val="41"/>
              <w:spacing w:line="252" w:lineRule="auto"/>
              <w:ind w:left="508" w:right="257" w:hanging="240"/>
              <w:jc w:val="left"/>
              <w:rPr>
                <w:rFonts w:hint="eastAsia" w:ascii="仿宋" w:hAnsi="仿宋" w:eastAsia="仿宋" w:cs="仿宋"/>
                <w:sz w:val="21"/>
                <w:szCs w:val="21"/>
              </w:rPr>
            </w:pPr>
            <w:r>
              <w:rPr>
                <w:rFonts w:hint="eastAsia" w:ascii="仿宋" w:hAnsi="仿宋" w:eastAsia="仿宋" w:cs="仿宋"/>
                <w:sz w:val="21"/>
                <w:szCs w:val="21"/>
              </w:rPr>
              <w:t>年度总体目标完成情况</w:t>
            </w:r>
          </w:p>
        </w:tc>
        <w:tc>
          <w:tcPr>
            <w:tcW w:w="3967" w:type="dxa"/>
            <w:gridSpan w:val="3"/>
          </w:tcPr>
          <w:p>
            <w:pPr>
              <w:pStyle w:val="41"/>
              <w:spacing w:before="4" w:line="294" w:lineRule="exact"/>
              <w:ind w:left="1479" w:right="1478"/>
              <w:jc w:val="left"/>
              <w:rPr>
                <w:rFonts w:hint="eastAsia" w:ascii="仿宋" w:hAnsi="仿宋" w:eastAsia="仿宋" w:cs="仿宋"/>
                <w:sz w:val="21"/>
                <w:szCs w:val="21"/>
              </w:rPr>
            </w:pPr>
            <w:r>
              <w:rPr>
                <w:rFonts w:hint="eastAsia" w:ascii="仿宋" w:hAnsi="仿宋" w:eastAsia="仿宋" w:cs="仿宋"/>
                <w:sz w:val="21"/>
                <w:szCs w:val="21"/>
              </w:rPr>
              <w:t>预期目标</w:t>
            </w:r>
          </w:p>
        </w:tc>
        <w:tc>
          <w:tcPr>
            <w:tcW w:w="3636" w:type="dxa"/>
            <w:gridSpan w:val="2"/>
          </w:tcPr>
          <w:p>
            <w:pPr>
              <w:pStyle w:val="41"/>
              <w:spacing w:before="4" w:line="294" w:lineRule="exact"/>
              <w:ind w:left="851"/>
              <w:jc w:val="left"/>
              <w:rPr>
                <w:rFonts w:hint="eastAsia" w:ascii="仿宋" w:hAnsi="仿宋" w:eastAsia="仿宋" w:cs="仿宋"/>
                <w:sz w:val="21"/>
                <w:szCs w:val="21"/>
              </w:rPr>
            </w:pPr>
            <w:r>
              <w:rPr>
                <w:rFonts w:hint="eastAsia" w:ascii="仿宋" w:hAnsi="仿宋" w:eastAsia="仿宋" w:cs="仿宋"/>
                <w:sz w:val="21"/>
                <w:szCs w:val="21"/>
              </w:rPr>
              <w:t>目标实际完成情况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2283" w:type="dxa"/>
            <w:vMerge w:val="continue"/>
            <w:tcBorders>
              <w:top w:val="nil"/>
            </w:tcBorders>
          </w:tcPr>
          <w:p>
            <w:pPr>
              <w:jc w:val="left"/>
              <w:rPr>
                <w:rFonts w:hint="eastAsia" w:ascii="仿宋" w:hAnsi="仿宋" w:eastAsia="仿宋" w:cs="仿宋"/>
                <w:sz w:val="21"/>
                <w:szCs w:val="21"/>
              </w:rPr>
            </w:pPr>
          </w:p>
        </w:tc>
        <w:tc>
          <w:tcPr>
            <w:tcW w:w="3967" w:type="dxa"/>
            <w:gridSpan w:val="3"/>
          </w:tcPr>
          <w:p>
            <w:pPr>
              <w:pStyle w:val="41"/>
              <w:spacing w:before="31" w:line="249" w:lineRule="auto"/>
              <w:ind w:left="105" w:right="98"/>
              <w:jc w:val="left"/>
              <w:rPr>
                <w:rFonts w:hint="eastAsia" w:ascii="仿宋" w:hAnsi="仿宋" w:eastAsia="仿宋" w:cs="仿宋"/>
                <w:sz w:val="21"/>
                <w:szCs w:val="21"/>
              </w:rPr>
            </w:pPr>
            <w:r>
              <w:rPr>
                <w:rFonts w:hint="eastAsia" w:ascii="仿宋" w:hAnsi="仿宋" w:eastAsia="仿宋" w:cs="仿宋"/>
                <w:spacing w:val="-8"/>
                <w:sz w:val="21"/>
                <w:szCs w:val="21"/>
              </w:rPr>
              <w:t>保障</w:t>
            </w:r>
            <w:r>
              <w:rPr>
                <w:rFonts w:hint="eastAsia" w:cs="仿宋"/>
                <w:spacing w:val="-8"/>
                <w:sz w:val="21"/>
                <w:szCs w:val="21"/>
                <w:lang w:val="en-US" w:eastAsia="zh-CN"/>
              </w:rPr>
              <w:t>城区</w:t>
            </w:r>
            <w:r>
              <w:rPr>
                <w:rFonts w:hint="eastAsia" w:ascii="仿宋" w:hAnsi="仿宋" w:eastAsia="仿宋" w:cs="仿宋"/>
                <w:spacing w:val="-8"/>
                <w:sz w:val="21"/>
                <w:szCs w:val="21"/>
              </w:rPr>
              <w:t>及周边的优美环境，清运垃</w:t>
            </w:r>
            <w:r>
              <w:rPr>
                <w:rFonts w:hint="eastAsia" w:ascii="仿宋" w:hAnsi="仿宋" w:eastAsia="仿宋" w:cs="仿宋"/>
                <w:sz w:val="21"/>
                <w:szCs w:val="21"/>
              </w:rPr>
              <w:t>圾。</w:t>
            </w:r>
          </w:p>
        </w:tc>
        <w:tc>
          <w:tcPr>
            <w:tcW w:w="3636" w:type="dxa"/>
            <w:gridSpan w:val="2"/>
          </w:tcPr>
          <w:p>
            <w:pPr>
              <w:pStyle w:val="41"/>
              <w:spacing w:before="31" w:line="249" w:lineRule="auto"/>
              <w:ind w:left="105" w:right="158"/>
              <w:jc w:val="left"/>
              <w:rPr>
                <w:rFonts w:hint="eastAsia" w:ascii="仿宋" w:hAnsi="仿宋" w:eastAsia="仿宋" w:cs="仿宋"/>
                <w:sz w:val="21"/>
                <w:szCs w:val="21"/>
              </w:rPr>
            </w:pPr>
            <w:r>
              <w:rPr>
                <w:rFonts w:hint="eastAsia" w:ascii="仿宋" w:hAnsi="仿宋" w:eastAsia="仿宋" w:cs="仿宋"/>
                <w:sz w:val="21"/>
                <w:szCs w:val="21"/>
              </w:rPr>
              <w:t>做到</w:t>
            </w:r>
            <w:r>
              <w:rPr>
                <w:rFonts w:hint="eastAsia" w:cs="仿宋"/>
                <w:sz w:val="21"/>
                <w:szCs w:val="21"/>
                <w:lang w:val="en-US" w:eastAsia="zh-CN"/>
              </w:rPr>
              <w:t>城区</w:t>
            </w:r>
            <w:r>
              <w:rPr>
                <w:rFonts w:hint="eastAsia" w:ascii="仿宋" w:hAnsi="仿宋" w:eastAsia="仿宋" w:cs="仿宋"/>
                <w:sz w:val="21"/>
                <w:szCs w:val="21"/>
              </w:rPr>
              <w:t>及周边的优美环境，清运垃圾及时到位。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2283" w:type="dxa"/>
            <w:vMerge w:val="restart"/>
          </w:tcPr>
          <w:p>
            <w:pPr>
              <w:pStyle w:val="41"/>
              <w:jc w:val="left"/>
              <w:rPr>
                <w:rFonts w:ascii="宋体"/>
                <w:b/>
                <w:sz w:val="21"/>
                <w:szCs w:val="21"/>
              </w:rPr>
            </w:pPr>
          </w:p>
          <w:p>
            <w:pPr>
              <w:pStyle w:val="41"/>
              <w:jc w:val="left"/>
              <w:rPr>
                <w:rFonts w:ascii="宋体"/>
                <w:b/>
                <w:sz w:val="21"/>
                <w:szCs w:val="21"/>
              </w:rPr>
            </w:pPr>
          </w:p>
          <w:p>
            <w:pPr>
              <w:pStyle w:val="41"/>
              <w:jc w:val="left"/>
              <w:rPr>
                <w:rFonts w:ascii="宋体"/>
                <w:b/>
                <w:sz w:val="21"/>
                <w:szCs w:val="21"/>
              </w:rPr>
            </w:pPr>
          </w:p>
          <w:p>
            <w:pPr>
              <w:pStyle w:val="41"/>
              <w:jc w:val="left"/>
              <w:rPr>
                <w:rFonts w:ascii="宋体"/>
                <w:b/>
                <w:sz w:val="21"/>
                <w:szCs w:val="21"/>
              </w:rPr>
            </w:pPr>
          </w:p>
          <w:p>
            <w:pPr>
              <w:pStyle w:val="41"/>
              <w:jc w:val="left"/>
              <w:rPr>
                <w:rFonts w:ascii="宋体"/>
                <w:b/>
                <w:sz w:val="21"/>
                <w:szCs w:val="21"/>
              </w:rPr>
            </w:pPr>
          </w:p>
          <w:p>
            <w:pPr>
              <w:pStyle w:val="41"/>
              <w:jc w:val="left"/>
              <w:rPr>
                <w:rFonts w:ascii="宋体"/>
                <w:b/>
                <w:sz w:val="21"/>
                <w:szCs w:val="21"/>
              </w:rPr>
            </w:pPr>
          </w:p>
          <w:p>
            <w:pPr>
              <w:pStyle w:val="41"/>
              <w:jc w:val="left"/>
              <w:rPr>
                <w:rFonts w:ascii="宋体"/>
                <w:b/>
                <w:sz w:val="21"/>
                <w:szCs w:val="21"/>
              </w:rPr>
            </w:pPr>
          </w:p>
          <w:p>
            <w:pPr>
              <w:pStyle w:val="41"/>
              <w:jc w:val="left"/>
              <w:rPr>
                <w:rFonts w:ascii="宋体"/>
                <w:b/>
                <w:sz w:val="21"/>
                <w:szCs w:val="21"/>
              </w:rPr>
            </w:pPr>
          </w:p>
          <w:p>
            <w:pPr>
              <w:pStyle w:val="41"/>
              <w:jc w:val="left"/>
              <w:rPr>
                <w:rFonts w:ascii="宋体"/>
                <w:b/>
                <w:sz w:val="21"/>
                <w:szCs w:val="21"/>
              </w:rPr>
            </w:pPr>
          </w:p>
          <w:p>
            <w:pPr>
              <w:pStyle w:val="41"/>
              <w:jc w:val="left"/>
              <w:rPr>
                <w:rFonts w:ascii="宋体"/>
                <w:b/>
                <w:sz w:val="21"/>
                <w:szCs w:val="21"/>
              </w:rPr>
            </w:pPr>
          </w:p>
          <w:p>
            <w:pPr>
              <w:pStyle w:val="41"/>
              <w:jc w:val="left"/>
              <w:rPr>
                <w:rFonts w:ascii="宋体"/>
                <w:b/>
                <w:sz w:val="21"/>
                <w:szCs w:val="21"/>
              </w:rPr>
            </w:pPr>
          </w:p>
          <w:p>
            <w:pPr>
              <w:pStyle w:val="41"/>
              <w:jc w:val="left"/>
              <w:rPr>
                <w:rFonts w:ascii="宋体"/>
                <w:b/>
                <w:sz w:val="21"/>
                <w:szCs w:val="21"/>
              </w:rPr>
            </w:pPr>
          </w:p>
          <w:p>
            <w:pPr>
              <w:pStyle w:val="41"/>
              <w:spacing w:line="213" w:lineRule="auto"/>
              <w:ind w:left="427" w:right="137" w:hanging="279"/>
              <w:jc w:val="left"/>
              <w:rPr>
                <w:sz w:val="21"/>
                <w:szCs w:val="21"/>
              </w:rPr>
            </w:pPr>
            <w:r>
              <w:rPr>
                <w:sz w:val="21"/>
                <w:szCs w:val="21"/>
              </w:rPr>
              <w:t>年度绩效指标完成情况</w:t>
            </w:r>
          </w:p>
        </w:tc>
        <w:tc>
          <w:tcPr>
            <w:tcW w:w="1143" w:type="dxa"/>
          </w:tcPr>
          <w:p>
            <w:pPr>
              <w:pStyle w:val="41"/>
              <w:spacing w:before="29" w:line="320" w:lineRule="exact"/>
              <w:ind w:left="287" w:right="281"/>
              <w:jc w:val="left"/>
              <w:rPr>
                <w:sz w:val="21"/>
                <w:szCs w:val="21"/>
              </w:rPr>
            </w:pPr>
            <w:r>
              <w:rPr>
                <w:sz w:val="21"/>
                <w:szCs w:val="21"/>
              </w:rPr>
              <w:t>一级指标</w:t>
            </w:r>
          </w:p>
        </w:tc>
        <w:tc>
          <w:tcPr>
            <w:tcW w:w="1635" w:type="dxa"/>
          </w:tcPr>
          <w:p>
            <w:pPr>
              <w:pStyle w:val="41"/>
              <w:spacing w:before="29" w:line="320" w:lineRule="exact"/>
              <w:ind w:left="533" w:right="527"/>
              <w:jc w:val="left"/>
              <w:rPr>
                <w:sz w:val="21"/>
                <w:szCs w:val="21"/>
              </w:rPr>
            </w:pPr>
            <w:r>
              <w:rPr>
                <w:sz w:val="21"/>
                <w:szCs w:val="21"/>
              </w:rPr>
              <w:t>二级指标</w:t>
            </w:r>
          </w:p>
        </w:tc>
        <w:tc>
          <w:tcPr>
            <w:tcW w:w="1189" w:type="dxa"/>
          </w:tcPr>
          <w:p>
            <w:pPr>
              <w:pStyle w:val="41"/>
              <w:spacing w:before="29" w:line="320" w:lineRule="exact"/>
              <w:ind w:left="310" w:right="306"/>
              <w:jc w:val="left"/>
              <w:rPr>
                <w:sz w:val="21"/>
                <w:szCs w:val="21"/>
              </w:rPr>
            </w:pPr>
            <w:r>
              <w:rPr>
                <w:sz w:val="21"/>
                <w:szCs w:val="21"/>
              </w:rPr>
              <w:t>三级指标</w:t>
            </w:r>
          </w:p>
        </w:tc>
        <w:tc>
          <w:tcPr>
            <w:tcW w:w="1225" w:type="dxa"/>
          </w:tcPr>
          <w:p>
            <w:pPr>
              <w:pStyle w:val="41"/>
              <w:spacing w:before="29" w:line="320" w:lineRule="exact"/>
              <w:ind w:left="328" w:right="183" w:hanging="140"/>
              <w:jc w:val="left"/>
              <w:rPr>
                <w:sz w:val="21"/>
                <w:szCs w:val="21"/>
              </w:rPr>
            </w:pPr>
            <w:r>
              <w:rPr>
                <w:sz w:val="21"/>
                <w:szCs w:val="21"/>
              </w:rPr>
              <w:t>预期指标值</w:t>
            </w:r>
          </w:p>
        </w:tc>
        <w:tc>
          <w:tcPr>
            <w:tcW w:w="2411" w:type="dxa"/>
          </w:tcPr>
          <w:p>
            <w:pPr>
              <w:pStyle w:val="41"/>
              <w:spacing w:before="166"/>
              <w:ind w:left="219"/>
              <w:jc w:val="left"/>
              <w:rPr>
                <w:sz w:val="21"/>
                <w:szCs w:val="21"/>
              </w:rPr>
            </w:pPr>
            <w:r>
              <w:rPr>
                <w:sz w:val="21"/>
                <w:szCs w:val="21"/>
              </w:rPr>
              <w:t>实际完成指标值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283" w:type="dxa"/>
            <w:vMerge w:val="continue"/>
            <w:tcBorders>
              <w:top w:val="nil"/>
            </w:tcBorders>
          </w:tcPr>
          <w:p>
            <w:pPr>
              <w:jc w:val="left"/>
              <w:rPr>
                <w:sz w:val="21"/>
                <w:szCs w:val="21"/>
              </w:rPr>
            </w:pPr>
          </w:p>
        </w:tc>
        <w:tc>
          <w:tcPr>
            <w:tcW w:w="1143" w:type="dxa"/>
            <w:vMerge w:val="restart"/>
          </w:tcPr>
          <w:p>
            <w:pPr>
              <w:pStyle w:val="41"/>
              <w:jc w:val="left"/>
              <w:rPr>
                <w:rFonts w:ascii="宋体"/>
                <w:b/>
                <w:sz w:val="21"/>
                <w:szCs w:val="21"/>
              </w:rPr>
            </w:pPr>
          </w:p>
          <w:p>
            <w:pPr>
              <w:pStyle w:val="41"/>
              <w:jc w:val="left"/>
              <w:rPr>
                <w:rFonts w:ascii="宋体"/>
                <w:b/>
                <w:sz w:val="21"/>
                <w:szCs w:val="21"/>
              </w:rPr>
            </w:pPr>
          </w:p>
          <w:p>
            <w:pPr>
              <w:pStyle w:val="41"/>
              <w:jc w:val="left"/>
              <w:rPr>
                <w:rFonts w:ascii="宋体"/>
                <w:b/>
                <w:sz w:val="21"/>
                <w:szCs w:val="21"/>
              </w:rPr>
            </w:pPr>
          </w:p>
          <w:p>
            <w:pPr>
              <w:pStyle w:val="41"/>
              <w:spacing w:before="8"/>
              <w:jc w:val="left"/>
              <w:rPr>
                <w:rFonts w:ascii="宋体"/>
                <w:b/>
                <w:sz w:val="21"/>
                <w:szCs w:val="21"/>
              </w:rPr>
            </w:pPr>
          </w:p>
          <w:p>
            <w:pPr>
              <w:pStyle w:val="41"/>
              <w:spacing w:line="213" w:lineRule="auto"/>
              <w:ind w:left="287" w:right="281"/>
              <w:jc w:val="left"/>
              <w:rPr>
                <w:sz w:val="21"/>
                <w:szCs w:val="21"/>
              </w:rPr>
            </w:pPr>
            <w:r>
              <w:rPr>
                <w:sz w:val="21"/>
                <w:szCs w:val="21"/>
              </w:rPr>
              <w:t>完成指标</w:t>
            </w:r>
          </w:p>
        </w:tc>
        <w:tc>
          <w:tcPr>
            <w:tcW w:w="1635" w:type="dxa"/>
          </w:tcPr>
          <w:p>
            <w:pPr>
              <w:pStyle w:val="41"/>
              <w:spacing w:before="2"/>
              <w:jc w:val="left"/>
              <w:rPr>
                <w:rFonts w:ascii="宋体"/>
                <w:b/>
                <w:sz w:val="21"/>
                <w:szCs w:val="21"/>
              </w:rPr>
            </w:pPr>
          </w:p>
          <w:p>
            <w:pPr>
              <w:pStyle w:val="41"/>
              <w:ind w:right="248"/>
              <w:jc w:val="left"/>
              <w:rPr>
                <w:sz w:val="21"/>
                <w:szCs w:val="21"/>
              </w:rPr>
            </w:pPr>
            <w:r>
              <w:rPr>
                <w:sz w:val="21"/>
                <w:szCs w:val="21"/>
              </w:rPr>
              <w:t>数量指标</w:t>
            </w:r>
          </w:p>
        </w:tc>
        <w:tc>
          <w:tcPr>
            <w:tcW w:w="1189" w:type="dxa"/>
          </w:tcPr>
          <w:p>
            <w:pPr>
              <w:pStyle w:val="41"/>
              <w:spacing w:line="284" w:lineRule="exact"/>
              <w:ind w:left="171"/>
              <w:jc w:val="left"/>
              <w:rPr>
                <w:sz w:val="21"/>
                <w:szCs w:val="21"/>
              </w:rPr>
            </w:pPr>
            <w:r>
              <w:rPr>
                <w:spacing w:val="-2"/>
                <w:sz w:val="21"/>
                <w:szCs w:val="21"/>
              </w:rPr>
              <w:t>场镇及</w:t>
            </w:r>
          </w:p>
          <w:p>
            <w:pPr>
              <w:pStyle w:val="41"/>
              <w:spacing w:before="11" w:line="213" w:lineRule="auto"/>
              <w:ind w:left="171" w:right="165"/>
              <w:jc w:val="left"/>
              <w:rPr>
                <w:sz w:val="21"/>
                <w:szCs w:val="21"/>
              </w:rPr>
            </w:pPr>
            <w:r>
              <w:rPr>
                <w:spacing w:val="-7"/>
                <w:sz w:val="21"/>
                <w:szCs w:val="21"/>
              </w:rPr>
              <w:t>周边垃圾清运</w:t>
            </w:r>
          </w:p>
          <w:p>
            <w:pPr>
              <w:pStyle w:val="41"/>
              <w:spacing w:line="325" w:lineRule="exact"/>
              <w:ind w:left="171"/>
              <w:jc w:val="left"/>
              <w:rPr>
                <w:sz w:val="21"/>
                <w:szCs w:val="21"/>
              </w:rPr>
            </w:pPr>
            <w:r>
              <w:rPr>
                <w:spacing w:val="-1"/>
                <w:sz w:val="21"/>
                <w:szCs w:val="21"/>
              </w:rPr>
              <w:t>（</w:t>
            </w:r>
            <w:r>
              <w:rPr>
                <w:spacing w:val="-5"/>
                <w:sz w:val="21"/>
                <w:szCs w:val="21"/>
              </w:rPr>
              <w:t>车</w:t>
            </w:r>
            <w:r>
              <w:rPr>
                <w:sz w:val="21"/>
                <w:szCs w:val="21"/>
              </w:rPr>
              <w:t>）</w:t>
            </w:r>
          </w:p>
        </w:tc>
        <w:tc>
          <w:tcPr>
            <w:tcW w:w="1225" w:type="dxa"/>
          </w:tcPr>
          <w:p>
            <w:pPr>
              <w:pStyle w:val="41"/>
              <w:spacing w:before="2"/>
              <w:jc w:val="left"/>
              <w:rPr>
                <w:rFonts w:ascii="宋体"/>
                <w:b/>
                <w:sz w:val="21"/>
                <w:szCs w:val="21"/>
              </w:rPr>
            </w:pPr>
          </w:p>
          <w:p>
            <w:pPr>
              <w:pStyle w:val="41"/>
              <w:ind w:left="328"/>
              <w:jc w:val="left"/>
              <w:rPr>
                <w:rFonts w:hint="default" w:eastAsia="仿宋"/>
                <w:sz w:val="21"/>
                <w:szCs w:val="21"/>
                <w:lang w:val="en-US" w:eastAsia="zh-CN"/>
              </w:rPr>
            </w:pPr>
            <w:r>
              <w:rPr>
                <w:sz w:val="21"/>
                <w:szCs w:val="21"/>
              </w:rPr>
              <w:t>≥</w:t>
            </w:r>
            <w:r>
              <w:rPr>
                <w:rFonts w:hint="eastAsia"/>
                <w:sz w:val="21"/>
                <w:szCs w:val="21"/>
                <w:lang w:val="en-US" w:eastAsia="zh-CN"/>
              </w:rPr>
              <w:t>400</w:t>
            </w:r>
          </w:p>
        </w:tc>
        <w:tc>
          <w:tcPr>
            <w:tcW w:w="2411" w:type="dxa"/>
          </w:tcPr>
          <w:p>
            <w:pPr>
              <w:pStyle w:val="41"/>
              <w:spacing w:before="2"/>
              <w:jc w:val="left"/>
              <w:rPr>
                <w:rFonts w:ascii="宋体"/>
                <w:b/>
                <w:sz w:val="21"/>
                <w:szCs w:val="21"/>
              </w:rPr>
            </w:pPr>
          </w:p>
          <w:p>
            <w:pPr>
              <w:pStyle w:val="41"/>
              <w:ind w:left="100" w:right="100"/>
              <w:jc w:val="left"/>
              <w:rPr>
                <w:rFonts w:hint="default" w:eastAsia="仿宋"/>
                <w:sz w:val="21"/>
                <w:szCs w:val="21"/>
                <w:lang w:val="en-US" w:eastAsia="zh-CN"/>
              </w:rPr>
            </w:pPr>
            <w:r>
              <w:rPr>
                <w:sz w:val="21"/>
                <w:szCs w:val="21"/>
              </w:rPr>
              <w:t>≥</w:t>
            </w:r>
            <w:r>
              <w:rPr>
                <w:rFonts w:hint="eastAsia"/>
                <w:sz w:val="21"/>
                <w:szCs w:val="21"/>
                <w:lang w:val="en-US" w:eastAsia="zh-CN"/>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2283" w:type="dxa"/>
            <w:vMerge w:val="continue"/>
            <w:tcBorders>
              <w:top w:val="nil"/>
            </w:tcBorders>
          </w:tcPr>
          <w:p>
            <w:pPr>
              <w:jc w:val="left"/>
              <w:rPr>
                <w:sz w:val="21"/>
                <w:szCs w:val="21"/>
              </w:rPr>
            </w:pPr>
          </w:p>
        </w:tc>
        <w:tc>
          <w:tcPr>
            <w:tcW w:w="1143" w:type="dxa"/>
            <w:vMerge w:val="continue"/>
            <w:tcBorders>
              <w:top w:val="nil"/>
            </w:tcBorders>
          </w:tcPr>
          <w:p>
            <w:pPr>
              <w:jc w:val="left"/>
              <w:rPr>
                <w:sz w:val="21"/>
                <w:szCs w:val="21"/>
              </w:rPr>
            </w:pPr>
          </w:p>
        </w:tc>
        <w:tc>
          <w:tcPr>
            <w:tcW w:w="1635" w:type="dxa"/>
          </w:tcPr>
          <w:p>
            <w:pPr>
              <w:pStyle w:val="41"/>
              <w:spacing w:before="106"/>
              <w:ind w:right="248"/>
              <w:jc w:val="left"/>
              <w:rPr>
                <w:sz w:val="21"/>
                <w:szCs w:val="21"/>
              </w:rPr>
            </w:pPr>
            <w:r>
              <w:rPr>
                <w:sz w:val="21"/>
                <w:szCs w:val="21"/>
              </w:rPr>
              <w:t>质量指标</w:t>
            </w:r>
          </w:p>
        </w:tc>
        <w:tc>
          <w:tcPr>
            <w:tcW w:w="1189" w:type="dxa"/>
          </w:tcPr>
          <w:p>
            <w:pPr>
              <w:pStyle w:val="41"/>
              <w:spacing w:line="286" w:lineRule="exact"/>
              <w:ind w:left="171"/>
              <w:jc w:val="left"/>
              <w:rPr>
                <w:sz w:val="21"/>
                <w:szCs w:val="21"/>
              </w:rPr>
            </w:pPr>
            <w:r>
              <w:rPr>
                <w:spacing w:val="-2"/>
                <w:sz w:val="21"/>
                <w:szCs w:val="21"/>
              </w:rPr>
              <w:t>环境卫</w:t>
            </w:r>
          </w:p>
          <w:p>
            <w:pPr>
              <w:pStyle w:val="41"/>
              <w:spacing w:line="335" w:lineRule="exact"/>
              <w:ind w:left="171"/>
              <w:jc w:val="left"/>
              <w:rPr>
                <w:sz w:val="21"/>
                <w:szCs w:val="21"/>
              </w:rPr>
            </w:pPr>
            <w:r>
              <w:rPr>
                <w:spacing w:val="-2"/>
                <w:sz w:val="21"/>
                <w:szCs w:val="21"/>
              </w:rPr>
              <w:t>生质量</w:t>
            </w:r>
          </w:p>
        </w:tc>
        <w:tc>
          <w:tcPr>
            <w:tcW w:w="1225" w:type="dxa"/>
          </w:tcPr>
          <w:p>
            <w:pPr>
              <w:pStyle w:val="41"/>
              <w:spacing w:before="106"/>
              <w:ind w:left="1"/>
              <w:jc w:val="left"/>
              <w:rPr>
                <w:sz w:val="21"/>
                <w:szCs w:val="21"/>
              </w:rPr>
            </w:pPr>
            <w:r>
              <w:rPr>
                <w:w w:val="100"/>
                <w:sz w:val="21"/>
                <w:szCs w:val="21"/>
              </w:rPr>
              <w:t>优</w:t>
            </w:r>
          </w:p>
        </w:tc>
        <w:tc>
          <w:tcPr>
            <w:tcW w:w="2411" w:type="dxa"/>
          </w:tcPr>
          <w:p>
            <w:pPr>
              <w:pStyle w:val="41"/>
              <w:spacing w:before="106"/>
              <w:ind w:right="1"/>
              <w:jc w:val="left"/>
              <w:rPr>
                <w:sz w:val="21"/>
                <w:szCs w:val="21"/>
              </w:rPr>
            </w:pPr>
            <w:r>
              <w:rPr>
                <w:w w:val="100"/>
                <w:sz w:val="21"/>
                <w:szCs w:val="21"/>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2283" w:type="dxa"/>
            <w:vMerge w:val="continue"/>
            <w:tcBorders>
              <w:top w:val="nil"/>
            </w:tcBorders>
          </w:tcPr>
          <w:p>
            <w:pPr>
              <w:jc w:val="left"/>
              <w:rPr>
                <w:sz w:val="21"/>
                <w:szCs w:val="21"/>
              </w:rPr>
            </w:pPr>
          </w:p>
        </w:tc>
        <w:tc>
          <w:tcPr>
            <w:tcW w:w="1143" w:type="dxa"/>
            <w:vMerge w:val="continue"/>
            <w:tcBorders>
              <w:top w:val="nil"/>
            </w:tcBorders>
          </w:tcPr>
          <w:p>
            <w:pPr>
              <w:jc w:val="left"/>
              <w:rPr>
                <w:sz w:val="21"/>
                <w:szCs w:val="21"/>
              </w:rPr>
            </w:pPr>
          </w:p>
        </w:tc>
        <w:tc>
          <w:tcPr>
            <w:tcW w:w="1635" w:type="dxa"/>
          </w:tcPr>
          <w:p>
            <w:pPr>
              <w:pStyle w:val="41"/>
              <w:spacing w:before="106"/>
              <w:ind w:right="248"/>
              <w:jc w:val="left"/>
              <w:rPr>
                <w:sz w:val="21"/>
                <w:szCs w:val="21"/>
              </w:rPr>
            </w:pPr>
            <w:r>
              <w:rPr>
                <w:sz w:val="21"/>
                <w:szCs w:val="21"/>
              </w:rPr>
              <w:t>时效指标</w:t>
            </w:r>
          </w:p>
        </w:tc>
        <w:tc>
          <w:tcPr>
            <w:tcW w:w="1189" w:type="dxa"/>
          </w:tcPr>
          <w:p>
            <w:pPr>
              <w:pStyle w:val="41"/>
              <w:spacing w:line="284" w:lineRule="exact"/>
              <w:ind w:left="171"/>
              <w:jc w:val="left"/>
              <w:rPr>
                <w:sz w:val="21"/>
                <w:szCs w:val="21"/>
              </w:rPr>
            </w:pPr>
            <w:r>
              <w:rPr>
                <w:spacing w:val="-2"/>
                <w:sz w:val="21"/>
                <w:szCs w:val="21"/>
              </w:rPr>
              <w:t>项目成</w:t>
            </w:r>
          </w:p>
          <w:p>
            <w:pPr>
              <w:pStyle w:val="41"/>
              <w:spacing w:line="336" w:lineRule="exact"/>
              <w:ind w:left="171"/>
              <w:jc w:val="left"/>
              <w:rPr>
                <w:sz w:val="21"/>
                <w:szCs w:val="21"/>
              </w:rPr>
            </w:pPr>
            <w:r>
              <w:rPr>
                <w:spacing w:val="-2"/>
                <w:sz w:val="21"/>
                <w:szCs w:val="21"/>
              </w:rPr>
              <w:t>果时效</w:t>
            </w:r>
          </w:p>
        </w:tc>
        <w:tc>
          <w:tcPr>
            <w:tcW w:w="1225" w:type="dxa"/>
          </w:tcPr>
          <w:p>
            <w:pPr>
              <w:pStyle w:val="41"/>
              <w:spacing w:line="284" w:lineRule="exact"/>
              <w:ind w:left="99" w:right="96"/>
              <w:jc w:val="left"/>
              <w:rPr>
                <w:sz w:val="21"/>
                <w:szCs w:val="21"/>
              </w:rPr>
            </w:pPr>
            <w:r>
              <w:rPr>
                <w:sz w:val="21"/>
                <w:szCs w:val="21"/>
              </w:rPr>
              <w:t>202</w:t>
            </w:r>
            <w:r>
              <w:rPr>
                <w:rFonts w:hint="eastAsia"/>
                <w:sz w:val="21"/>
                <w:szCs w:val="21"/>
                <w:lang w:val="en-US" w:eastAsia="zh-CN"/>
              </w:rPr>
              <w:t>2</w:t>
            </w:r>
            <w:r>
              <w:rPr>
                <w:sz w:val="21"/>
                <w:szCs w:val="21"/>
              </w:rPr>
              <w:t xml:space="preserve"> 年</w:t>
            </w:r>
          </w:p>
          <w:p>
            <w:pPr>
              <w:pStyle w:val="41"/>
              <w:spacing w:line="336" w:lineRule="exact"/>
              <w:ind w:left="1"/>
              <w:jc w:val="left"/>
              <w:rPr>
                <w:sz w:val="21"/>
                <w:szCs w:val="21"/>
              </w:rPr>
            </w:pPr>
            <w:r>
              <w:rPr>
                <w:w w:val="100"/>
                <w:sz w:val="21"/>
                <w:szCs w:val="21"/>
              </w:rPr>
              <w:t>度</w:t>
            </w:r>
          </w:p>
        </w:tc>
        <w:tc>
          <w:tcPr>
            <w:tcW w:w="2411" w:type="dxa"/>
          </w:tcPr>
          <w:p>
            <w:pPr>
              <w:pStyle w:val="41"/>
              <w:spacing w:before="106"/>
              <w:ind w:left="603"/>
              <w:jc w:val="left"/>
              <w:rPr>
                <w:sz w:val="21"/>
                <w:szCs w:val="21"/>
              </w:rPr>
            </w:pPr>
            <w:r>
              <w:rPr>
                <w:sz w:val="21"/>
                <w:szCs w:val="21"/>
              </w:rPr>
              <w:t>202</w:t>
            </w:r>
            <w:r>
              <w:rPr>
                <w:rFonts w:hint="eastAsia"/>
                <w:sz w:val="21"/>
                <w:szCs w:val="21"/>
                <w:lang w:val="en-US" w:eastAsia="zh-CN"/>
              </w:rPr>
              <w:t>2</w:t>
            </w:r>
            <w:r>
              <w:rPr>
                <w:sz w:val="21"/>
                <w:szCs w:val="21"/>
              </w:rPr>
              <w:t>年度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0" w:hRule="atLeast"/>
        </w:trPr>
        <w:tc>
          <w:tcPr>
            <w:tcW w:w="2283" w:type="dxa"/>
            <w:vMerge w:val="continue"/>
            <w:tcBorders>
              <w:top w:val="nil"/>
            </w:tcBorders>
          </w:tcPr>
          <w:p>
            <w:pPr>
              <w:jc w:val="left"/>
              <w:rPr>
                <w:sz w:val="21"/>
                <w:szCs w:val="21"/>
              </w:rPr>
            </w:pPr>
          </w:p>
        </w:tc>
        <w:tc>
          <w:tcPr>
            <w:tcW w:w="1143" w:type="dxa"/>
            <w:vMerge w:val="continue"/>
            <w:tcBorders>
              <w:top w:val="nil"/>
            </w:tcBorders>
          </w:tcPr>
          <w:p>
            <w:pPr>
              <w:jc w:val="left"/>
              <w:rPr>
                <w:sz w:val="21"/>
                <w:szCs w:val="21"/>
              </w:rPr>
            </w:pPr>
          </w:p>
        </w:tc>
        <w:tc>
          <w:tcPr>
            <w:tcW w:w="1635" w:type="dxa"/>
          </w:tcPr>
          <w:p>
            <w:pPr>
              <w:pStyle w:val="41"/>
              <w:spacing w:before="8"/>
              <w:jc w:val="left"/>
              <w:rPr>
                <w:rFonts w:ascii="宋体"/>
                <w:b/>
                <w:sz w:val="21"/>
                <w:szCs w:val="21"/>
              </w:rPr>
            </w:pPr>
          </w:p>
          <w:p>
            <w:pPr>
              <w:pStyle w:val="41"/>
              <w:ind w:right="248"/>
              <w:jc w:val="left"/>
              <w:rPr>
                <w:sz w:val="21"/>
                <w:szCs w:val="21"/>
              </w:rPr>
            </w:pPr>
            <w:r>
              <w:rPr>
                <w:sz w:val="21"/>
                <w:szCs w:val="21"/>
              </w:rPr>
              <w:t>成本指标</w:t>
            </w:r>
          </w:p>
        </w:tc>
        <w:tc>
          <w:tcPr>
            <w:tcW w:w="1189" w:type="dxa"/>
          </w:tcPr>
          <w:p>
            <w:pPr>
              <w:pStyle w:val="41"/>
              <w:spacing w:line="284" w:lineRule="exact"/>
              <w:ind w:left="171"/>
              <w:jc w:val="left"/>
              <w:rPr>
                <w:sz w:val="21"/>
                <w:szCs w:val="21"/>
              </w:rPr>
            </w:pPr>
            <w:r>
              <w:rPr>
                <w:sz w:val="21"/>
                <w:szCs w:val="21"/>
              </w:rPr>
              <w:t>转运成</w:t>
            </w:r>
          </w:p>
          <w:p>
            <w:pPr>
              <w:pStyle w:val="41"/>
              <w:spacing w:before="8" w:line="216" w:lineRule="auto"/>
              <w:ind w:left="310" w:right="57" w:hanging="207"/>
              <w:jc w:val="left"/>
              <w:rPr>
                <w:sz w:val="21"/>
                <w:szCs w:val="21"/>
              </w:rPr>
            </w:pPr>
            <w:r>
              <w:rPr>
                <w:sz w:val="21"/>
                <w:szCs w:val="21"/>
              </w:rPr>
              <w:t>本（元/ 车）</w:t>
            </w:r>
          </w:p>
        </w:tc>
        <w:tc>
          <w:tcPr>
            <w:tcW w:w="1225" w:type="dxa"/>
          </w:tcPr>
          <w:p>
            <w:pPr>
              <w:pStyle w:val="41"/>
              <w:spacing w:before="8"/>
              <w:jc w:val="left"/>
              <w:rPr>
                <w:rFonts w:ascii="宋体"/>
                <w:b/>
                <w:sz w:val="21"/>
                <w:szCs w:val="21"/>
              </w:rPr>
            </w:pPr>
          </w:p>
          <w:p>
            <w:pPr>
              <w:pStyle w:val="41"/>
              <w:ind w:left="258"/>
              <w:jc w:val="left"/>
              <w:rPr>
                <w:rFonts w:hint="default" w:eastAsia="仿宋"/>
                <w:sz w:val="21"/>
                <w:szCs w:val="21"/>
                <w:lang w:val="en-US" w:eastAsia="zh-CN"/>
              </w:rPr>
            </w:pPr>
            <w:r>
              <w:rPr>
                <w:sz w:val="21"/>
                <w:szCs w:val="21"/>
              </w:rPr>
              <w:t>≤</w:t>
            </w:r>
            <w:r>
              <w:rPr>
                <w:rFonts w:hint="eastAsia"/>
                <w:sz w:val="21"/>
                <w:szCs w:val="21"/>
                <w:lang w:val="en-US" w:eastAsia="zh-CN"/>
              </w:rPr>
              <w:t>1000</w:t>
            </w:r>
          </w:p>
        </w:tc>
        <w:tc>
          <w:tcPr>
            <w:tcW w:w="2411" w:type="dxa"/>
          </w:tcPr>
          <w:p>
            <w:pPr>
              <w:pStyle w:val="41"/>
              <w:spacing w:before="8"/>
              <w:jc w:val="left"/>
              <w:rPr>
                <w:rFonts w:ascii="宋体"/>
                <w:b/>
                <w:sz w:val="21"/>
                <w:szCs w:val="21"/>
              </w:rPr>
            </w:pPr>
          </w:p>
          <w:p>
            <w:pPr>
              <w:pStyle w:val="41"/>
              <w:ind w:left="100" w:right="100"/>
              <w:jc w:val="left"/>
              <w:rPr>
                <w:rFonts w:hint="default" w:eastAsia="仿宋"/>
                <w:sz w:val="21"/>
                <w:szCs w:val="21"/>
                <w:lang w:val="en-US" w:eastAsia="zh-CN"/>
              </w:rPr>
            </w:pPr>
            <w:r>
              <w:rPr>
                <w:sz w:val="21"/>
                <w:szCs w:val="21"/>
              </w:rPr>
              <w:t>≤</w:t>
            </w:r>
            <w:r>
              <w:rPr>
                <w:rFonts w:hint="eastAsia"/>
                <w:sz w:val="21"/>
                <w:szCs w:val="21"/>
                <w:lang w:val="en-US" w:eastAsia="zh-CN"/>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2283" w:type="dxa"/>
            <w:vMerge w:val="continue"/>
            <w:tcBorders>
              <w:top w:val="nil"/>
            </w:tcBorders>
          </w:tcPr>
          <w:p>
            <w:pPr>
              <w:jc w:val="left"/>
              <w:rPr>
                <w:sz w:val="21"/>
                <w:szCs w:val="21"/>
              </w:rPr>
            </w:pPr>
          </w:p>
        </w:tc>
        <w:tc>
          <w:tcPr>
            <w:tcW w:w="1143" w:type="dxa"/>
            <w:vMerge w:val="restart"/>
          </w:tcPr>
          <w:p>
            <w:pPr>
              <w:pStyle w:val="41"/>
              <w:jc w:val="left"/>
              <w:rPr>
                <w:rFonts w:ascii="宋体"/>
                <w:b/>
                <w:sz w:val="21"/>
                <w:szCs w:val="21"/>
              </w:rPr>
            </w:pPr>
          </w:p>
          <w:p>
            <w:pPr>
              <w:pStyle w:val="41"/>
              <w:jc w:val="left"/>
              <w:rPr>
                <w:rFonts w:ascii="宋体"/>
                <w:b/>
                <w:sz w:val="21"/>
                <w:szCs w:val="21"/>
              </w:rPr>
            </w:pPr>
          </w:p>
          <w:p>
            <w:pPr>
              <w:pStyle w:val="41"/>
              <w:jc w:val="left"/>
              <w:rPr>
                <w:rFonts w:ascii="宋体"/>
                <w:b/>
                <w:sz w:val="21"/>
                <w:szCs w:val="21"/>
              </w:rPr>
            </w:pPr>
          </w:p>
          <w:p>
            <w:pPr>
              <w:pStyle w:val="41"/>
              <w:spacing w:before="2"/>
              <w:jc w:val="left"/>
              <w:rPr>
                <w:rFonts w:ascii="宋体"/>
                <w:b/>
                <w:sz w:val="21"/>
                <w:szCs w:val="21"/>
              </w:rPr>
            </w:pPr>
          </w:p>
          <w:p>
            <w:pPr>
              <w:pStyle w:val="41"/>
              <w:spacing w:line="213" w:lineRule="auto"/>
              <w:ind w:left="287" w:right="281"/>
              <w:jc w:val="left"/>
              <w:rPr>
                <w:sz w:val="21"/>
                <w:szCs w:val="21"/>
              </w:rPr>
            </w:pPr>
            <w:r>
              <w:rPr>
                <w:sz w:val="21"/>
                <w:szCs w:val="21"/>
              </w:rPr>
              <w:t>效益指标</w:t>
            </w:r>
          </w:p>
        </w:tc>
        <w:tc>
          <w:tcPr>
            <w:tcW w:w="1635" w:type="dxa"/>
          </w:tcPr>
          <w:p>
            <w:pPr>
              <w:pStyle w:val="41"/>
              <w:spacing w:line="284" w:lineRule="exact"/>
              <w:ind w:left="92" w:right="90"/>
              <w:jc w:val="left"/>
              <w:rPr>
                <w:sz w:val="21"/>
                <w:szCs w:val="21"/>
              </w:rPr>
            </w:pPr>
            <w:r>
              <w:rPr>
                <w:sz w:val="21"/>
                <w:szCs w:val="21"/>
              </w:rPr>
              <w:t>经济效益</w:t>
            </w:r>
          </w:p>
          <w:p>
            <w:pPr>
              <w:pStyle w:val="41"/>
              <w:spacing w:line="336" w:lineRule="exact"/>
              <w:ind w:left="94" w:right="90"/>
              <w:jc w:val="left"/>
              <w:rPr>
                <w:sz w:val="21"/>
                <w:szCs w:val="21"/>
              </w:rPr>
            </w:pPr>
            <w:r>
              <w:rPr>
                <w:sz w:val="21"/>
                <w:szCs w:val="21"/>
              </w:rPr>
              <w:t>指标</w:t>
            </w:r>
          </w:p>
        </w:tc>
        <w:tc>
          <w:tcPr>
            <w:tcW w:w="1189" w:type="dxa"/>
          </w:tcPr>
          <w:p>
            <w:pPr>
              <w:pStyle w:val="41"/>
              <w:jc w:val="left"/>
              <w:rPr>
                <w:rFonts w:ascii="Times New Roman"/>
                <w:sz w:val="21"/>
                <w:szCs w:val="21"/>
              </w:rPr>
            </w:pPr>
          </w:p>
        </w:tc>
        <w:tc>
          <w:tcPr>
            <w:tcW w:w="1225" w:type="dxa"/>
          </w:tcPr>
          <w:p>
            <w:pPr>
              <w:pStyle w:val="41"/>
              <w:jc w:val="left"/>
              <w:rPr>
                <w:rFonts w:ascii="Times New Roman"/>
                <w:sz w:val="21"/>
                <w:szCs w:val="21"/>
              </w:rPr>
            </w:pPr>
          </w:p>
        </w:tc>
        <w:tc>
          <w:tcPr>
            <w:tcW w:w="2411" w:type="dxa"/>
          </w:tcPr>
          <w:p>
            <w:pPr>
              <w:pStyle w:val="41"/>
              <w:jc w:val="left"/>
              <w:rPr>
                <w:rFonts w:ascii="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6" w:hRule="atLeast"/>
        </w:trPr>
        <w:tc>
          <w:tcPr>
            <w:tcW w:w="2283" w:type="dxa"/>
            <w:vMerge w:val="continue"/>
            <w:tcBorders>
              <w:top w:val="nil"/>
            </w:tcBorders>
          </w:tcPr>
          <w:p>
            <w:pPr>
              <w:jc w:val="left"/>
              <w:rPr>
                <w:sz w:val="21"/>
                <w:szCs w:val="21"/>
              </w:rPr>
            </w:pPr>
          </w:p>
        </w:tc>
        <w:tc>
          <w:tcPr>
            <w:tcW w:w="1143" w:type="dxa"/>
            <w:vMerge w:val="continue"/>
            <w:tcBorders>
              <w:top w:val="nil"/>
            </w:tcBorders>
          </w:tcPr>
          <w:p>
            <w:pPr>
              <w:jc w:val="left"/>
              <w:rPr>
                <w:sz w:val="21"/>
                <w:szCs w:val="21"/>
              </w:rPr>
            </w:pPr>
          </w:p>
        </w:tc>
        <w:tc>
          <w:tcPr>
            <w:tcW w:w="1635" w:type="dxa"/>
          </w:tcPr>
          <w:p>
            <w:pPr>
              <w:pStyle w:val="41"/>
              <w:jc w:val="left"/>
              <w:rPr>
                <w:rFonts w:ascii="宋体"/>
                <w:b/>
                <w:sz w:val="21"/>
                <w:szCs w:val="21"/>
              </w:rPr>
            </w:pPr>
          </w:p>
          <w:p>
            <w:pPr>
              <w:pStyle w:val="41"/>
              <w:spacing w:before="2"/>
              <w:jc w:val="left"/>
              <w:rPr>
                <w:rFonts w:ascii="宋体"/>
                <w:b/>
                <w:sz w:val="21"/>
                <w:szCs w:val="21"/>
              </w:rPr>
            </w:pPr>
          </w:p>
          <w:p>
            <w:pPr>
              <w:pStyle w:val="41"/>
              <w:spacing w:line="213" w:lineRule="auto"/>
              <w:ind w:left="533" w:right="248" w:hanging="281"/>
              <w:jc w:val="left"/>
              <w:rPr>
                <w:sz w:val="21"/>
                <w:szCs w:val="21"/>
              </w:rPr>
            </w:pPr>
            <w:r>
              <w:rPr>
                <w:sz w:val="21"/>
                <w:szCs w:val="21"/>
              </w:rPr>
              <w:t>社会效益指标</w:t>
            </w:r>
          </w:p>
        </w:tc>
        <w:tc>
          <w:tcPr>
            <w:tcW w:w="1189" w:type="dxa"/>
          </w:tcPr>
          <w:p>
            <w:pPr>
              <w:pStyle w:val="41"/>
              <w:jc w:val="left"/>
              <w:rPr>
                <w:rFonts w:ascii="宋体"/>
                <w:b/>
                <w:sz w:val="21"/>
                <w:szCs w:val="21"/>
              </w:rPr>
            </w:pPr>
          </w:p>
          <w:p>
            <w:pPr>
              <w:pStyle w:val="41"/>
              <w:spacing w:before="2"/>
              <w:jc w:val="left"/>
              <w:rPr>
                <w:rFonts w:ascii="宋体"/>
                <w:b/>
                <w:sz w:val="21"/>
                <w:szCs w:val="21"/>
              </w:rPr>
            </w:pPr>
          </w:p>
          <w:p>
            <w:pPr>
              <w:pStyle w:val="41"/>
              <w:spacing w:line="213" w:lineRule="auto"/>
              <w:ind w:left="449" w:right="165" w:hanging="279"/>
              <w:jc w:val="left"/>
              <w:rPr>
                <w:sz w:val="21"/>
                <w:szCs w:val="21"/>
              </w:rPr>
            </w:pPr>
            <w:r>
              <w:rPr>
                <w:sz w:val="21"/>
                <w:szCs w:val="21"/>
              </w:rPr>
              <w:t>城乡环境</w:t>
            </w:r>
          </w:p>
        </w:tc>
        <w:tc>
          <w:tcPr>
            <w:tcW w:w="1225" w:type="dxa"/>
          </w:tcPr>
          <w:p>
            <w:pPr>
              <w:pStyle w:val="41"/>
              <w:spacing w:line="284" w:lineRule="exact"/>
              <w:ind w:left="189"/>
              <w:jc w:val="left"/>
              <w:rPr>
                <w:sz w:val="21"/>
                <w:szCs w:val="21"/>
              </w:rPr>
            </w:pPr>
            <w:r>
              <w:rPr>
                <w:sz w:val="21"/>
                <w:szCs w:val="21"/>
              </w:rPr>
              <w:t>有效改</w:t>
            </w:r>
          </w:p>
          <w:p>
            <w:pPr>
              <w:pStyle w:val="41"/>
              <w:spacing w:before="11" w:line="213" w:lineRule="auto"/>
              <w:ind w:left="105" w:right="99" w:firstLine="84"/>
              <w:jc w:val="left"/>
              <w:rPr>
                <w:sz w:val="21"/>
                <w:szCs w:val="21"/>
              </w:rPr>
            </w:pPr>
            <w:r>
              <w:rPr>
                <w:spacing w:val="-2"/>
                <w:sz w:val="21"/>
                <w:szCs w:val="21"/>
              </w:rPr>
              <w:t>善城乡</w:t>
            </w:r>
            <w:r>
              <w:rPr>
                <w:spacing w:val="-34"/>
                <w:sz w:val="21"/>
                <w:szCs w:val="21"/>
              </w:rPr>
              <w:t>环境，提</w:t>
            </w:r>
            <w:r>
              <w:rPr>
                <w:spacing w:val="-2"/>
                <w:sz w:val="21"/>
                <w:szCs w:val="21"/>
              </w:rPr>
              <w:t>升群众生活幸福指数</w:t>
            </w:r>
          </w:p>
        </w:tc>
        <w:tc>
          <w:tcPr>
            <w:tcW w:w="2411" w:type="dxa"/>
          </w:tcPr>
          <w:p>
            <w:pPr>
              <w:pStyle w:val="41"/>
              <w:spacing w:before="7"/>
              <w:jc w:val="left"/>
              <w:rPr>
                <w:rFonts w:ascii="宋体"/>
                <w:b/>
                <w:sz w:val="21"/>
                <w:szCs w:val="21"/>
              </w:rPr>
            </w:pPr>
          </w:p>
          <w:p>
            <w:pPr>
              <w:pStyle w:val="41"/>
              <w:spacing w:line="213" w:lineRule="auto"/>
              <w:ind w:left="104" w:right="103"/>
              <w:jc w:val="left"/>
              <w:rPr>
                <w:sz w:val="21"/>
                <w:szCs w:val="21"/>
              </w:rPr>
            </w:pPr>
            <w:r>
              <w:rPr>
                <w:spacing w:val="-3"/>
                <w:sz w:val="21"/>
                <w:szCs w:val="21"/>
              </w:rPr>
              <w:t>有效改善城乡环</w:t>
            </w:r>
            <w:r>
              <w:rPr>
                <w:spacing w:val="-10"/>
                <w:sz w:val="21"/>
                <w:szCs w:val="21"/>
              </w:rPr>
              <w:t>境，提升群众生活</w:t>
            </w:r>
            <w:r>
              <w:rPr>
                <w:spacing w:val="-2"/>
                <w:sz w:val="21"/>
                <w:szCs w:val="21"/>
              </w:rPr>
              <w:t>幸福指数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283" w:type="dxa"/>
            <w:vMerge w:val="continue"/>
            <w:tcBorders>
              <w:top w:val="nil"/>
            </w:tcBorders>
          </w:tcPr>
          <w:p>
            <w:pPr>
              <w:jc w:val="left"/>
              <w:rPr>
                <w:sz w:val="21"/>
                <w:szCs w:val="21"/>
              </w:rPr>
            </w:pPr>
          </w:p>
        </w:tc>
        <w:tc>
          <w:tcPr>
            <w:tcW w:w="1143" w:type="dxa"/>
            <w:vMerge w:val="continue"/>
            <w:tcBorders>
              <w:top w:val="nil"/>
            </w:tcBorders>
          </w:tcPr>
          <w:p>
            <w:pPr>
              <w:jc w:val="left"/>
              <w:rPr>
                <w:sz w:val="21"/>
                <w:szCs w:val="21"/>
              </w:rPr>
            </w:pPr>
          </w:p>
        </w:tc>
        <w:tc>
          <w:tcPr>
            <w:tcW w:w="1635" w:type="dxa"/>
          </w:tcPr>
          <w:p>
            <w:pPr>
              <w:pStyle w:val="41"/>
              <w:spacing w:line="284" w:lineRule="exact"/>
              <w:ind w:left="344"/>
              <w:jc w:val="left"/>
              <w:rPr>
                <w:sz w:val="21"/>
                <w:szCs w:val="21"/>
              </w:rPr>
            </w:pPr>
            <w:r>
              <w:rPr>
                <w:sz w:val="21"/>
                <w:szCs w:val="21"/>
              </w:rPr>
              <w:t>生态效益</w:t>
            </w:r>
          </w:p>
          <w:p>
            <w:pPr>
              <w:pStyle w:val="41"/>
              <w:spacing w:line="336" w:lineRule="exact"/>
              <w:ind w:left="764"/>
              <w:jc w:val="left"/>
              <w:rPr>
                <w:sz w:val="21"/>
                <w:szCs w:val="21"/>
              </w:rPr>
            </w:pPr>
            <w:r>
              <w:rPr>
                <w:sz w:val="21"/>
                <w:szCs w:val="21"/>
              </w:rPr>
              <w:t>指标</w:t>
            </w:r>
          </w:p>
        </w:tc>
        <w:tc>
          <w:tcPr>
            <w:tcW w:w="1189" w:type="dxa"/>
          </w:tcPr>
          <w:p>
            <w:pPr>
              <w:pStyle w:val="41"/>
              <w:jc w:val="left"/>
              <w:rPr>
                <w:rFonts w:ascii="Times New Roman"/>
                <w:sz w:val="21"/>
                <w:szCs w:val="21"/>
              </w:rPr>
            </w:pPr>
          </w:p>
        </w:tc>
        <w:tc>
          <w:tcPr>
            <w:tcW w:w="1225" w:type="dxa"/>
          </w:tcPr>
          <w:p>
            <w:pPr>
              <w:pStyle w:val="41"/>
              <w:jc w:val="left"/>
              <w:rPr>
                <w:rFonts w:ascii="Times New Roman"/>
                <w:sz w:val="21"/>
                <w:szCs w:val="21"/>
              </w:rPr>
            </w:pPr>
          </w:p>
        </w:tc>
        <w:tc>
          <w:tcPr>
            <w:tcW w:w="2411" w:type="dxa"/>
          </w:tcPr>
          <w:p>
            <w:pPr>
              <w:pStyle w:val="41"/>
              <w:jc w:val="left"/>
              <w:rPr>
                <w:rFonts w:ascii="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2283" w:type="dxa"/>
            <w:vMerge w:val="continue"/>
            <w:tcBorders>
              <w:top w:val="nil"/>
            </w:tcBorders>
          </w:tcPr>
          <w:p>
            <w:pPr>
              <w:jc w:val="left"/>
              <w:rPr>
                <w:sz w:val="21"/>
                <w:szCs w:val="21"/>
              </w:rPr>
            </w:pPr>
          </w:p>
        </w:tc>
        <w:tc>
          <w:tcPr>
            <w:tcW w:w="1143" w:type="dxa"/>
            <w:vMerge w:val="continue"/>
            <w:tcBorders>
              <w:top w:val="nil"/>
            </w:tcBorders>
          </w:tcPr>
          <w:p>
            <w:pPr>
              <w:jc w:val="left"/>
              <w:rPr>
                <w:sz w:val="21"/>
                <w:szCs w:val="21"/>
              </w:rPr>
            </w:pPr>
          </w:p>
        </w:tc>
        <w:tc>
          <w:tcPr>
            <w:tcW w:w="1635" w:type="dxa"/>
          </w:tcPr>
          <w:p>
            <w:pPr>
              <w:pStyle w:val="41"/>
              <w:spacing w:line="284" w:lineRule="exact"/>
              <w:ind w:left="94" w:right="90"/>
              <w:jc w:val="left"/>
              <w:rPr>
                <w:sz w:val="21"/>
                <w:szCs w:val="21"/>
              </w:rPr>
            </w:pPr>
            <w:r>
              <w:rPr>
                <w:sz w:val="21"/>
                <w:szCs w:val="21"/>
              </w:rPr>
              <w:t>可持续影响</w:t>
            </w:r>
          </w:p>
          <w:p>
            <w:pPr>
              <w:pStyle w:val="41"/>
              <w:spacing w:line="336" w:lineRule="exact"/>
              <w:ind w:left="94" w:right="90"/>
              <w:jc w:val="left"/>
              <w:rPr>
                <w:sz w:val="21"/>
                <w:szCs w:val="21"/>
              </w:rPr>
            </w:pPr>
            <w:r>
              <w:rPr>
                <w:sz w:val="21"/>
                <w:szCs w:val="21"/>
              </w:rPr>
              <w:t>指标</w:t>
            </w:r>
          </w:p>
        </w:tc>
        <w:tc>
          <w:tcPr>
            <w:tcW w:w="1189" w:type="dxa"/>
          </w:tcPr>
          <w:p>
            <w:pPr>
              <w:pStyle w:val="41"/>
              <w:jc w:val="left"/>
              <w:rPr>
                <w:rFonts w:ascii="Times New Roman"/>
                <w:sz w:val="21"/>
                <w:szCs w:val="21"/>
              </w:rPr>
            </w:pPr>
          </w:p>
        </w:tc>
        <w:tc>
          <w:tcPr>
            <w:tcW w:w="1225" w:type="dxa"/>
          </w:tcPr>
          <w:p>
            <w:pPr>
              <w:pStyle w:val="41"/>
              <w:jc w:val="left"/>
              <w:rPr>
                <w:rFonts w:ascii="Times New Roman"/>
                <w:sz w:val="21"/>
                <w:szCs w:val="21"/>
              </w:rPr>
            </w:pPr>
          </w:p>
        </w:tc>
        <w:tc>
          <w:tcPr>
            <w:tcW w:w="2411" w:type="dxa"/>
          </w:tcPr>
          <w:p>
            <w:pPr>
              <w:pStyle w:val="41"/>
              <w:jc w:val="left"/>
              <w:rPr>
                <w:rFonts w:ascii="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0" w:hRule="atLeast"/>
        </w:trPr>
        <w:tc>
          <w:tcPr>
            <w:tcW w:w="2283" w:type="dxa"/>
            <w:vMerge w:val="continue"/>
            <w:tcBorders>
              <w:top w:val="nil"/>
            </w:tcBorders>
          </w:tcPr>
          <w:p>
            <w:pPr>
              <w:jc w:val="left"/>
              <w:rPr>
                <w:sz w:val="21"/>
                <w:szCs w:val="21"/>
              </w:rPr>
            </w:pPr>
          </w:p>
        </w:tc>
        <w:tc>
          <w:tcPr>
            <w:tcW w:w="1143" w:type="dxa"/>
          </w:tcPr>
          <w:p>
            <w:pPr>
              <w:pStyle w:val="41"/>
              <w:jc w:val="left"/>
              <w:rPr>
                <w:rFonts w:ascii="宋体"/>
                <w:b/>
                <w:sz w:val="21"/>
                <w:szCs w:val="21"/>
              </w:rPr>
            </w:pPr>
          </w:p>
          <w:p>
            <w:pPr>
              <w:pStyle w:val="41"/>
              <w:spacing w:line="213" w:lineRule="auto"/>
              <w:ind w:left="148" w:right="142" w:firstLine="139"/>
              <w:jc w:val="left"/>
              <w:rPr>
                <w:sz w:val="21"/>
                <w:szCs w:val="21"/>
              </w:rPr>
            </w:pPr>
            <w:r>
              <w:rPr>
                <w:sz w:val="21"/>
                <w:szCs w:val="21"/>
              </w:rPr>
              <w:t>满意度指标</w:t>
            </w:r>
          </w:p>
        </w:tc>
        <w:tc>
          <w:tcPr>
            <w:tcW w:w="1635" w:type="dxa"/>
          </w:tcPr>
          <w:p>
            <w:pPr>
              <w:pStyle w:val="41"/>
              <w:spacing w:before="132" w:line="216" w:lineRule="auto"/>
              <w:ind w:left="533" w:right="390" w:hanging="142"/>
              <w:jc w:val="left"/>
              <w:rPr>
                <w:sz w:val="21"/>
                <w:szCs w:val="21"/>
              </w:rPr>
            </w:pPr>
            <w:r>
              <w:rPr>
                <w:sz w:val="21"/>
                <w:szCs w:val="21"/>
              </w:rPr>
              <w:t>满意度指标</w:t>
            </w:r>
          </w:p>
        </w:tc>
        <w:tc>
          <w:tcPr>
            <w:tcW w:w="1189" w:type="dxa"/>
          </w:tcPr>
          <w:p>
            <w:pPr>
              <w:pStyle w:val="41"/>
              <w:spacing w:line="284" w:lineRule="exact"/>
              <w:ind w:left="171"/>
              <w:jc w:val="left"/>
              <w:rPr>
                <w:sz w:val="21"/>
                <w:szCs w:val="21"/>
              </w:rPr>
            </w:pPr>
            <w:r>
              <w:rPr>
                <w:sz w:val="21"/>
                <w:szCs w:val="21"/>
              </w:rPr>
              <w:t>群众满</w:t>
            </w:r>
          </w:p>
          <w:p>
            <w:pPr>
              <w:pStyle w:val="41"/>
              <w:spacing w:line="319" w:lineRule="exact"/>
              <w:ind w:left="310"/>
              <w:jc w:val="left"/>
              <w:rPr>
                <w:sz w:val="21"/>
                <w:szCs w:val="21"/>
              </w:rPr>
            </w:pPr>
            <w:r>
              <w:rPr>
                <w:sz w:val="21"/>
                <w:szCs w:val="21"/>
              </w:rPr>
              <w:t>意度</w:t>
            </w:r>
          </w:p>
          <w:p>
            <w:pPr>
              <w:pStyle w:val="41"/>
              <w:spacing w:line="336" w:lineRule="exact"/>
              <w:ind w:left="240"/>
              <w:jc w:val="left"/>
              <w:rPr>
                <w:sz w:val="21"/>
                <w:szCs w:val="21"/>
              </w:rPr>
            </w:pPr>
            <w:r>
              <w:rPr>
                <w:sz w:val="21"/>
                <w:szCs w:val="21"/>
              </w:rPr>
              <w:t>（%）</w:t>
            </w:r>
          </w:p>
        </w:tc>
        <w:tc>
          <w:tcPr>
            <w:tcW w:w="1225" w:type="dxa"/>
          </w:tcPr>
          <w:p>
            <w:pPr>
              <w:pStyle w:val="41"/>
              <w:spacing w:before="8"/>
              <w:jc w:val="left"/>
              <w:rPr>
                <w:rFonts w:ascii="宋体"/>
                <w:b/>
                <w:sz w:val="21"/>
                <w:szCs w:val="21"/>
              </w:rPr>
            </w:pPr>
          </w:p>
          <w:p>
            <w:pPr>
              <w:pStyle w:val="41"/>
              <w:ind w:left="328"/>
              <w:jc w:val="left"/>
              <w:rPr>
                <w:rFonts w:hint="eastAsia" w:eastAsia="仿宋"/>
                <w:sz w:val="21"/>
                <w:szCs w:val="21"/>
                <w:lang w:val="en-US" w:eastAsia="zh-CN"/>
              </w:rPr>
            </w:pPr>
            <w:r>
              <w:rPr>
                <w:sz w:val="21"/>
                <w:szCs w:val="21"/>
              </w:rPr>
              <w:t>≥9</w:t>
            </w:r>
            <w:r>
              <w:rPr>
                <w:rFonts w:hint="eastAsia"/>
                <w:sz w:val="21"/>
                <w:szCs w:val="21"/>
                <w:lang w:val="en-US" w:eastAsia="zh-CN"/>
              </w:rPr>
              <w:t>7</w:t>
            </w:r>
          </w:p>
        </w:tc>
        <w:tc>
          <w:tcPr>
            <w:tcW w:w="2411" w:type="dxa"/>
          </w:tcPr>
          <w:p>
            <w:pPr>
              <w:pStyle w:val="41"/>
              <w:spacing w:before="8"/>
              <w:jc w:val="left"/>
              <w:rPr>
                <w:rFonts w:ascii="宋体"/>
                <w:b/>
                <w:sz w:val="21"/>
                <w:szCs w:val="21"/>
              </w:rPr>
            </w:pPr>
          </w:p>
          <w:p>
            <w:pPr>
              <w:pStyle w:val="41"/>
              <w:ind w:left="100" w:right="100"/>
              <w:jc w:val="left"/>
              <w:rPr>
                <w:rFonts w:hint="eastAsia" w:eastAsia="仿宋"/>
                <w:sz w:val="21"/>
                <w:szCs w:val="21"/>
                <w:lang w:val="en-US" w:eastAsia="zh-CN"/>
              </w:rPr>
            </w:pPr>
            <w:r>
              <w:rPr>
                <w:sz w:val="21"/>
                <w:szCs w:val="21"/>
              </w:rPr>
              <w:t>≥9</w:t>
            </w:r>
            <w:r>
              <w:rPr>
                <w:rFonts w:hint="eastAsia"/>
                <w:sz w:val="21"/>
                <w:szCs w:val="21"/>
                <w:lang w:val="en-US" w:eastAsia="zh-CN"/>
              </w:rPr>
              <w:t>7</w:t>
            </w:r>
          </w:p>
        </w:tc>
      </w:tr>
    </w:tbl>
    <w:p>
      <w:pPr>
        <w:pStyle w:val="2"/>
      </w:pPr>
    </w:p>
    <w:p>
      <w:pPr>
        <w:spacing w:line="600" w:lineRule="exact"/>
        <w:jc w:val="center"/>
        <w:outlineLvl w:val="0"/>
        <w:rPr>
          <w:rFonts w:hint="eastAsia" w:ascii="黑体" w:hAnsi="黑体" w:eastAsia="黑体"/>
          <w:sz w:val="44"/>
          <w:szCs w:val="44"/>
        </w:rPr>
      </w:pPr>
      <w:bookmarkStart w:id="50" w:name="_Toc15396618"/>
    </w:p>
    <w:p>
      <w:pPr>
        <w:spacing w:line="600" w:lineRule="exact"/>
        <w:jc w:val="center"/>
        <w:outlineLvl w:val="0"/>
        <w:rPr>
          <w:rFonts w:hint="eastAsia" w:ascii="黑体" w:hAnsi="黑体" w:eastAsia="黑体"/>
          <w:sz w:val="44"/>
          <w:szCs w:val="44"/>
        </w:rPr>
      </w:pPr>
    </w:p>
    <w:p>
      <w:pPr>
        <w:spacing w:line="600" w:lineRule="exact"/>
        <w:jc w:val="center"/>
        <w:outlineLvl w:val="0"/>
        <w:rPr>
          <w:rFonts w:hint="eastAsia" w:ascii="黑体" w:hAnsi="黑体" w:eastAsia="黑体"/>
          <w:sz w:val="44"/>
          <w:szCs w:val="44"/>
        </w:rPr>
      </w:pPr>
    </w:p>
    <w:p>
      <w:pPr>
        <w:spacing w:line="600" w:lineRule="exact"/>
        <w:jc w:val="both"/>
        <w:outlineLvl w:val="0"/>
        <w:rPr>
          <w:rFonts w:hint="eastAsia" w:ascii="黑体" w:hAnsi="黑体" w:eastAsia="黑体"/>
          <w:sz w:val="44"/>
          <w:szCs w:val="44"/>
        </w:rPr>
      </w:pPr>
    </w:p>
    <w:p>
      <w:pPr>
        <w:spacing w:line="600" w:lineRule="exact"/>
        <w:jc w:val="center"/>
        <w:outlineLvl w:val="0"/>
        <w:rPr>
          <w:rFonts w:hint="eastAsia" w:ascii="黑体" w:hAnsi="黑体" w:eastAsia="黑体"/>
          <w:sz w:val="44"/>
          <w:szCs w:val="44"/>
        </w:rPr>
      </w:pPr>
    </w:p>
    <w:p>
      <w:pPr>
        <w:spacing w:line="600" w:lineRule="exact"/>
        <w:ind w:firstLine="1760" w:firstLineChars="400"/>
        <w:jc w:val="both"/>
        <w:outlineLvl w:val="0"/>
        <w:rPr>
          <w:rFonts w:ascii="仿宋" w:hAnsi="仿宋" w:eastAsia="仿宋"/>
        </w:rPr>
      </w:pPr>
      <w:r>
        <w:rPr>
          <w:rFonts w:hint="eastAsia" w:ascii="黑体" w:hAnsi="黑体" w:eastAsia="黑体"/>
          <w:sz w:val="44"/>
          <w:szCs w:val="44"/>
        </w:rPr>
        <w:t>第</w:t>
      </w:r>
      <w:r>
        <w:rPr>
          <w:rStyle w:val="31"/>
          <w:rFonts w:hint="eastAsia" w:ascii="黑体" w:hAnsi="黑体" w:eastAsia="黑体"/>
          <w:b w:val="0"/>
        </w:rPr>
        <w:t>五部分 附表</w:t>
      </w:r>
      <w:bookmarkEnd w:id="48"/>
      <w:bookmarkEnd w:id="50"/>
      <w:bookmarkStart w:id="51" w:name="_Toc15396619"/>
    </w:p>
    <w:p>
      <w:pPr>
        <w:pStyle w:val="4"/>
        <w:rPr>
          <w:rFonts w:ascii="仿宋" w:hAnsi="仿宋" w:eastAsia="仿宋"/>
        </w:rPr>
      </w:pPr>
      <w:r>
        <w:rPr>
          <w:rFonts w:hint="eastAsia" w:ascii="仿宋" w:hAnsi="仿宋" w:eastAsia="仿宋"/>
          <w:b w:val="0"/>
        </w:rPr>
        <w:t>一、收</w:t>
      </w:r>
      <w:r>
        <w:rPr>
          <w:rStyle w:val="32"/>
          <w:rFonts w:hint="eastAsia" w:ascii="仿宋" w:hAnsi="仿宋" w:eastAsia="仿宋"/>
          <w:b w:val="0"/>
          <w:bCs w:val="0"/>
        </w:rPr>
        <w:t>入支出决算总表</w:t>
      </w:r>
      <w:bookmarkEnd w:id="51"/>
    </w:p>
    <w:p>
      <w:pPr>
        <w:pStyle w:val="4"/>
        <w:rPr>
          <w:rFonts w:ascii="仿宋" w:hAnsi="仿宋" w:eastAsia="仿宋"/>
        </w:rPr>
      </w:pPr>
      <w:bookmarkStart w:id="52" w:name="_Toc15396620"/>
      <w:r>
        <w:rPr>
          <w:rFonts w:hint="eastAsia" w:ascii="仿宋" w:hAnsi="仿宋" w:eastAsia="仿宋"/>
          <w:b w:val="0"/>
        </w:rPr>
        <w:t>二、收</w:t>
      </w:r>
      <w:r>
        <w:rPr>
          <w:rStyle w:val="32"/>
          <w:rFonts w:hint="eastAsia" w:ascii="仿宋" w:hAnsi="仿宋" w:eastAsia="仿宋"/>
          <w:b w:val="0"/>
          <w:bCs w:val="0"/>
        </w:rPr>
        <w:t>入决算表</w:t>
      </w:r>
      <w:bookmarkEnd w:id="52"/>
    </w:p>
    <w:p>
      <w:pPr>
        <w:pStyle w:val="4"/>
        <w:rPr>
          <w:rFonts w:ascii="仿宋" w:hAnsi="仿宋" w:eastAsia="仿宋"/>
        </w:rPr>
      </w:pPr>
      <w:bookmarkStart w:id="53" w:name="_Toc15396621"/>
      <w:r>
        <w:rPr>
          <w:rStyle w:val="32"/>
          <w:rFonts w:hint="eastAsia" w:ascii="仿宋" w:hAnsi="仿宋" w:eastAsia="仿宋"/>
          <w:b w:val="0"/>
          <w:bCs w:val="0"/>
        </w:rPr>
        <w:t>三、</w:t>
      </w:r>
      <w:r>
        <w:rPr>
          <w:rFonts w:hint="eastAsia" w:ascii="仿宋" w:hAnsi="仿宋" w:eastAsia="仿宋"/>
          <w:b w:val="0"/>
        </w:rPr>
        <w:t>支</w:t>
      </w:r>
      <w:r>
        <w:rPr>
          <w:rStyle w:val="32"/>
          <w:rFonts w:hint="eastAsia" w:ascii="仿宋" w:hAnsi="仿宋" w:eastAsia="仿宋"/>
          <w:b w:val="0"/>
          <w:bCs w:val="0"/>
        </w:rPr>
        <w:t>出决算表</w:t>
      </w:r>
      <w:bookmarkEnd w:id="53"/>
    </w:p>
    <w:p>
      <w:pPr>
        <w:pStyle w:val="4"/>
        <w:rPr>
          <w:rFonts w:ascii="仿宋" w:hAnsi="仿宋" w:eastAsia="仿宋"/>
          <w:b w:val="0"/>
        </w:rPr>
      </w:pPr>
      <w:bookmarkStart w:id="54" w:name="_Toc15396622"/>
      <w:r>
        <w:rPr>
          <w:rStyle w:val="32"/>
          <w:rFonts w:hint="eastAsia" w:ascii="仿宋" w:hAnsi="仿宋" w:eastAsia="仿宋"/>
          <w:b w:val="0"/>
          <w:bCs w:val="0"/>
        </w:rPr>
        <w:t>四、</w:t>
      </w:r>
      <w:r>
        <w:rPr>
          <w:rFonts w:hint="eastAsia" w:ascii="仿宋" w:hAnsi="仿宋" w:eastAsia="仿宋"/>
          <w:b w:val="0"/>
        </w:rPr>
        <w:t>财</w:t>
      </w:r>
      <w:r>
        <w:rPr>
          <w:rStyle w:val="32"/>
          <w:rFonts w:hint="eastAsia" w:ascii="仿宋" w:hAnsi="仿宋" w:eastAsia="仿宋"/>
          <w:b w:val="0"/>
          <w:bCs w:val="0"/>
        </w:rPr>
        <w:t>政拨款收入支出决算总表</w:t>
      </w:r>
      <w:bookmarkEnd w:id="54"/>
    </w:p>
    <w:p>
      <w:pPr>
        <w:pStyle w:val="4"/>
        <w:rPr>
          <w:rStyle w:val="32"/>
          <w:rFonts w:ascii="仿宋" w:hAnsi="仿宋" w:eastAsia="仿宋"/>
          <w:b w:val="0"/>
          <w:bCs w:val="0"/>
        </w:rPr>
      </w:pPr>
      <w:bookmarkStart w:id="55" w:name="_Toc15396623"/>
      <w:r>
        <w:rPr>
          <w:rStyle w:val="32"/>
          <w:rFonts w:hint="eastAsia" w:ascii="仿宋" w:hAnsi="仿宋" w:eastAsia="仿宋"/>
          <w:b w:val="0"/>
          <w:bCs w:val="0"/>
        </w:rPr>
        <w:t>五、</w:t>
      </w:r>
      <w:r>
        <w:rPr>
          <w:rFonts w:hint="eastAsia" w:ascii="仿宋" w:hAnsi="仿宋" w:eastAsia="仿宋"/>
          <w:b w:val="0"/>
        </w:rPr>
        <w:t>财</w:t>
      </w:r>
      <w:r>
        <w:rPr>
          <w:rStyle w:val="32"/>
          <w:rFonts w:hint="eastAsia" w:ascii="仿宋" w:hAnsi="仿宋" w:eastAsia="仿宋"/>
          <w:b w:val="0"/>
          <w:bCs w:val="0"/>
        </w:rPr>
        <w:t>政拨款支出决算明细表</w:t>
      </w:r>
      <w:bookmarkEnd w:id="55"/>
      <w:bookmarkStart w:id="56" w:name="_Toc15396624"/>
    </w:p>
    <w:p>
      <w:pPr>
        <w:pStyle w:val="4"/>
        <w:rPr>
          <w:rFonts w:ascii="仿宋" w:hAnsi="仿宋" w:eastAsia="仿宋"/>
        </w:rPr>
      </w:pPr>
      <w:r>
        <w:rPr>
          <w:rStyle w:val="32"/>
          <w:rFonts w:hint="eastAsia" w:ascii="仿宋" w:hAnsi="仿宋" w:eastAsia="仿宋"/>
          <w:b w:val="0"/>
          <w:bCs w:val="0"/>
        </w:rPr>
        <w:t>六、</w:t>
      </w:r>
      <w:r>
        <w:rPr>
          <w:rFonts w:hint="eastAsia" w:ascii="仿宋" w:hAnsi="仿宋" w:eastAsia="仿宋"/>
          <w:b w:val="0"/>
        </w:rPr>
        <w:t>一</w:t>
      </w:r>
      <w:r>
        <w:rPr>
          <w:rStyle w:val="32"/>
          <w:rFonts w:hint="eastAsia" w:ascii="仿宋" w:hAnsi="仿宋" w:eastAsia="仿宋"/>
          <w:b w:val="0"/>
          <w:bCs w:val="0"/>
        </w:rPr>
        <w:t>般公共预算财政拨款支出决算表</w:t>
      </w:r>
      <w:bookmarkEnd w:id="56"/>
    </w:p>
    <w:p>
      <w:pPr>
        <w:pStyle w:val="4"/>
        <w:rPr>
          <w:rFonts w:ascii="仿宋" w:hAnsi="仿宋" w:eastAsia="仿宋"/>
        </w:rPr>
      </w:pPr>
      <w:bookmarkStart w:id="57" w:name="_Toc15396625"/>
      <w:r>
        <w:rPr>
          <w:rStyle w:val="32"/>
          <w:rFonts w:hint="eastAsia" w:ascii="仿宋" w:hAnsi="仿宋" w:eastAsia="仿宋"/>
          <w:b w:val="0"/>
          <w:bCs w:val="0"/>
        </w:rPr>
        <w:t>七、</w:t>
      </w:r>
      <w:r>
        <w:rPr>
          <w:rFonts w:hint="eastAsia" w:ascii="仿宋" w:hAnsi="仿宋" w:eastAsia="仿宋"/>
          <w:b w:val="0"/>
        </w:rPr>
        <w:t>一</w:t>
      </w:r>
      <w:r>
        <w:rPr>
          <w:rStyle w:val="32"/>
          <w:rFonts w:hint="eastAsia" w:ascii="仿宋" w:hAnsi="仿宋" w:eastAsia="仿宋"/>
          <w:b w:val="0"/>
          <w:bCs w:val="0"/>
        </w:rPr>
        <w:t>般公共预算财政拨款支出决算明细表</w:t>
      </w:r>
      <w:bookmarkEnd w:id="57"/>
    </w:p>
    <w:p>
      <w:pPr>
        <w:pStyle w:val="4"/>
        <w:rPr>
          <w:rFonts w:ascii="仿宋" w:hAnsi="仿宋" w:eastAsia="仿宋"/>
        </w:rPr>
      </w:pPr>
      <w:bookmarkStart w:id="58" w:name="_Toc15396626"/>
      <w:r>
        <w:rPr>
          <w:rStyle w:val="32"/>
          <w:rFonts w:hint="eastAsia" w:ascii="仿宋" w:hAnsi="仿宋" w:eastAsia="仿宋"/>
          <w:b w:val="0"/>
          <w:bCs w:val="0"/>
        </w:rPr>
        <w:t>八、</w:t>
      </w:r>
      <w:r>
        <w:rPr>
          <w:rFonts w:hint="eastAsia" w:ascii="仿宋" w:hAnsi="仿宋" w:eastAsia="仿宋"/>
          <w:b w:val="0"/>
        </w:rPr>
        <w:t>一</w:t>
      </w:r>
      <w:r>
        <w:rPr>
          <w:rStyle w:val="32"/>
          <w:rFonts w:hint="eastAsia" w:ascii="仿宋" w:hAnsi="仿宋" w:eastAsia="仿宋"/>
          <w:b w:val="0"/>
          <w:bCs w:val="0"/>
        </w:rPr>
        <w:t>般公共预算财政拨款基本支出决算表</w:t>
      </w:r>
      <w:bookmarkEnd w:id="58"/>
    </w:p>
    <w:p>
      <w:pPr>
        <w:pStyle w:val="4"/>
        <w:rPr>
          <w:rFonts w:ascii="仿宋" w:hAnsi="仿宋" w:eastAsia="仿宋"/>
        </w:rPr>
      </w:pPr>
      <w:bookmarkStart w:id="59" w:name="_Toc15396627"/>
      <w:r>
        <w:rPr>
          <w:rStyle w:val="32"/>
          <w:rFonts w:hint="eastAsia" w:ascii="仿宋" w:hAnsi="仿宋" w:eastAsia="仿宋"/>
          <w:b w:val="0"/>
          <w:bCs w:val="0"/>
        </w:rPr>
        <w:t>九、</w:t>
      </w:r>
      <w:r>
        <w:rPr>
          <w:rFonts w:hint="eastAsia" w:ascii="仿宋" w:hAnsi="仿宋" w:eastAsia="仿宋"/>
          <w:b w:val="0"/>
        </w:rPr>
        <w:t>一</w:t>
      </w:r>
      <w:r>
        <w:rPr>
          <w:rStyle w:val="32"/>
          <w:rFonts w:hint="eastAsia" w:ascii="仿宋" w:hAnsi="仿宋" w:eastAsia="仿宋"/>
          <w:b w:val="0"/>
          <w:bCs w:val="0"/>
        </w:rPr>
        <w:t>般公共预算财政拨款项目支出决算表</w:t>
      </w:r>
      <w:bookmarkEnd w:id="59"/>
    </w:p>
    <w:p>
      <w:pPr>
        <w:pStyle w:val="4"/>
        <w:rPr>
          <w:rFonts w:ascii="仿宋" w:hAnsi="仿宋" w:eastAsia="仿宋"/>
        </w:rPr>
      </w:pPr>
      <w:bookmarkStart w:id="60" w:name="_Toc15396628"/>
      <w:r>
        <w:rPr>
          <w:rStyle w:val="32"/>
          <w:rFonts w:hint="eastAsia" w:ascii="仿宋" w:hAnsi="仿宋" w:eastAsia="仿宋"/>
          <w:b w:val="0"/>
          <w:bCs w:val="0"/>
        </w:rPr>
        <w:t>十、</w:t>
      </w:r>
      <w:bookmarkEnd w:id="60"/>
      <w:r>
        <w:rPr>
          <w:rFonts w:hint="eastAsia" w:ascii="仿宋" w:hAnsi="仿宋" w:eastAsia="仿宋"/>
          <w:b w:val="0"/>
        </w:rPr>
        <w:t>政</w:t>
      </w:r>
      <w:r>
        <w:rPr>
          <w:rStyle w:val="32"/>
          <w:rFonts w:hint="eastAsia" w:ascii="仿宋" w:hAnsi="仿宋" w:eastAsia="仿宋"/>
          <w:b w:val="0"/>
          <w:bCs w:val="0"/>
        </w:rPr>
        <w:t>府性基金预算财政拨款收入支出决算表</w:t>
      </w:r>
    </w:p>
    <w:p>
      <w:pPr>
        <w:pStyle w:val="4"/>
        <w:rPr>
          <w:rFonts w:ascii="仿宋" w:hAnsi="仿宋" w:eastAsia="仿宋"/>
        </w:rPr>
      </w:pPr>
      <w:bookmarkStart w:id="61" w:name="_Toc15396629"/>
      <w:r>
        <w:rPr>
          <w:rStyle w:val="32"/>
          <w:rFonts w:hint="eastAsia" w:ascii="仿宋" w:hAnsi="仿宋" w:eastAsia="仿宋"/>
          <w:b w:val="0"/>
          <w:bCs w:val="0"/>
        </w:rPr>
        <w:t>十一、</w:t>
      </w:r>
      <w:bookmarkEnd w:id="61"/>
      <w:r>
        <w:rPr>
          <w:rFonts w:hint="eastAsia" w:ascii="仿宋" w:hAnsi="仿宋" w:eastAsia="仿宋"/>
          <w:b w:val="0"/>
        </w:rPr>
        <w:t>国</w:t>
      </w:r>
      <w:r>
        <w:rPr>
          <w:rStyle w:val="32"/>
          <w:rFonts w:hint="eastAsia" w:ascii="仿宋" w:hAnsi="仿宋" w:eastAsia="仿宋"/>
          <w:b w:val="0"/>
          <w:bCs w:val="0"/>
        </w:rPr>
        <w:t>有资本经营预算财政拨款收入支出决算表</w:t>
      </w:r>
    </w:p>
    <w:p>
      <w:pPr>
        <w:pStyle w:val="4"/>
        <w:rPr>
          <w:rFonts w:ascii="仿宋" w:hAnsi="仿宋" w:eastAsia="仿宋"/>
        </w:rPr>
      </w:pPr>
      <w:bookmarkStart w:id="62" w:name="_Toc15396630"/>
      <w:r>
        <w:rPr>
          <w:rStyle w:val="32"/>
          <w:rFonts w:hint="eastAsia" w:ascii="仿宋" w:hAnsi="仿宋" w:eastAsia="仿宋"/>
          <w:b w:val="0"/>
          <w:bCs w:val="0"/>
        </w:rPr>
        <w:t>十二、</w:t>
      </w:r>
      <w:bookmarkEnd w:id="62"/>
      <w:r>
        <w:rPr>
          <w:rStyle w:val="32"/>
          <w:rFonts w:hint="eastAsia" w:ascii="仿宋" w:hAnsi="仿宋" w:eastAsia="仿宋"/>
          <w:b w:val="0"/>
          <w:bCs w:val="0"/>
        </w:rPr>
        <w:t>国有资本经营预算财政拨款支出决算表</w:t>
      </w:r>
    </w:p>
    <w:p>
      <w:pPr>
        <w:pStyle w:val="4"/>
        <w:rPr>
          <w:rFonts w:eastAsia="仿宋"/>
        </w:rPr>
      </w:pPr>
      <w:bookmarkStart w:id="63" w:name="_Toc15396631"/>
      <w:r>
        <w:rPr>
          <w:rStyle w:val="32"/>
          <w:rFonts w:hint="eastAsia" w:ascii="仿宋" w:hAnsi="仿宋" w:eastAsia="仿宋"/>
          <w:b w:val="0"/>
          <w:bCs w:val="0"/>
        </w:rPr>
        <w:t>十三、</w:t>
      </w:r>
      <w:bookmarkEnd w:id="63"/>
      <w:r>
        <w:rPr>
          <w:rStyle w:val="32"/>
          <w:rFonts w:hint="eastAsia" w:ascii="仿宋" w:hAnsi="仿宋" w:eastAsia="仿宋"/>
          <w:b w:val="0"/>
          <w:bCs w:val="0"/>
        </w:rPr>
        <w:t>财政拨款“三公”经费支出决算表</w:t>
      </w:r>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F2AAA23-2676-498B-887F-C2665E56C69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9F92076C-F592-478D-A154-322879C2523F}"/>
  </w:font>
  <w:font w:name="Cambria">
    <w:panose1 w:val="02040503050406030204"/>
    <w:charset w:val="00"/>
    <w:family w:val="roman"/>
    <w:pitch w:val="default"/>
    <w:sig w:usb0="E00006FF" w:usb1="420024FF" w:usb2="02000000" w:usb3="00000000" w:csb0="2000019F" w:csb1="00000000"/>
    <w:embedRegular r:id="rId3" w:fontKey="{54696C01-B892-404F-9A33-F2F4E3D86F34}"/>
  </w:font>
  <w:font w:name="仿宋_GB2312">
    <w:altName w:val="仿宋"/>
    <w:panose1 w:val="00000000000000000000"/>
    <w:charset w:val="86"/>
    <w:family w:val="modern"/>
    <w:pitch w:val="default"/>
    <w:sig w:usb0="00000000" w:usb1="00000000" w:usb2="00000000" w:usb3="00000000" w:csb0="00040000" w:csb1="00000000"/>
    <w:embedRegular r:id="rId4" w:fontKey="{5E12990F-0073-4528-A572-FDA337B14A8F}"/>
  </w:font>
  <w:font w:name="仿宋">
    <w:panose1 w:val="02010609060101010101"/>
    <w:charset w:val="86"/>
    <w:family w:val="modern"/>
    <w:pitch w:val="default"/>
    <w:sig w:usb0="800002BF" w:usb1="38CF7CFA" w:usb2="00000016" w:usb3="00000000" w:csb0="00040001" w:csb1="00000000"/>
    <w:embedRegular r:id="rId5" w:fontKey="{99D25A52-8ABC-45C1-BE7D-DC4C7FC09BC1}"/>
  </w:font>
  <w:font w:name="??">
    <w:altName w:val="Times New Roman"/>
    <w:panose1 w:val="00000000000000000000"/>
    <w:charset w:val="00"/>
    <w:family w:val="roman"/>
    <w:pitch w:val="default"/>
    <w:sig w:usb0="00000000" w:usb1="00000000" w:usb2="00000000" w:usb3="00000000" w:csb0="00000000" w:csb1="00000000"/>
  </w:font>
  <w:font w:name="方正小标宋简体">
    <w:panose1 w:val="02000000000000000000"/>
    <w:charset w:val="86"/>
    <w:family w:val="script"/>
    <w:pitch w:val="default"/>
    <w:sig w:usb0="00000001" w:usb1="08000000" w:usb2="00000000" w:usb3="00000000" w:csb0="00040000" w:csb1="00000000"/>
    <w:embedRegular r:id="rId6" w:fontKey="{2264E529-F620-4287-B3B4-8D20A4A211AD}"/>
  </w:font>
  <w:font w:name="华文仿宋">
    <w:panose1 w:val="02010600040101010101"/>
    <w:charset w:val="86"/>
    <w:family w:val="auto"/>
    <w:pitch w:val="default"/>
    <w:sig w:usb0="00000287" w:usb1="080F0000" w:usb2="00000000" w:usb3="00000000" w:csb0="0004009F" w:csb1="DFD70000"/>
    <w:embedRegular r:id="rId7" w:fontKey="{A6751262-B21B-4E1A-9509-957312C3489C}"/>
  </w:font>
  <w:font w:name="楷体_GB2312">
    <w:altName w:val="楷体"/>
    <w:panose1 w:val="00000000000000000000"/>
    <w:charset w:val="86"/>
    <w:family w:val="auto"/>
    <w:pitch w:val="default"/>
    <w:sig w:usb0="00000000" w:usb1="00000000" w:usb2="00000000" w:usb3="00000000" w:csb0="00040000" w:csb1="00000000"/>
    <w:embedRegular r:id="rId8" w:fontKey="{A7842EB5-9DA4-4C6E-AAB2-6ECA92729445}"/>
  </w:font>
  <w:font w:name="微软雅黑">
    <w:panose1 w:val="020B0503020204020204"/>
    <w:charset w:val="86"/>
    <w:family w:val="auto"/>
    <w:pitch w:val="default"/>
    <w:sig w:usb0="80000287" w:usb1="2ACF3C50" w:usb2="00000016" w:usb3="00000000" w:csb0="0004001F" w:csb1="00000000"/>
    <w:embedRegular r:id="rId9" w:fontKey="{1B1196F5-ACA0-4394-B2DA-256F676C5EF6}"/>
  </w:font>
  <w:font w:name="楷体">
    <w:panose1 w:val="02010609060101010101"/>
    <w:charset w:val="86"/>
    <w:family w:val="auto"/>
    <w:pitch w:val="default"/>
    <w:sig w:usb0="800002BF" w:usb1="38CF7CFA" w:usb2="00000016" w:usb3="00000000" w:csb0="00040001" w:csb1="00000000"/>
    <w:embedRegular r:id="rId10" w:fontKey="{4051E718-0FD8-4A13-801E-40079E4F76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pPr>
          <w:pStyle w:val="10"/>
          <w:jc w:val="center"/>
        </w:pPr>
        <w:r>
          <w:fldChar w:fldCharType="begin"/>
        </w:r>
        <w:r>
          <w:instrText xml:space="preserve">PAGE   \* MERGEFORMAT</w:instrText>
        </w:r>
        <w:r>
          <w:fldChar w:fldCharType="separate"/>
        </w:r>
        <w:r>
          <w:rPr>
            <w:lang w:val="zh-CN"/>
          </w:rPr>
          <w:t>2</w:t>
        </w:r>
        <w:r>
          <w:fldChar w:fldCharType="end"/>
        </w:r>
      </w:p>
    </w:sdtContent>
  </w:sdt>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89F2AB"/>
    <w:multiLevelType w:val="singleLevel"/>
    <w:tmpl w:val="B689F2AB"/>
    <w:lvl w:ilvl="0" w:tentative="0">
      <w:start w:val="2"/>
      <w:numFmt w:val="decimal"/>
      <w:lvlText w:val="%1."/>
      <w:lvlJc w:val="left"/>
      <w:pPr>
        <w:tabs>
          <w:tab w:val="left" w:pos="312"/>
        </w:tabs>
      </w:pPr>
    </w:lvl>
  </w:abstractNum>
  <w:abstractNum w:abstractNumId="1">
    <w:nsid w:val="CF652CEC"/>
    <w:multiLevelType w:val="singleLevel"/>
    <w:tmpl w:val="CF652CEC"/>
    <w:lvl w:ilvl="0" w:tentative="0">
      <w:start w:val="9"/>
      <w:numFmt w:val="chineseCounting"/>
      <w:suff w:val="nothing"/>
      <w:lvlText w:val="%1、"/>
      <w:lvlJc w:val="left"/>
      <w:rPr>
        <w:rFonts w:hint="eastAsia"/>
      </w:rPr>
    </w:lvl>
  </w:abstractNum>
  <w:abstractNum w:abstractNumId="2">
    <w:nsid w:val="D2D9D9D0"/>
    <w:multiLevelType w:val="singleLevel"/>
    <w:tmpl w:val="D2D9D9D0"/>
    <w:lvl w:ilvl="0" w:tentative="0">
      <w:start w:val="1"/>
      <w:numFmt w:val="chineseCounting"/>
      <w:suff w:val="nothing"/>
      <w:lvlText w:val="%1、"/>
      <w:lvlJc w:val="left"/>
      <w:rPr>
        <w:rFonts w:hint="eastAsia"/>
      </w:rPr>
    </w:lvl>
  </w:abstractNum>
  <w:abstractNum w:abstractNumId="3">
    <w:nsid w:val="D5F4E149"/>
    <w:multiLevelType w:val="singleLevel"/>
    <w:tmpl w:val="D5F4E149"/>
    <w:lvl w:ilvl="0" w:tentative="0">
      <w:start w:val="2"/>
      <w:numFmt w:val="chineseCounting"/>
      <w:suff w:val="nothing"/>
      <w:lvlText w:val="（%1）"/>
      <w:lvlJc w:val="left"/>
      <w:rPr>
        <w:rFonts w:hint="eastAsia"/>
      </w:rPr>
    </w:lvl>
  </w:abstractNum>
  <w:abstractNum w:abstractNumId="4">
    <w:nsid w:val="DEBEF323"/>
    <w:multiLevelType w:val="singleLevel"/>
    <w:tmpl w:val="DEBEF323"/>
    <w:lvl w:ilvl="0" w:tentative="0">
      <w:start w:val="4"/>
      <w:numFmt w:val="chineseCounting"/>
      <w:suff w:val="nothing"/>
      <w:lvlText w:val="（%1）"/>
      <w:lvlJc w:val="left"/>
      <w:rPr>
        <w:rFonts w:hint="eastAsia"/>
      </w:rPr>
    </w:lvl>
  </w:abstractNum>
  <w:abstractNum w:abstractNumId="5">
    <w:nsid w:val="E2FA047D"/>
    <w:multiLevelType w:val="singleLevel"/>
    <w:tmpl w:val="E2FA047D"/>
    <w:lvl w:ilvl="0" w:tentative="0">
      <w:start w:val="3"/>
      <w:numFmt w:val="chineseCounting"/>
      <w:suff w:val="space"/>
      <w:lvlText w:val="第%1部分"/>
      <w:lvlJc w:val="left"/>
      <w:rPr>
        <w:rFonts w:hint="eastAsia"/>
      </w:rPr>
    </w:lvl>
  </w:abstractNum>
  <w:abstractNum w:abstractNumId="6">
    <w:nsid w:val="FFF674BC"/>
    <w:multiLevelType w:val="singleLevel"/>
    <w:tmpl w:val="FFF674BC"/>
    <w:lvl w:ilvl="0" w:tentative="0">
      <w:start w:val="1"/>
      <w:numFmt w:val="chineseCounting"/>
      <w:suff w:val="nothing"/>
      <w:lvlText w:val="%1、"/>
      <w:lvlJc w:val="left"/>
      <w:rPr>
        <w:rFonts w:hint="eastAsia"/>
      </w:rPr>
    </w:lvl>
  </w:abstractNum>
  <w:abstractNum w:abstractNumId="7">
    <w:nsid w:val="075B32DC"/>
    <w:multiLevelType w:val="singleLevel"/>
    <w:tmpl w:val="075B32DC"/>
    <w:lvl w:ilvl="0" w:tentative="0">
      <w:start w:val="1"/>
      <w:numFmt w:val="chineseCounting"/>
      <w:suff w:val="nothing"/>
      <w:lvlText w:val="%1、"/>
      <w:lvlJc w:val="left"/>
      <w:rPr>
        <w:rFonts w:hint="eastAsia"/>
      </w:rPr>
    </w:lvl>
  </w:abstractNum>
  <w:abstractNum w:abstractNumId="8">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9">
    <w:nsid w:val="13EAAE16"/>
    <w:multiLevelType w:val="singleLevel"/>
    <w:tmpl w:val="13EAAE16"/>
    <w:lvl w:ilvl="0" w:tentative="0">
      <w:start w:val="1"/>
      <w:numFmt w:val="chineseCounting"/>
      <w:suff w:val="nothing"/>
      <w:lvlText w:val="（%1）"/>
      <w:lvlJc w:val="left"/>
      <w:rPr>
        <w:rFonts w:hint="eastAsia"/>
      </w:rPr>
    </w:lvl>
  </w:abstractNum>
  <w:abstractNum w:abstractNumId="10">
    <w:nsid w:val="6B1BC446"/>
    <w:multiLevelType w:val="singleLevel"/>
    <w:tmpl w:val="6B1BC446"/>
    <w:lvl w:ilvl="0" w:tentative="0">
      <w:start w:val="1"/>
      <w:numFmt w:val="decimal"/>
      <w:suff w:val="nothing"/>
      <w:lvlText w:val="%1、"/>
      <w:lvlJc w:val="left"/>
    </w:lvl>
  </w:abstractNum>
  <w:abstractNum w:abstractNumId="11">
    <w:nsid w:val="714C2BE1"/>
    <w:multiLevelType w:val="singleLevel"/>
    <w:tmpl w:val="714C2BE1"/>
    <w:lvl w:ilvl="0" w:tentative="0">
      <w:start w:val="1"/>
      <w:numFmt w:val="chineseCounting"/>
      <w:lvlText w:val="(%1)"/>
      <w:lvlJc w:val="left"/>
      <w:pPr>
        <w:tabs>
          <w:tab w:val="left" w:pos="312"/>
        </w:tabs>
      </w:pPr>
      <w:rPr>
        <w:rFonts w:hint="eastAsia"/>
      </w:rPr>
    </w:lvl>
  </w:abstractNum>
  <w:abstractNum w:abstractNumId="12">
    <w:nsid w:val="7DCF28BE"/>
    <w:multiLevelType w:val="singleLevel"/>
    <w:tmpl w:val="7DCF28BE"/>
    <w:lvl w:ilvl="0" w:tentative="0">
      <w:start w:val="2"/>
      <w:numFmt w:val="chineseCounting"/>
      <w:suff w:val="nothing"/>
      <w:lvlText w:val="（%1）"/>
      <w:lvlJc w:val="left"/>
      <w:rPr>
        <w:rFonts w:hint="eastAsia"/>
      </w:rPr>
    </w:lvl>
  </w:abstractNum>
  <w:num w:numId="1">
    <w:abstractNumId w:val="7"/>
  </w:num>
  <w:num w:numId="2">
    <w:abstractNumId w:val="11"/>
  </w:num>
  <w:num w:numId="3">
    <w:abstractNumId w:val="10"/>
  </w:num>
  <w:num w:numId="4">
    <w:abstractNumId w:val="8"/>
  </w:num>
  <w:num w:numId="5">
    <w:abstractNumId w:val="1"/>
  </w:num>
  <w:num w:numId="6">
    <w:abstractNumId w:val="5"/>
  </w:num>
  <w:num w:numId="7">
    <w:abstractNumId w:val="6"/>
  </w:num>
  <w:num w:numId="8">
    <w:abstractNumId w:val="9"/>
  </w:num>
  <w:num w:numId="9">
    <w:abstractNumId w:val="0"/>
  </w:num>
  <w:num w:numId="10">
    <w:abstractNumId w:val="4"/>
  </w:num>
  <w:num w:numId="11">
    <w:abstractNumId w:val="3"/>
  </w:num>
  <w:num w:numId="12">
    <w:abstractNumId w:val="2"/>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1M2VjZDNkNmI4OWZkMThmMzE1MjhjOWI3MzQzN2E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53CE0"/>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42F6E"/>
    <w:rsid w:val="00357D1A"/>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2A80"/>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94377"/>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9666D"/>
    <w:rsid w:val="008B0651"/>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2647E"/>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21F16"/>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D54BB"/>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DF7D37"/>
    <w:rsid w:val="00E01053"/>
    <w:rsid w:val="00E07ACF"/>
    <w:rsid w:val="00E331A1"/>
    <w:rsid w:val="00E33202"/>
    <w:rsid w:val="00E336A9"/>
    <w:rsid w:val="00E472B1"/>
    <w:rsid w:val="00E50624"/>
    <w:rsid w:val="00E568DF"/>
    <w:rsid w:val="00E64269"/>
    <w:rsid w:val="00E82267"/>
    <w:rsid w:val="00E853CE"/>
    <w:rsid w:val="00E867B6"/>
    <w:rsid w:val="00EA010F"/>
    <w:rsid w:val="00EC75C6"/>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A3F4C"/>
    <w:rsid w:val="00FD3CC1"/>
    <w:rsid w:val="00FF1E02"/>
    <w:rsid w:val="00FF30B4"/>
    <w:rsid w:val="01154EDD"/>
    <w:rsid w:val="01415CD2"/>
    <w:rsid w:val="015975B8"/>
    <w:rsid w:val="01A127B3"/>
    <w:rsid w:val="02143E91"/>
    <w:rsid w:val="0233386D"/>
    <w:rsid w:val="028F77EC"/>
    <w:rsid w:val="03192A63"/>
    <w:rsid w:val="032A2EC2"/>
    <w:rsid w:val="03885E3A"/>
    <w:rsid w:val="03B721E0"/>
    <w:rsid w:val="0495080F"/>
    <w:rsid w:val="04DD3F64"/>
    <w:rsid w:val="04F73278"/>
    <w:rsid w:val="05341F39"/>
    <w:rsid w:val="055C132D"/>
    <w:rsid w:val="057743B8"/>
    <w:rsid w:val="058F1702"/>
    <w:rsid w:val="05BC1DCB"/>
    <w:rsid w:val="05E25CD6"/>
    <w:rsid w:val="06465685"/>
    <w:rsid w:val="066E0107"/>
    <w:rsid w:val="067D59FE"/>
    <w:rsid w:val="06FD08ED"/>
    <w:rsid w:val="07996F6E"/>
    <w:rsid w:val="07ED0962"/>
    <w:rsid w:val="08A94889"/>
    <w:rsid w:val="08AF5C17"/>
    <w:rsid w:val="08C61DDC"/>
    <w:rsid w:val="09DB7750"/>
    <w:rsid w:val="0A0A1357"/>
    <w:rsid w:val="0A2032A3"/>
    <w:rsid w:val="0A641F8C"/>
    <w:rsid w:val="0A8729A8"/>
    <w:rsid w:val="0A9D131E"/>
    <w:rsid w:val="0AE147AE"/>
    <w:rsid w:val="0B301D18"/>
    <w:rsid w:val="0BDB744F"/>
    <w:rsid w:val="0BF70001"/>
    <w:rsid w:val="0C063DA0"/>
    <w:rsid w:val="0C5745FC"/>
    <w:rsid w:val="0D073ED3"/>
    <w:rsid w:val="0D3A01A5"/>
    <w:rsid w:val="0D6F756B"/>
    <w:rsid w:val="0DB461AA"/>
    <w:rsid w:val="0E9B1118"/>
    <w:rsid w:val="0EAF7A7A"/>
    <w:rsid w:val="0F98263C"/>
    <w:rsid w:val="0FBA55CD"/>
    <w:rsid w:val="0FDE2595"/>
    <w:rsid w:val="101860EC"/>
    <w:rsid w:val="10480E2B"/>
    <w:rsid w:val="10637A13"/>
    <w:rsid w:val="10C055FF"/>
    <w:rsid w:val="10ED66C8"/>
    <w:rsid w:val="113D0264"/>
    <w:rsid w:val="11494E5B"/>
    <w:rsid w:val="1154307A"/>
    <w:rsid w:val="118107EC"/>
    <w:rsid w:val="124D44D7"/>
    <w:rsid w:val="126902E6"/>
    <w:rsid w:val="12AF0CEE"/>
    <w:rsid w:val="12D91FE6"/>
    <w:rsid w:val="13141CA1"/>
    <w:rsid w:val="13926C06"/>
    <w:rsid w:val="13B16CE7"/>
    <w:rsid w:val="13D50BC4"/>
    <w:rsid w:val="13FF3EF7"/>
    <w:rsid w:val="14304CEF"/>
    <w:rsid w:val="14593607"/>
    <w:rsid w:val="147A659B"/>
    <w:rsid w:val="148F1EC3"/>
    <w:rsid w:val="14AF76CB"/>
    <w:rsid w:val="14CD5DA3"/>
    <w:rsid w:val="158A5A42"/>
    <w:rsid w:val="16104199"/>
    <w:rsid w:val="16307121"/>
    <w:rsid w:val="16B05169"/>
    <w:rsid w:val="16B620DD"/>
    <w:rsid w:val="16BB723D"/>
    <w:rsid w:val="17164659"/>
    <w:rsid w:val="17842B8C"/>
    <w:rsid w:val="17EA0A1A"/>
    <w:rsid w:val="18EF02FC"/>
    <w:rsid w:val="191023B6"/>
    <w:rsid w:val="19AB16DD"/>
    <w:rsid w:val="19B27315"/>
    <w:rsid w:val="19F94F44"/>
    <w:rsid w:val="1A2C356C"/>
    <w:rsid w:val="1A2E7A8E"/>
    <w:rsid w:val="1A6040D2"/>
    <w:rsid w:val="1A6C5716"/>
    <w:rsid w:val="1A8B2040"/>
    <w:rsid w:val="1A911621"/>
    <w:rsid w:val="1AB377E9"/>
    <w:rsid w:val="1AC15A62"/>
    <w:rsid w:val="1B0B3181"/>
    <w:rsid w:val="1B4A2880"/>
    <w:rsid w:val="1B783C3E"/>
    <w:rsid w:val="1BAA299A"/>
    <w:rsid w:val="1BE8440E"/>
    <w:rsid w:val="1C07722B"/>
    <w:rsid w:val="1CA94A00"/>
    <w:rsid w:val="1CB82E85"/>
    <w:rsid w:val="1CE819CC"/>
    <w:rsid w:val="1D155CEE"/>
    <w:rsid w:val="1EB94D8C"/>
    <w:rsid w:val="1ED95A92"/>
    <w:rsid w:val="1F7E6617"/>
    <w:rsid w:val="1FAF67D1"/>
    <w:rsid w:val="1FF35744"/>
    <w:rsid w:val="201523AC"/>
    <w:rsid w:val="20D364EF"/>
    <w:rsid w:val="21726AFC"/>
    <w:rsid w:val="22600256"/>
    <w:rsid w:val="22837AA1"/>
    <w:rsid w:val="229E0D7F"/>
    <w:rsid w:val="23045086"/>
    <w:rsid w:val="23860B96"/>
    <w:rsid w:val="23A712B0"/>
    <w:rsid w:val="23FF75FB"/>
    <w:rsid w:val="240371BF"/>
    <w:rsid w:val="242D5F16"/>
    <w:rsid w:val="24CE4061"/>
    <w:rsid w:val="253432D4"/>
    <w:rsid w:val="256A4F48"/>
    <w:rsid w:val="259D2BCF"/>
    <w:rsid w:val="25CB59E7"/>
    <w:rsid w:val="25CD1265"/>
    <w:rsid w:val="25EF22AF"/>
    <w:rsid w:val="27C43035"/>
    <w:rsid w:val="2912392D"/>
    <w:rsid w:val="29D358A3"/>
    <w:rsid w:val="29D62BAC"/>
    <w:rsid w:val="29F873D3"/>
    <w:rsid w:val="29FD04D3"/>
    <w:rsid w:val="2A336250"/>
    <w:rsid w:val="2A4D3B00"/>
    <w:rsid w:val="2A6D1762"/>
    <w:rsid w:val="2A704DAF"/>
    <w:rsid w:val="2ADB2B70"/>
    <w:rsid w:val="2B035C23"/>
    <w:rsid w:val="2B277B63"/>
    <w:rsid w:val="2B3109E2"/>
    <w:rsid w:val="2B342280"/>
    <w:rsid w:val="2B632B65"/>
    <w:rsid w:val="2B7408CF"/>
    <w:rsid w:val="2C245E51"/>
    <w:rsid w:val="2C453CAB"/>
    <w:rsid w:val="2C8A61B5"/>
    <w:rsid w:val="2C9254B0"/>
    <w:rsid w:val="2D853CD4"/>
    <w:rsid w:val="2DF04E50"/>
    <w:rsid w:val="2E4B3B69"/>
    <w:rsid w:val="2F040D46"/>
    <w:rsid w:val="2F364407"/>
    <w:rsid w:val="2F8310E0"/>
    <w:rsid w:val="2F9830C8"/>
    <w:rsid w:val="3029612C"/>
    <w:rsid w:val="303B7C0D"/>
    <w:rsid w:val="30A21A3A"/>
    <w:rsid w:val="30D75B88"/>
    <w:rsid w:val="30FF50DE"/>
    <w:rsid w:val="319F7F4E"/>
    <w:rsid w:val="31A67308"/>
    <w:rsid w:val="31C003CA"/>
    <w:rsid w:val="320B1736"/>
    <w:rsid w:val="32425283"/>
    <w:rsid w:val="32650F71"/>
    <w:rsid w:val="32CC0FF0"/>
    <w:rsid w:val="3304709D"/>
    <w:rsid w:val="33304DE6"/>
    <w:rsid w:val="33820740"/>
    <w:rsid w:val="33893E0E"/>
    <w:rsid w:val="33FB7DDF"/>
    <w:rsid w:val="34767465"/>
    <w:rsid w:val="34850903"/>
    <w:rsid w:val="34B1049E"/>
    <w:rsid w:val="356475C8"/>
    <w:rsid w:val="356674DA"/>
    <w:rsid w:val="3569521C"/>
    <w:rsid w:val="36062A6B"/>
    <w:rsid w:val="368F480F"/>
    <w:rsid w:val="36A62B29"/>
    <w:rsid w:val="36AA5135"/>
    <w:rsid w:val="37040D59"/>
    <w:rsid w:val="374B578D"/>
    <w:rsid w:val="376D39B2"/>
    <w:rsid w:val="37E16F03"/>
    <w:rsid w:val="37E87464"/>
    <w:rsid w:val="3836588A"/>
    <w:rsid w:val="385775AE"/>
    <w:rsid w:val="38787C50"/>
    <w:rsid w:val="38A24C29"/>
    <w:rsid w:val="38B30823"/>
    <w:rsid w:val="38D469F0"/>
    <w:rsid w:val="39513FFD"/>
    <w:rsid w:val="397F6DBC"/>
    <w:rsid w:val="39CB0253"/>
    <w:rsid w:val="39F052CC"/>
    <w:rsid w:val="3A3C6A5B"/>
    <w:rsid w:val="3A773F37"/>
    <w:rsid w:val="3B2352D9"/>
    <w:rsid w:val="3B431C7C"/>
    <w:rsid w:val="3B561D9F"/>
    <w:rsid w:val="3B581673"/>
    <w:rsid w:val="3B712735"/>
    <w:rsid w:val="3BF05D4F"/>
    <w:rsid w:val="3D475E43"/>
    <w:rsid w:val="3D831591"/>
    <w:rsid w:val="3D98207C"/>
    <w:rsid w:val="3DD671C7"/>
    <w:rsid w:val="3E1652CB"/>
    <w:rsid w:val="3E594080"/>
    <w:rsid w:val="3E78745D"/>
    <w:rsid w:val="3F0D01E3"/>
    <w:rsid w:val="3FB377C0"/>
    <w:rsid w:val="40057CA5"/>
    <w:rsid w:val="400632BF"/>
    <w:rsid w:val="4037219F"/>
    <w:rsid w:val="407E7DCE"/>
    <w:rsid w:val="40AB0497"/>
    <w:rsid w:val="41076015"/>
    <w:rsid w:val="410A0162"/>
    <w:rsid w:val="417B255F"/>
    <w:rsid w:val="41CA7043"/>
    <w:rsid w:val="42615C1A"/>
    <w:rsid w:val="42A87384"/>
    <w:rsid w:val="42AE7254"/>
    <w:rsid w:val="42B43760"/>
    <w:rsid w:val="43120CA1"/>
    <w:rsid w:val="432E715D"/>
    <w:rsid w:val="43486471"/>
    <w:rsid w:val="43A11F01"/>
    <w:rsid w:val="444C01E3"/>
    <w:rsid w:val="447514E8"/>
    <w:rsid w:val="449A0F4E"/>
    <w:rsid w:val="44BC2C73"/>
    <w:rsid w:val="44BE2E8F"/>
    <w:rsid w:val="44E268DA"/>
    <w:rsid w:val="45505AB1"/>
    <w:rsid w:val="45740DCF"/>
    <w:rsid w:val="45AF27D7"/>
    <w:rsid w:val="45CC5137"/>
    <w:rsid w:val="45CF4C28"/>
    <w:rsid w:val="469C370A"/>
    <w:rsid w:val="47330A3E"/>
    <w:rsid w:val="48217291"/>
    <w:rsid w:val="486E697A"/>
    <w:rsid w:val="489108BA"/>
    <w:rsid w:val="4A3261D1"/>
    <w:rsid w:val="4A5120AF"/>
    <w:rsid w:val="4A627F82"/>
    <w:rsid w:val="4A8A736F"/>
    <w:rsid w:val="4A8D6347"/>
    <w:rsid w:val="4AE90539"/>
    <w:rsid w:val="4AE9678B"/>
    <w:rsid w:val="4B0E749A"/>
    <w:rsid w:val="4B127C87"/>
    <w:rsid w:val="4B390CF8"/>
    <w:rsid w:val="4B4F25DA"/>
    <w:rsid w:val="4BE068DB"/>
    <w:rsid w:val="4D0A4797"/>
    <w:rsid w:val="4D0A61E8"/>
    <w:rsid w:val="4D423F31"/>
    <w:rsid w:val="4D577224"/>
    <w:rsid w:val="4D875DE8"/>
    <w:rsid w:val="4DEB6377"/>
    <w:rsid w:val="4E45017D"/>
    <w:rsid w:val="4E604FB7"/>
    <w:rsid w:val="4EAB630A"/>
    <w:rsid w:val="4ECE2238"/>
    <w:rsid w:val="4FCF0C8F"/>
    <w:rsid w:val="4FDF1F0B"/>
    <w:rsid w:val="50577CF3"/>
    <w:rsid w:val="509E1DC6"/>
    <w:rsid w:val="50E7551B"/>
    <w:rsid w:val="51CE0489"/>
    <w:rsid w:val="51DD247A"/>
    <w:rsid w:val="520C2D5F"/>
    <w:rsid w:val="52A01E26"/>
    <w:rsid w:val="52D47D21"/>
    <w:rsid w:val="52D63FD6"/>
    <w:rsid w:val="537E6D0A"/>
    <w:rsid w:val="539D45B7"/>
    <w:rsid w:val="53F00B8B"/>
    <w:rsid w:val="5492579E"/>
    <w:rsid w:val="54A0435F"/>
    <w:rsid w:val="54B020C8"/>
    <w:rsid w:val="54E12281"/>
    <w:rsid w:val="54E3424B"/>
    <w:rsid w:val="55D75763"/>
    <w:rsid w:val="56D77DE0"/>
    <w:rsid w:val="573E1C0D"/>
    <w:rsid w:val="576B7310"/>
    <w:rsid w:val="5797131D"/>
    <w:rsid w:val="58F46A27"/>
    <w:rsid w:val="592117E6"/>
    <w:rsid w:val="59F42A57"/>
    <w:rsid w:val="59FE5684"/>
    <w:rsid w:val="5A2055FA"/>
    <w:rsid w:val="5AF92295"/>
    <w:rsid w:val="5B1038C0"/>
    <w:rsid w:val="5B562EDC"/>
    <w:rsid w:val="5B6B0AF7"/>
    <w:rsid w:val="5C871960"/>
    <w:rsid w:val="5CCC3817"/>
    <w:rsid w:val="5CD71FC4"/>
    <w:rsid w:val="5D373386"/>
    <w:rsid w:val="5D447851"/>
    <w:rsid w:val="5D79399F"/>
    <w:rsid w:val="5DAA3B58"/>
    <w:rsid w:val="5DB76275"/>
    <w:rsid w:val="5E3A5310"/>
    <w:rsid w:val="5E4E3DF0"/>
    <w:rsid w:val="5E641A16"/>
    <w:rsid w:val="5E95414C"/>
    <w:rsid w:val="5ED879CC"/>
    <w:rsid w:val="5F0E0117"/>
    <w:rsid w:val="5F3741A4"/>
    <w:rsid w:val="601B4F8E"/>
    <w:rsid w:val="60340051"/>
    <w:rsid w:val="60504080"/>
    <w:rsid w:val="6065645C"/>
    <w:rsid w:val="60DF7FBD"/>
    <w:rsid w:val="60FD48E7"/>
    <w:rsid w:val="611834CF"/>
    <w:rsid w:val="61A46B11"/>
    <w:rsid w:val="62562501"/>
    <w:rsid w:val="63BC2837"/>
    <w:rsid w:val="65314B5F"/>
    <w:rsid w:val="65D11E9E"/>
    <w:rsid w:val="668F1B3D"/>
    <w:rsid w:val="66E10C4D"/>
    <w:rsid w:val="672D1356"/>
    <w:rsid w:val="673B1CC5"/>
    <w:rsid w:val="67564D51"/>
    <w:rsid w:val="679C6649"/>
    <w:rsid w:val="67B601C1"/>
    <w:rsid w:val="67E4410B"/>
    <w:rsid w:val="6815073B"/>
    <w:rsid w:val="68CB7079"/>
    <w:rsid w:val="68E343C2"/>
    <w:rsid w:val="68E51EE8"/>
    <w:rsid w:val="69083E29"/>
    <w:rsid w:val="691C1682"/>
    <w:rsid w:val="6A4F12CD"/>
    <w:rsid w:val="6B5844A1"/>
    <w:rsid w:val="6BA3608B"/>
    <w:rsid w:val="6C4A05C8"/>
    <w:rsid w:val="6D5C7579"/>
    <w:rsid w:val="6E3B07FD"/>
    <w:rsid w:val="6E7E3605"/>
    <w:rsid w:val="6F12155D"/>
    <w:rsid w:val="6F2B0871"/>
    <w:rsid w:val="6F9E1043"/>
    <w:rsid w:val="6FF5CC65"/>
    <w:rsid w:val="700C6158"/>
    <w:rsid w:val="70BB7EBB"/>
    <w:rsid w:val="70F57389"/>
    <w:rsid w:val="715C0E4B"/>
    <w:rsid w:val="7185070D"/>
    <w:rsid w:val="71A52B5D"/>
    <w:rsid w:val="71F22DC3"/>
    <w:rsid w:val="722A3062"/>
    <w:rsid w:val="723932A5"/>
    <w:rsid w:val="72734D90"/>
    <w:rsid w:val="72907369"/>
    <w:rsid w:val="72B03567"/>
    <w:rsid w:val="72D37256"/>
    <w:rsid w:val="731138D1"/>
    <w:rsid w:val="73AD73D5"/>
    <w:rsid w:val="73B11409"/>
    <w:rsid w:val="73B6EB34"/>
    <w:rsid w:val="74214742"/>
    <w:rsid w:val="744731E5"/>
    <w:rsid w:val="745E5245"/>
    <w:rsid w:val="75933079"/>
    <w:rsid w:val="75AB4EDB"/>
    <w:rsid w:val="76D8308D"/>
    <w:rsid w:val="76E3355F"/>
    <w:rsid w:val="77495D38"/>
    <w:rsid w:val="778769C8"/>
    <w:rsid w:val="77D777E8"/>
    <w:rsid w:val="78F077BE"/>
    <w:rsid w:val="797A2B65"/>
    <w:rsid w:val="79EE5BA4"/>
    <w:rsid w:val="79F75F20"/>
    <w:rsid w:val="7A796935"/>
    <w:rsid w:val="7A894339"/>
    <w:rsid w:val="7B097566"/>
    <w:rsid w:val="7B203B3C"/>
    <w:rsid w:val="7C04115F"/>
    <w:rsid w:val="7D445F0E"/>
    <w:rsid w:val="7DC47E0B"/>
    <w:rsid w:val="7DE44A0D"/>
    <w:rsid w:val="7E06188F"/>
    <w:rsid w:val="7E1626EC"/>
    <w:rsid w:val="7E4F012F"/>
    <w:rsid w:val="7E5D4AC8"/>
    <w:rsid w:val="7EEF11D3"/>
    <w:rsid w:val="7EEF71C5"/>
    <w:rsid w:val="7F3E639F"/>
    <w:rsid w:val="7F52696A"/>
    <w:rsid w:val="7F9F3B25"/>
    <w:rsid w:val="7FA30C79"/>
    <w:rsid w:val="7FB7269E"/>
    <w:rsid w:val="7FC96657"/>
    <w:rsid w:val="D8D6DB89"/>
    <w:rsid w:val="DB6F4CAB"/>
    <w:rsid w:val="DF6F97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9"/>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5"/>
    <w:unhideWhenUsed/>
    <w:qFormat/>
    <w:uiPriority w:val="9"/>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8"/>
    <w:qFormat/>
    <w:uiPriority w:val="99"/>
    <w:pPr>
      <w:spacing w:beforeLines="30"/>
    </w:pPr>
    <w:rPr>
      <w:rFonts w:ascii="仿宋_GB2312" w:eastAsia="仿宋_GB2312"/>
      <w:kern w:val="0"/>
      <w:sz w:val="30"/>
    </w:rPr>
  </w:style>
  <w:style w:type="paragraph" w:styleId="6">
    <w:name w:val="Body Text Indent"/>
    <w:basedOn w:val="1"/>
    <w:qFormat/>
    <w:uiPriority w:val="0"/>
    <w:pPr>
      <w:spacing w:after="120"/>
      <w:ind w:left="200" w:leftChars="200"/>
    </w:pPr>
    <w:rPr>
      <w:rFonts w:ascii="仿宋_GB2312"/>
      <w:szCs w:val="32"/>
    </w:rPr>
  </w:style>
  <w:style w:type="paragraph" w:styleId="7">
    <w:name w:val="toc 3"/>
    <w:basedOn w:val="1"/>
    <w:next w:val="1"/>
    <w:unhideWhenUsed/>
    <w:qFormat/>
    <w:uiPriority w:val="39"/>
    <w:pPr>
      <w:tabs>
        <w:tab w:val="right" w:leader="dot" w:pos="8296"/>
      </w:tabs>
      <w:ind w:left="840" w:leftChars="400"/>
    </w:pPr>
  </w:style>
  <w:style w:type="paragraph" w:styleId="8">
    <w:name w:val="Plain Text"/>
    <w:basedOn w:val="1"/>
    <w:qFormat/>
    <w:uiPriority w:val="0"/>
    <w:rPr>
      <w:rFonts w:ascii="宋体" w:hAnsi="Courier New" w:eastAsia="仿宋_GB2312" w:cs="Courier New"/>
      <w:b/>
      <w:sz w:val="32"/>
      <w:szCs w:val="21"/>
    </w:rPr>
  </w:style>
  <w:style w:type="paragraph" w:styleId="9">
    <w:name w:val="Balloon Text"/>
    <w:basedOn w:val="1"/>
    <w:link w:val="34"/>
    <w:semiHidden/>
    <w:unhideWhenUsed/>
    <w:qFormat/>
    <w:uiPriority w:val="99"/>
    <w:rPr>
      <w:sz w:val="18"/>
      <w:szCs w:val="18"/>
    </w:rPr>
  </w:style>
  <w:style w:type="paragraph" w:styleId="10">
    <w:name w:val="footer"/>
    <w:basedOn w:val="1"/>
    <w:link w:val="26"/>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4"/>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3">
    <w:name w:val="toc 2"/>
    <w:basedOn w:val="1"/>
    <w:next w:val="1"/>
    <w:unhideWhenUsed/>
    <w:qFormat/>
    <w:uiPriority w:val="39"/>
    <w:pPr>
      <w:tabs>
        <w:tab w:val="right" w:leader="dot" w:pos="8296"/>
      </w:tabs>
      <w:ind w:left="420" w:leftChars="200"/>
    </w:pPr>
  </w:style>
  <w:style w:type="paragraph" w:styleId="14">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6">
    <w:name w:val="Body Text First Indent"/>
    <w:basedOn w:val="2"/>
    <w:qFormat/>
    <w:uiPriority w:val="0"/>
    <w:pPr>
      <w:ind w:firstLine="420" w:firstLineChars="100"/>
    </w:pPr>
  </w:style>
  <w:style w:type="paragraph" w:styleId="17">
    <w:name w:val="Body Text First Indent 2"/>
    <w:basedOn w:val="6"/>
    <w:next w:val="16"/>
    <w:unhideWhenUsed/>
    <w:qFormat/>
    <w:uiPriority w:val="99"/>
    <w:pPr>
      <w:ind w:firstLine="420" w:firstLineChars="200"/>
    </w:pPr>
  </w:style>
  <w:style w:type="character" w:styleId="20">
    <w:name w:val="Strong"/>
    <w:basedOn w:val="19"/>
    <w:qFormat/>
    <w:uiPriority w:val="99"/>
    <w:rPr>
      <w:b/>
    </w:rPr>
  </w:style>
  <w:style w:type="character" w:styleId="21">
    <w:name w:val="Hyperlink"/>
    <w:basedOn w:val="19"/>
    <w:unhideWhenUsed/>
    <w:qFormat/>
    <w:uiPriority w:val="99"/>
    <w:rPr>
      <w:color w:val="0000FF" w:themeColor="hyperlink"/>
      <w:u w:val="single"/>
      <w14:textFill>
        <w14:solidFill>
          <w14:schemeClr w14:val="hlink"/>
        </w14:solidFill>
      </w14:textFill>
    </w:rPr>
  </w:style>
  <w:style w:type="paragraph" w:customStyle="1" w:styleId="22">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23">
    <w:name w:val="Header Char"/>
    <w:basedOn w:val="19"/>
    <w:semiHidden/>
    <w:qFormat/>
    <w:uiPriority w:val="99"/>
    <w:rPr>
      <w:rFonts w:ascii="Times New Roman" w:hAnsi="Times New Roman"/>
      <w:sz w:val="18"/>
      <w:szCs w:val="18"/>
    </w:rPr>
  </w:style>
  <w:style w:type="character" w:customStyle="1" w:styleId="24">
    <w:name w:val="页眉 字符"/>
    <w:link w:val="11"/>
    <w:semiHidden/>
    <w:qFormat/>
    <w:locked/>
    <w:uiPriority w:val="99"/>
    <w:rPr>
      <w:sz w:val="18"/>
    </w:rPr>
  </w:style>
  <w:style w:type="character" w:customStyle="1" w:styleId="25">
    <w:name w:val="Footer Char"/>
    <w:basedOn w:val="19"/>
    <w:semiHidden/>
    <w:qFormat/>
    <w:uiPriority w:val="99"/>
    <w:rPr>
      <w:rFonts w:ascii="Times New Roman" w:hAnsi="Times New Roman"/>
      <w:sz w:val="18"/>
      <w:szCs w:val="18"/>
    </w:rPr>
  </w:style>
  <w:style w:type="character" w:customStyle="1" w:styleId="26">
    <w:name w:val="页脚 字符"/>
    <w:link w:val="10"/>
    <w:qFormat/>
    <w:locked/>
    <w:uiPriority w:val="99"/>
    <w:rPr>
      <w:sz w:val="18"/>
    </w:rPr>
  </w:style>
  <w:style w:type="character" w:customStyle="1" w:styleId="27">
    <w:name w:val="Body Text Char"/>
    <w:basedOn w:val="19"/>
    <w:semiHidden/>
    <w:qFormat/>
    <w:uiPriority w:val="99"/>
    <w:rPr>
      <w:rFonts w:ascii="Times New Roman" w:hAnsi="Times New Roman"/>
      <w:szCs w:val="24"/>
    </w:rPr>
  </w:style>
  <w:style w:type="character" w:customStyle="1" w:styleId="28">
    <w:name w:val="正文文本 字符"/>
    <w:link w:val="2"/>
    <w:qFormat/>
    <w:locked/>
    <w:uiPriority w:val="99"/>
    <w:rPr>
      <w:rFonts w:ascii="仿宋_GB2312" w:hAnsi="Times New Roman" w:eastAsia="仿宋_GB2312"/>
      <w:sz w:val="24"/>
    </w:rPr>
  </w:style>
  <w:style w:type="paragraph" w:customStyle="1" w:styleId="29">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30">
    <w:name w:val="List Paragraph"/>
    <w:basedOn w:val="1"/>
    <w:qFormat/>
    <w:uiPriority w:val="34"/>
    <w:pPr>
      <w:ind w:firstLine="420" w:firstLineChars="200"/>
    </w:pPr>
  </w:style>
  <w:style w:type="character" w:customStyle="1" w:styleId="31">
    <w:name w:val="标题 1 字符"/>
    <w:basedOn w:val="19"/>
    <w:link w:val="3"/>
    <w:qFormat/>
    <w:uiPriority w:val="9"/>
    <w:rPr>
      <w:rFonts w:ascii="Times New Roman" w:hAnsi="Times New Roman"/>
      <w:b/>
      <w:bCs/>
      <w:kern w:val="44"/>
      <w:sz w:val="44"/>
      <w:szCs w:val="44"/>
    </w:rPr>
  </w:style>
  <w:style w:type="character" w:customStyle="1" w:styleId="32">
    <w:name w:val="标题 2 字符"/>
    <w:basedOn w:val="19"/>
    <w:link w:val="4"/>
    <w:qFormat/>
    <w:uiPriority w:val="9"/>
    <w:rPr>
      <w:rFonts w:asciiTheme="majorHAnsi" w:hAnsiTheme="majorHAnsi" w:eastAsiaTheme="majorEastAsia" w:cstheme="majorBidi"/>
      <w:b/>
      <w:bCs/>
      <w:kern w:val="2"/>
      <w:sz w:val="32"/>
      <w:szCs w:val="32"/>
    </w:rPr>
  </w:style>
  <w:style w:type="paragraph" w:customStyle="1" w:styleId="33">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4">
    <w:name w:val="批注框文本 字符"/>
    <w:basedOn w:val="19"/>
    <w:link w:val="9"/>
    <w:semiHidden/>
    <w:qFormat/>
    <w:uiPriority w:val="99"/>
    <w:rPr>
      <w:rFonts w:ascii="Times New Roman" w:hAnsi="Times New Roman"/>
      <w:kern w:val="2"/>
      <w:sz w:val="18"/>
      <w:szCs w:val="18"/>
    </w:rPr>
  </w:style>
  <w:style w:type="character" w:customStyle="1" w:styleId="35">
    <w:name w:val="标题 3 字符"/>
    <w:basedOn w:val="19"/>
    <w:link w:val="5"/>
    <w:qFormat/>
    <w:uiPriority w:val="9"/>
    <w:rPr>
      <w:rFonts w:ascii="Times New Roman" w:hAnsi="Times New Roman"/>
      <w:b/>
      <w:bCs/>
      <w:kern w:val="2"/>
      <w:sz w:val="32"/>
      <w:szCs w:val="32"/>
    </w:rPr>
  </w:style>
  <w:style w:type="paragraph" w:customStyle="1" w:styleId="36">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7">
    <w:name w:val="四号正文"/>
    <w:basedOn w:val="1"/>
    <w:qFormat/>
    <w:uiPriority w:val="0"/>
    <w:pPr>
      <w:spacing w:line="360" w:lineRule="auto"/>
    </w:pPr>
    <w:rPr>
      <w:rFonts w:ascii="??" w:hAnsi="??"/>
      <w:color w:val="000000"/>
      <w:kern w:val="0"/>
      <w:sz w:val="28"/>
      <w:szCs w:val="21"/>
      <w:lang w:val="zh-CN"/>
    </w:rPr>
  </w:style>
  <w:style w:type="character" w:customStyle="1" w:styleId="38">
    <w:name w:val="Heading 2 Char"/>
    <w:basedOn w:val="19"/>
    <w:link w:val="4"/>
    <w:qFormat/>
    <w:locked/>
    <w:uiPriority w:val="99"/>
    <w:rPr>
      <w:rFonts w:ascii="Cambria" w:hAnsi="Cambria" w:eastAsia="宋体" w:cs="Cambria"/>
      <w:b/>
      <w:bCs/>
      <w:kern w:val="2"/>
      <w:sz w:val="32"/>
      <w:szCs w:val="32"/>
    </w:rPr>
  </w:style>
  <w:style w:type="character" w:customStyle="1" w:styleId="39">
    <w:name w:val="标题 1 Char"/>
    <w:basedOn w:val="19"/>
    <w:link w:val="3"/>
    <w:qFormat/>
    <w:uiPriority w:val="9"/>
    <w:rPr>
      <w:rFonts w:ascii="Times New Roman" w:hAnsi="Times New Roman"/>
      <w:b/>
      <w:bCs/>
      <w:kern w:val="44"/>
      <w:sz w:val="44"/>
      <w:szCs w:val="44"/>
    </w:rPr>
  </w:style>
  <w:style w:type="character" w:customStyle="1" w:styleId="40">
    <w:name w:val="font41"/>
    <w:basedOn w:val="19"/>
    <w:qFormat/>
    <w:uiPriority w:val="0"/>
    <w:rPr>
      <w:rFonts w:hint="eastAsia" w:ascii="宋体" w:hAnsi="宋体" w:eastAsia="宋体" w:cs="宋体"/>
      <w:color w:val="000000"/>
      <w:sz w:val="20"/>
      <w:szCs w:val="20"/>
      <w:u w:val="none"/>
    </w:rPr>
  </w:style>
  <w:style w:type="paragraph" w:customStyle="1" w:styleId="41">
    <w:name w:val="Table Paragraph"/>
    <w:basedOn w:val="1"/>
    <w:qFormat/>
    <w:uiPriority w:val="1"/>
    <w:rPr>
      <w:rFonts w:ascii="仿宋" w:hAnsi="仿宋" w:eastAsia="仿宋" w:cs="仿宋"/>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hart" Target="charts/chart8.xml"/><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D:\&#26700;&#38754;\&#20915;&#31639;&#20844;&#24320;&#25554;&#22270;&#21046;&#20316;&#31034;&#20363;.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26700;&#38754;\&#20915;&#31639;&#20844;&#24320;&#25554;&#22270;&#21046;&#20316;&#31034;&#20363;.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26700;&#38754;\&#20915;&#31639;&#20844;&#24320;&#25554;&#22270;&#21046;&#20316;&#31034;&#2036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6700;&#38754;\&#20915;&#31639;&#20844;&#24320;&#25554;&#22270;&#21046;&#20316;&#31034;&#2036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6700;&#38754;\&#20915;&#31639;&#20844;&#24320;&#25554;&#22270;&#21046;&#20316;&#31034;&#2036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6700;&#38754;\&#20915;&#31639;&#20844;&#24320;&#25554;&#22270;&#21046;&#20316;&#31034;&#2036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6700;&#38754;\&#20915;&#31639;&#20844;&#24320;&#25554;&#22270;&#21046;&#20316;&#31034;&#2036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26700;&#38754;\&#20915;&#31639;&#20844;&#24320;&#25554;&#22270;&#21046;&#20316;&#31034;&#2036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c:spPr>
          <c:invertIfNegative val="0"/>
          <c:dPt>
            <c:idx val="1"/>
            <c:invertIfNegative val="0"/>
            <c:bubble3D val="0"/>
            <c:spPr>
              <a:solidFill>
                <a:srgbClr val="FFC000"/>
              </a:solidFill>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[决算公开插图制作示例.xlsx]图一!$A$1:$B$1</c:f>
              <c:strCache>
                <c:ptCount val="2"/>
                <c:pt idx="0">
                  <c:v>2021年</c:v>
                </c:pt>
                <c:pt idx="1">
                  <c:v>2022年</c:v>
                </c:pt>
              </c:strCache>
            </c:strRef>
          </c:cat>
          <c:val>
            <c:numRef>
              <c:f>[决算公开插图制作示例.xlsx]图一!$A$2:$B$2</c:f>
              <c:numCache>
                <c:formatCode>General</c:formatCode>
                <c:ptCount val="2"/>
                <c:pt idx="0">
                  <c:v>5399.61</c:v>
                </c:pt>
                <c:pt idx="1">
                  <c:v>5365.87</c:v>
                </c:pt>
              </c:numCache>
            </c:numRef>
          </c:val>
        </c:ser>
        <c:dLbls>
          <c:showLegendKey val="0"/>
          <c:showVal val="1"/>
          <c:showCatName val="0"/>
          <c:showSerName val="0"/>
          <c:showPercent val="0"/>
          <c:showBubbleSize val="0"/>
        </c:dLbls>
        <c:gapWidth val="150"/>
        <c:axId val="132649344"/>
        <c:axId val="132650880"/>
      </c:barChart>
      <c:catAx>
        <c:axId val="132649344"/>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2650880"/>
        <c:crosses val="autoZero"/>
        <c:auto val="1"/>
        <c:lblAlgn val="ctr"/>
        <c:lblOffset val="100"/>
        <c:noMultiLvlLbl val="0"/>
      </c:catAx>
      <c:valAx>
        <c:axId val="13265088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2649344"/>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[决算公开插图制作示例.xlsx]图一!$O$2</c:f>
              <c:strCache>
                <c:ptCount val="1"/>
                <c:pt idx="0">
                  <c:v>收入</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[决算公开插图制作示例.xlsx]图一!$P$1:$Q$1</c:f>
              <c:numCache>
                <c:formatCode>General</c:formatCode>
                <c:ptCount val="2"/>
                <c:pt idx="0">
                  <c:v>2021</c:v>
                </c:pt>
                <c:pt idx="1">
                  <c:v>2022</c:v>
                </c:pt>
              </c:numCache>
            </c:numRef>
          </c:cat>
          <c:val>
            <c:numRef>
              <c:f>[决算公开插图制作示例.xlsx]图一!$P$2:$Q$2</c:f>
              <c:numCache>
                <c:formatCode>General</c:formatCode>
                <c:ptCount val="2"/>
                <c:pt idx="0">
                  <c:v>5399.61</c:v>
                </c:pt>
                <c:pt idx="1">
                  <c:v>5365.87</c:v>
                </c:pt>
              </c:numCache>
            </c:numRef>
          </c:val>
        </c:ser>
        <c:ser>
          <c:idx val="1"/>
          <c:order val="1"/>
          <c:tx>
            <c:strRef>
              <c:f>[决算公开插图制作示例.xlsx]图一!$O$3</c:f>
              <c:strCache>
                <c:ptCount val="1"/>
                <c:pt idx="0">
                  <c:v>支出</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[决算公开插图制作示例.xlsx]图一!$P$1:$Q$1</c:f>
              <c:numCache>
                <c:formatCode>General</c:formatCode>
                <c:ptCount val="2"/>
                <c:pt idx="0">
                  <c:v>2021</c:v>
                </c:pt>
                <c:pt idx="1">
                  <c:v>2022</c:v>
                </c:pt>
              </c:numCache>
            </c:numRef>
          </c:cat>
          <c:val>
            <c:numRef>
              <c:f>[决算公开插图制作示例.xlsx]图一!$P$3:$Q$3</c:f>
              <c:numCache>
                <c:formatCode>General</c:formatCode>
                <c:ptCount val="2"/>
                <c:pt idx="0">
                  <c:v>5439.61</c:v>
                </c:pt>
                <c:pt idx="1">
                  <c:v>5365.87</c:v>
                </c:pt>
              </c:numCache>
            </c:numRef>
          </c:val>
        </c:ser>
        <c:dLbls>
          <c:showLegendKey val="0"/>
          <c:showVal val="1"/>
          <c:showCatName val="0"/>
          <c:showSerName val="0"/>
          <c:showPercent val="0"/>
          <c:showBubbleSize val="0"/>
        </c:dLbls>
        <c:gapWidth val="246"/>
        <c:overlap val="-28"/>
        <c:axId val="54766378"/>
        <c:axId val="832253651"/>
      </c:barChart>
      <c:catAx>
        <c:axId val="5476637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32253651"/>
        <c:crosses val="autoZero"/>
        <c:auto val="1"/>
        <c:lblAlgn val="ctr"/>
        <c:lblOffset val="100"/>
        <c:noMultiLvlLbl val="0"/>
      </c:catAx>
      <c:valAx>
        <c:axId val="832253651"/>
        <c:scaling>
          <c:orientation val="minMax"/>
        </c:scaling>
        <c:delete val="0"/>
        <c:axPos val="l"/>
        <c:majorGridlines>
          <c:spPr>
            <a:ln w="9525" cap="flat" cmpd="sng" algn="ctr">
              <a:solidFill>
                <a:schemeClr val="bg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76637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2:</a:t>
            </a:r>
            <a:r>
              <a:rPr altLang="en-US"/>
              <a:t>收入决算结构图</a:t>
            </a:r>
            <a:endParaRPr altLang="en-US"/>
          </a:p>
        </c:rich>
      </c:tx>
      <c:layout/>
      <c:overlay val="0"/>
      <c:spPr>
        <a:noFill/>
        <a:ln>
          <a:noFill/>
        </a:ln>
        <a:effectLst/>
      </c:spPr>
    </c:title>
    <c:autoTitleDeleted val="0"/>
    <c:plotArea>
      <c:layout>
        <c:manualLayout>
          <c:layoutTarget val="inner"/>
          <c:xMode val="edge"/>
          <c:yMode val="edge"/>
          <c:x val="0.342013888888889"/>
          <c:y val="0.176388888888889"/>
          <c:w val="0.324305555555556"/>
          <c:h val="0.540509259259259"/>
        </c:manualLayout>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elete val="1"/>
          </c:dLbls>
          <c:cat>
            <c:strRef>
              <c:f>[决算公开插图制作示例.xlsx]图二!$A$1:$A$2</c:f>
              <c:strCache>
                <c:ptCount val="2"/>
                <c:pt idx="0">
                  <c:v>一般公共预算财政拨款收入</c:v>
                </c:pt>
                <c:pt idx="1">
                  <c:v>政府性基金预算财政拨款收入</c:v>
                </c:pt>
              </c:strCache>
            </c:strRef>
          </c:cat>
          <c:val>
            <c:numRef>
              <c:f>[决算公开插图制作示例.xlsx]图二!$B$1:$B$2</c:f>
              <c:numCache>
                <c:formatCode>General</c:formatCode>
                <c:ptCount val="2"/>
                <c:pt idx="0">
                  <c:v>5334.83</c:v>
                </c:pt>
                <c:pt idx="1">
                  <c:v>31.04</c:v>
                </c:pt>
              </c:numCache>
            </c:numRef>
          </c:val>
        </c:ser>
        <c:ser>
          <c:idx val="1"/>
          <c:order val="1"/>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1"/>
              <c:layout>
                <c:manualLayout>
                  <c:x val="0.0321654287916653"/>
                  <c:y val="-0.149790274585539"/>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[决算公开插图制作示例.xlsx]图二!$A$1:$A$2</c:f>
              <c:strCache>
                <c:ptCount val="2"/>
                <c:pt idx="0">
                  <c:v>一般公共预算财政拨款收入</c:v>
                </c:pt>
                <c:pt idx="1">
                  <c:v>政府性基金预算财政拨款收入</c:v>
                </c:pt>
              </c:strCache>
            </c:strRef>
          </c:cat>
          <c:val>
            <c:numRef>
              <c:f>[决算公开插图制作示例.xlsx]图二!$C$1:$C$2</c:f>
              <c:numCache>
                <c:formatCode>General</c:formatCode>
                <c:ptCount val="2"/>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224846894138"/>
          <c:y val="0.150462962962963"/>
          <c:w val="0.566371172353456"/>
          <c:h val="0.689814814814815"/>
        </c:manualLayout>
      </c:layout>
      <c:pieChart>
        <c:varyColors val="1"/>
        <c:ser>
          <c:idx val="0"/>
          <c:order val="0"/>
          <c:explosion val="0"/>
          <c:dPt>
            <c:idx val="0"/>
            <c:bubble3D val="0"/>
          </c:dPt>
          <c:dPt>
            <c:idx val="1"/>
            <c:bubble3D val="0"/>
          </c:dPt>
          <c:dLbls>
            <c:dLbl>
              <c:idx val="0"/>
              <c:layout>
                <c:manualLayout>
                  <c:x val="0.0848707349081365"/>
                  <c:y val="-0.17157334499854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86458880139982"/>
                  <c:y val="0.140147273257509"/>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[决算公开插图制作示例.xlsx]图三!$A$2:$B$2</c:f>
              <c:strCache>
                <c:ptCount val="2"/>
                <c:pt idx="0">
                  <c:v>基本支出</c:v>
                </c:pt>
                <c:pt idx="1">
                  <c:v>项目支出</c:v>
                </c:pt>
              </c:strCache>
            </c:strRef>
          </c:cat>
          <c:val>
            <c:numRef>
              <c:f>[决算公开插图制作示例.xlsx]图三!$A$3:$B$3</c:f>
              <c:numCache>
                <c:formatCode>General</c:formatCode>
                <c:ptCount val="2"/>
                <c:pt idx="0">
                  <c:v>3294.54</c:v>
                </c:pt>
                <c:pt idx="1">
                  <c:v>2071.32</c:v>
                </c:pt>
              </c:numCache>
            </c:numRef>
          </c:val>
        </c:ser>
        <c:dLbls>
          <c:showLegendKey val="0"/>
          <c:showVal val="1"/>
          <c:showCatName val="0"/>
          <c:showSerName val="0"/>
          <c:showPercent val="0"/>
          <c:showBubbleSize val="0"/>
          <c:showLeaderLines val="1"/>
        </c:dLbls>
        <c:firstSliceAng val="15"/>
      </c:pieChart>
      <c:spPr>
        <a:noFill/>
        <a:ln>
          <a:noFill/>
        </a:ln>
        <a:effectLst/>
      </c:spPr>
    </c:plotArea>
    <c:legend>
      <c:legendPos val="r"/>
      <c:layout>
        <c:manualLayout>
          <c:xMode val="edge"/>
          <c:yMode val="edge"/>
          <c:x val="0.777043088363955"/>
          <c:y val="0.434801326917469"/>
          <c:w val="0.186845800524934"/>
          <c:h val="0.1674343832021"/>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668853893263"/>
          <c:y val="0.0514005540974045"/>
          <c:w val="0.587929790026247"/>
          <c:h val="0.824965368912219"/>
        </c:manualLayout>
      </c:layout>
      <c:barChart>
        <c:barDir val="col"/>
        <c:grouping val="clustered"/>
        <c:varyColors val="0"/>
        <c:ser>
          <c:idx val="0"/>
          <c:order val="0"/>
          <c:invertIfNegative val="0"/>
          <c:dPt>
            <c:idx val="1"/>
            <c:invertIfNegative val="0"/>
            <c:bubble3D val="0"/>
            <c:spPr>
              <a:solidFill>
                <a:srgbClr val="C00000"/>
              </a:solidFill>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'[决算公开插图制作示例.xlsx]图4 '!$A$1:$B$1</c:f>
              <c:strCache>
                <c:ptCount val="2"/>
                <c:pt idx="0">
                  <c:v>2021年</c:v>
                </c:pt>
                <c:pt idx="1">
                  <c:v>2022年</c:v>
                </c:pt>
              </c:strCache>
            </c:strRef>
          </c:cat>
          <c:val>
            <c:numRef>
              <c:f>'[决算公开插图制作示例.xlsx]图4 '!$A$2:$B$2</c:f>
              <c:numCache>
                <c:formatCode>General</c:formatCode>
                <c:ptCount val="2"/>
                <c:pt idx="0">
                  <c:v>5399.61</c:v>
                </c:pt>
                <c:pt idx="1">
                  <c:v>5365.87</c:v>
                </c:pt>
              </c:numCache>
            </c:numRef>
          </c:val>
        </c:ser>
        <c:dLbls>
          <c:showLegendKey val="0"/>
          <c:showVal val="1"/>
          <c:showCatName val="0"/>
          <c:showSerName val="0"/>
          <c:showPercent val="0"/>
          <c:showBubbleSize val="0"/>
        </c:dLbls>
        <c:gapWidth val="150"/>
        <c:axId val="133066112"/>
        <c:axId val="133084288"/>
      </c:barChart>
      <c:catAx>
        <c:axId val="133066112"/>
        <c:scaling>
          <c:orientation val="minMax"/>
        </c:scaling>
        <c:delete val="0"/>
        <c:axPos val="b"/>
        <c:majorTickMark val="out"/>
        <c:minorTickMark val="none"/>
        <c:tickLblPos val="nextTo"/>
        <c:txPr>
          <a:bodyPr rot="-60000000" spcFirstLastPara="0" vertOverflow="ellipsis" vert="horz" wrap="square" anchor="ctr" anchorCtr="1"/>
          <a:lstStyle/>
          <a:p>
            <a:pPr>
              <a:defRPr lang="zh-CN" sz="600" b="0" i="0" u="none" strike="noStrike" kern="1200" baseline="0">
                <a:solidFill>
                  <a:schemeClr val="tx1"/>
                </a:solidFill>
                <a:latin typeface="+mn-lt"/>
                <a:ea typeface="+mn-ea"/>
                <a:cs typeface="+mn-cs"/>
              </a:defRPr>
            </a:pPr>
          </a:p>
        </c:txPr>
        <c:crossAx val="133084288"/>
        <c:crosses val="autoZero"/>
        <c:auto val="1"/>
        <c:lblAlgn val="ctr"/>
        <c:lblOffset val="100"/>
        <c:noMultiLvlLbl val="0"/>
      </c:catAx>
      <c:valAx>
        <c:axId val="13308428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3066112"/>
        <c:crosses val="autoZero"/>
        <c:crossBetween val="between"/>
      </c:valAx>
    </c:plotArea>
    <c:legend>
      <c:legendPos val="r"/>
      <c:layout>
        <c:manualLayout>
          <c:xMode val="edge"/>
          <c:yMode val="edge"/>
          <c:x val="0.763154199475066"/>
          <c:y val="0.360343394575678"/>
          <c:w val="0.220179133858268"/>
          <c:h val="0.279313210848644"/>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571741032371"/>
          <c:y val="0.168676727909011"/>
          <c:w val="0.606249125109361"/>
          <c:h val="0.679911417322835"/>
        </c:manualLayout>
      </c:layout>
      <c:barChart>
        <c:barDir val="col"/>
        <c:grouping val="clustered"/>
        <c:varyColors val="0"/>
        <c:ser>
          <c:idx val="0"/>
          <c:order val="0"/>
          <c:invertIfNegative val="0"/>
          <c:dPt>
            <c:idx val="1"/>
            <c:invertIfNegative val="0"/>
            <c:bubble3D val="0"/>
            <c:spPr>
              <a:solidFill>
                <a:srgbClr val="FF0000"/>
              </a:solidFill>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[决算公开插图制作示例.xlsx]图5!$A$1:$B$1</c:f>
              <c:strCache>
                <c:ptCount val="2"/>
                <c:pt idx="0">
                  <c:v>2021年</c:v>
                </c:pt>
                <c:pt idx="1">
                  <c:v>2022年</c:v>
                </c:pt>
              </c:strCache>
            </c:strRef>
          </c:cat>
          <c:val>
            <c:numRef>
              <c:f>[决算公开插图制作示例.xlsx]图5!$A$2:$B$2</c:f>
              <c:numCache>
                <c:formatCode>General</c:formatCode>
                <c:ptCount val="2"/>
                <c:pt idx="0">
                  <c:v>4785.58</c:v>
                </c:pt>
                <c:pt idx="1">
                  <c:v>5334.83</c:v>
                </c:pt>
              </c:numCache>
            </c:numRef>
          </c:val>
        </c:ser>
        <c:dLbls>
          <c:showLegendKey val="0"/>
          <c:showVal val="1"/>
          <c:showCatName val="0"/>
          <c:showSerName val="0"/>
          <c:showPercent val="0"/>
          <c:showBubbleSize val="0"/>
        </c:dLbls>
        <c:gapWidth val="150"/>
        <c:axId val="133142016"/>
        <c:axId val="133143552"/>
      </c:barChart>
      <c:catAx>
        <c:axId val="133142016"/>
        <c:scaling>
          <c:orientation val="minMax"/>
        </c:scaling>
        <c:delete val="0"/>
        <c:axPos val="b"/>
        <c:majorTickMark val="out"/>
        <c:minorTickMark val="none"/>
        <c:tickLblPos val="nextTo"/>
        <c:txPr>
          <a:bodyPr rot="-60000000" spcFirstLastPara="0" vertOverflow="ellipsis" vert="horz" wrap="square" anchor="ctr" anchorCtr="1"/>
          <a:lstStyle/>
          <a:p>
            <a:pPr>
              <a:defRPr lang="zh-CN" sz="600" b="0" i="0" u="none" strike="noStrike" kern="1200" baseline="0">
                <a:solidFill>
                  <a:schemeClr val="tx1"/>
                </a:solidFill>
                <a:latin typeface="+mn-lt"/>
                <a:ea typeface="+mn-ea"/>
                <a:cs typeface="+mn-cs"/>
              </a:defRPr>
            </a:pPr>
          </a:p>
        </c:txPr>
        <c:crossAx val="133143552"/>
        <c:crosses val="autoZero"/>
        <c:auto val="1"/>
        <c:lblAlgn val="ctr"/>
        <c:lblOffset val="100"/>
        <c:noMultiLvlLbl val="0"/>
      </c:catAx>
      <c:valAx>
        <c:axId val="13314355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3142016"/>
        <c:crosses val="autoZero"/>
        <c:crossBetween val="between"/>
      </c:valAx>
    </c:plotArea>
    <c:legend>
      <c:legendPos val="tr"/>
      <c:layout>
        <c:manualLayout>
          <c:xMode val="edge"/>
          <c:yMode val="edge"/>
          <c:x val="0.765931977252843"/>
          <c:y val="0.236111111111111"/>
          <c:w val="0.211845800524934"/>
          <c:h val="0.45523913677457"/>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spPr>
              <a:solidFill>
                <a:schemeClr val="tx2">
                  <a:lumMod val="40000"/>
                  <a:lumOff val="60000"/>
                </a:schemeClr>
              </a:solidFill>
            </c:spPr>
          </c:dPt>
          <c:dPt>
            <c:idx val="1"/>
            <c:bubble3D val="0"/>
          </c:dPt>
          <c:dPt>
            <c:idx val="2"/>
            <c:bubble3D val="0"/>
          </c:dPt>
          <c:dPt>
            <c:idx val="3"/>
            <c:bubble3D val="0"/>
          </c:dPt>
          <c:dLbls>
            <c:dLbl>
              <c:idx val="0"/>
              <c:layout>
                <c:manualLayout>
                  <c:x val="0.0483216316710411"/>
                  <c:y val="0.097738043161271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46208442694663"/>
                  <c:y val="-0.035963108778069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00951443569554"/>
                  <c:y val="-0.13227836103820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66543197725284"/>
                  <c:y val="-0.108673447069116"/>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[决算公开插图制作示例.xlsx]图6!$A$2:$A$5</c:f>
              <c:strCache>
                <c:ptCount val="4"/>
                <c:pt idx="0">
                  <c:v>一般公共服务（类）</c:v>
                </c:pt>
                <c:pt idx="1">
                  <c:v>国防（类）</c:v>
                </c:pt>
                <c:pt idx="2">
                  <c:v>文化体育与传媒（类）</c:v>
                </c:pt>
                <c:pt idx="3">
                  <c:v>社会保障和就业（类）</c:v>
                </c:pt>
              </c:strCache>
            </c:strRef>
          </c:cat>
          <c:val>
            <c:numRef>
              <c:f>[决算公开插图制作示例.xlsx]图6!$B$2:$B$5</c:f>
              <c:numCache>
                <c:formatCode>General</c:formatCode>
                <c:ptCount val="4"/>
                <c:pt idx="0">
                  <c:v>1344.3</c:v>
                </c:pt>
                <c:pt idx="1">
                  <c:v>0.5</c:v>
                </c:pt>
                <c:pt idx="2">
                  <c:v>101.13</c:v>
                </c:pt>
                <c:pt idx="3">
                  <c:v>886.18</c:v>
                </c:pt>
              </c:numCache>
            </c:numRef>
          </c:val>
        </c:ser>
        <c:dLbls>
          <c:showLegendKey val="0"/>
          <c:showVal val="1"/>
          <c:showCatName val="0"/>
          <c:showSerName val="0"/>
          <c:showPercent val="0"/>
          <c:showBubbleSize val="0"/>
          <c:showLeaderLines val="1"/>
        </c:dLbls>
        <c:firstSliceAng val="15"/>
      </c:pieChart>
      <c:spPr>
        <a:no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dPt>
          <c:dPt>
            <c:idx val="1"/>
            <c:bubble3D val="0"/>
          </c:dPt>
          <c:dPt>
            <c:idx val="2"/>
            <c:bubble3D val="0"/>
          </c:dPt>
          <c:dLbls>
            <c:dLbl>
              <c:idx val="0"/>
              <c:layout>
                <c:manualLayout>
                  <c:x val="-0.0677309711286089"/>
                  <c:y val="-0.062589676290463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12130139982502"/>
                  <c:y val="-0.049858194808982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79491251093613"/>
                  <c:y val="0.054969743365412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[决算公开插图制作示例.xlsx]图7!$A$2:$A$4</c:f>
              <c:strCache>
                <c:ptCount val="3"/>
                <c:pt idx="0">
                  <c:v>因公出国（境）费支出</c:v>
                </c:pt>
                <c:pt idx="1">
                  <c:v>公务用车购置及运行维护费支出</c:v>
                </c:pt>
                <c:pt idx="2">
                  <c:v>公务接待费支出</c:v>
                </c:pt>
              </c:strCache>
            </c:strRef>
          </c:cat>
          <c:val>
            <c:numRef>
              <c:f>[决算公开插图制作示例.xlsx]图7!$B$2:$B$4</c:f>
              <c:numCache>
                <c:formatCode>General</c:formatCode>
                <c:ptCount val="3"/>
                <c:pt idx="0">
                  <c:v>0</c:v>
                </c:pt>
                <c:pt idx="1">
                  <c:v>6.03</c:v>
                </c:pt>
                <c:pt idx="2">
                  <c:v>16.8</c:v>
                </c:pt>
              </c:numCache>
            </c:numRef>
          </c:val>
        </c:ser>
        <c:dLbls>
          <c:showLegendKey val="0"/>
          <c:showVal val="1"/>
          <c:showCatName val="0"/>
          <c:showSerName val="0"/>
          <c:showPercent val="0"/>
          <c:showBubbleSize val="0"/>
          <c:showLeaderLines val="1"/>
        </c:dLbls>
        <c:firstSliceAng val="15"/>
      </c:pieChart>
      <c:spPr>
        <a:noFill/>
        <a:ln>
          <a:noFill/>
        </a:ln>
        <a:effectLst/>
      </c:spPr>
    </c:plotArea>
    <c:legend>
      <c:legendPos val="r"/>
      <c:layout>
        <c:manualLayout>
          <c:xMode val="edge"/>
          <c:yMode val="edge"/>
          <c:x val="0.664920094314907"/>
          <c:y val="0.341517389739563"/>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四川省财政厅</Company>
  <Pages>22</Pages>
  <Words>1230</Words>
  <Characters>7012</Characters>
  <Lines>58</Lines>
  <Paragraphs>16</Paragraphs>
  <TotalTime>6</TotalTime>
  <ScaleCrop>false</ScaleCrop>
  <LinksUpToDate>false</LinksUpToDate>
  <CharactersWithSpaces>8226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罗汉</cp:lastModifiedBy>
  <cp:lastPrinted>2023-07-31T02:35:00Z</cp:lastPrinted>
  <dcterms:modified xsi:type="dcterms:W3CDTF">2023-12-08T02:19:16Z</dcterms:modified>
  <dc:title>四川省***</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926A6A1D1E6F4DF58F4E4EF83C6E484F_13</vt:lpwstr>
  </property>
</Properties>
</file>