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仿宋" w:hAnsi="仿宋" w:eastAsia="仿宋"/>
          <w:kern w:val="44"/>
          <w:sz w:val="24"/>
          <w:szCs w:val="24"/>
        </w:rPr>
      </w:pPr>
      <w:bookmarkStart w:id="0" w:name="_Toc15396599"/>
      <w:bookmarkStart w:id="1" w:name="_Toc15377196"/>
    </w:p>
    <w:p>
      <w:pPr>
        <w:widowControl/>
        <w:rPr>
          <w:rFonts w:ascii="黑体" w:hAnsi="黑体" w:eastAsia="黑体" w:cs="黑体"/>
          <w:color w:val="000000"/>
          <w:sz w:val="84"/>
          <w:szCs w:val="84"/>
        </w:rPr>
      </w:pPr>
    </w:p>
    <w:p>
      <w:pPr>
        <w:widowControl/>
        <w:jc w:val="center"/>
        <w:rPr>
          <w:rFonts w:ascii="黑体" w:hAnsi="黑体" w:eastAsia="黑体" w:cs="黑体"/>
          <w:color w:val="000000"/>
          <w:sz w:val="84"/>
          <w:szCs w:val="84"/>
        </w:rPr>
      </w:pPr>
      <w:bookmarkStart w:id="2" w:name="_Toc15396597"/>
      <w:bookmarkStart w:id="3" w:name="_Toc15378441"/>
      <w:bookmarkStart w:id="4" w:name="_Toc15396475"/>
      <w:bookmarkStart w:id="5" w:name="_Toc15377425"/>
      <w:bookmarkStart w:id="6" w:name="_Toc15377193"/>
      <w:r>
        <w:rPr>
          <w:rFonts w:hint="eastAsia" w:ascii="黑体" w:hAnsi="黑体" w:eastAsia="黑体" w:cs="黑体"/>
          <w:color w:val="000000"/>
          <w:sz w:val="84"/>
          <w:szCs w:val="84"/>
        </w:rPr>
        <w:t>2022年度</w:t>
      </w:r>
      <w:bookmarkEnd w:id="2"/>
      <w:bookmarkEnd w:id="3"/>
      <w:bookmarkEnd w:id="4"/>
      <w:bookmarkEnd w:id="5"/>
      <w:bookmarkEnd w:id="6"/>
    </w:p>
    <w:p>
      <w:pPr>
        <w:widowControl/>
        <w:jc w:val="center"/>
        <w:rPr>
          <w:rFonts w:ascii="黑体" w:hAnsi="黑体" w:eastAsia="黑体" w:cs="黑体"/>
          <w:color w:val="000000"/>
          <w:sz w:val="84"/>
          <w:szCs w:val="84"/>
        </w:rPr>
      </w:pPr>
      <w:r>
        <w:rPr>
          <w:rFonts w:hint="eastAsia" w:ascii="黑体" w:hAnsi="黑体" w:eastAsia="黑体" w:cs="黑体"/>
          <w:color w:val="000000"/>
          <w:sz w:val="84"/>
          <w:szCs w:val="84"/>
        </w:rPr>
        <w:t>剑阁县柳沟镇部门决算编制说明</w:t>
      </w:r>
    </w:p>
    <w:p>
      <w:pPr>
        <w:widowControl/>
        <w:jc w:val="center"/>
        <w:rPr>
          <w:rFonts w:ascii="黑体" w:hAnsi="黑体" w:eastAsia="黑体"/>
          <w:sz w:val="84"/>
          <w:szCs w:val="84"/>
        </w:rPr>
      </w:pPr>
    </w:p>
    <w:p>
      <w:pPr>
        <w:widowControl/>
        <w:jc w:val="center"/>
        <w:rPr>
          <w:rFonts w:ascii="黑体" w:hAnsi="黑体" w:eastAsia="黑体"/>
          <w:sz w:val="48"/>
          <w:szCs w:val="48"/>
        </w:rPr>
      </w:pPr>
    </w:p>
    <w:p>
      <w:pPr>
        <w:pStyle w:val="2"/>
        <w:spacing w:before="72"/>
        <w:rPr>
          <w:rFonts w:ascii="黑体" w:hAnsi="黑体" w:eastAsia="黑体"/>
          <w:sz w:val="48"/>
          <w:szCs w:val="48"/>
        </w:rPr>
      </w:pPr>
    </w:p>
    <w:p>
      <w:pPr>
        <w:pStyle w:val="2"/>
        <w:spacing w:before="72"/>
        <w:rPr>
          <w:rFonts w:ascii="黑体" w:hAnsi="黑体" w:eastAsia="黑体"/>
          <w:sz w:val="48"/>
          <w:szCs w:val="48"/>
        </w:rPr>
      </w:pPr>
    </w:p>
    <w:p>
      <w:pPr>
        <w:pStyle w:val="2"/>
        <w:spacing w:before="72"/>
        <w:rPr>
          <w:rFonts w:ascii="黑体" w:hAnsi="黑体" w:eastAsia="黑体"/>
          <w:sz w:val="48"/>
          <w:szCs w:val="48"/>
        </w:rPr>
      </w:pPr>
    </w:p>
    <w:p>
      <w:pPr>
        <w:pStyle w:val="2"/>
        <w:spacing w:before="72"/>
        <w:rPr>
          <w:rFonts w:ascii="黑体" w:hAnsi="黑体" w:eastAsia="黑体"/>
          <w:sz w:val="48"/>
          <w:szCs w:val="48"/>
        </w:rPr>
      </w:pPr>
    </w:p>
    <w:p>
      <w:pPr>
        <w:widowControl/>
        <w:jc w:val="center"/>
        <w:rPr>
          <w:rFonts w:ascii="黑体" w:hAnsi="黑体" w:eastAsia="黑体"/>
          <w:sz w:val="48"/>
          <w:szCs w:val="48"/>
        </w:rPr>
      </w:pPr>
    </w:p>
    <w:p>
      <w:pPr>
        <w:widowControl/>
        <w:jc w:val="center"/>
        <w:rPr>
          <w:rFonts w:ascii="黑体" w:hAnsi="黑体" w:eastAsia="黑体"/>
          <w:sz w:val="48"/>
          <w:szCs w:val="48"/>
        </w:rPr>
      </w:pPr>
    </w:p>
    <w:p>
      <w:pPr>
        <w:widowControl/>
        <w:jc w:val="center"/>
        <w:rPr>
          <w:rFonts w:ascii="黑体" w:hAnsi="黑体" w:eastAsia="黑体"/>
          <w:sz w:val="48"/>
          <w:szCs w:val="48"/>
        </w:rPr>
      </w:pPr>
    </w:p>
    <w:p>
      <w:pPr>
        <w:widowControl/>
        <w:rPr>
          <w:rFonts w:ascii="黑体" w:hAnsi="黑体" w:eastAsia="黑体"/>
          <w:sz w:val="48"/>
          <w:szCs w:val="48"/>
        </w:rPr>
      </w:pPr>
    </w:p>
    <w:p>
      <w:pPr>
        <w:pStyle w:val="2"/>
        <w:spacing w:before="72"/>
        <w:rPr>
          <w:rFonts w:ascii="黑体" w:hAnsi="黑体" w:eastAsia="黑体"/>
          <w:sz w:val="48"/>
          <w:szCs w:val="48"/>
        </w:rPr>
      </w:pPr>
    </w:p>
    <w:p>
      <w:pPr>
        <w:pStyle w:val="2"/>
        <w:spacing w:before="72"/>
        <w:rPr>
          <w:rFonts w:ascii="黑体" w:hAnsi="黑体" w:eastAsia="黑体"/>
          <w:sz w:val="48"/>
          <w:szCs w:val="48"/>
        </w:rPr>
      </w:pPr>
    </w:p>
    <w:p>
      <w:pPr>
        <w:widowControl/>
        <w:jc w:val="center"/>
        <w:rPr>
          <w:rFonts w:ascii="黑体" w:hAnsi="黑体" w:eastAsia="黑体"/>
          <w:sz w:val="48"/>
          <w:szCs w:val="48"/>
        </w:rPr>
      </w:pPr>
    </w:p>
    <w:p>
      <w:pPr>
        <w:widowControl/>
        <w:jc w:val="center"/>
        <w:rPr>
          <w:rFonts w:ascii="黑体" w:hAnsi="黑体" w:eastAsia="黑体"/>
          <w:sz w:val="48"/>
          <w:szCs w:val="48"/>
        </w:rPr>
      </w:pPr>
      <w:r>
        <w:rPr>
          <w:rFonts w:hint="eastAsia" w:ascii="黑体" w:hAnsi="黑体" w:eastAsia="黑体"/>
          <w:sz w:val="48"/>
          <w:szCs w:val="48"/>
        </w:rPr>
        <w:t>目录</w:t>
      </w:r>
    </w:p>
    <w:p>
      <w:pPr>
        <w:widowControl/>
        <w:jc w:val="center"/>
        <w:rPr>
          <w:rFonts w:ascii="黑体" w:hAnsi="黑体" w:eastAsia="黑体" w:cstheme="minorBidi"/>
          <w:sz w:val="28"/>
          <w:szCs w:val="28"/>
        </w:rPr>
      </w:pPr>
    </w:p>
    <w:p/>
    <w:p>
      <w:pPr>
        <w:pStyle w:val="11"/>
        <w:adjustRightInd w:val="0"/>
        <w:snapToGrid w:val="0"/>
        <w:spacing w:before="0" w:line="440" w:lineRule="exact"/>
        <w:jc w:val="left"/>
        <w:rPr>
          <w:b/>
          <w:bCs/>
          <w:sz w:val="24"/>
          <w:szCs w:val="24"/>
        </w:rPr>
      </w:pPr>
      <w:r>
        <w:rPr>
          <w:rFonts w:hint="eastAsia"/>
          <w:b/>
          <w:bCs/>
          <w:sz w:val="24"/>
          <w:szCs w:val="24"/>
        </w:rPr>
        <w:t>第一部分 部门单位概况</w:t>
      </w:r>
    </w:p>
    <w:p>
      <w:pPr>
        <w:pStyle w:val="12"/>
        <w:adjustRightInd w:val="0"/>
        <w:snapToGrid w:val="0"/>
        <w:spacing w:line="440" w:lineRule="exact"/>
        <w:jc w:val="left"/>
        <w:rPr>
          <w:rFonts w:ascii="仿宋" w:hAnsi="仿宋" w:eastAsia="仿宋" w:cs="仿宋"/>
          <w:sz w:val="24"/>
          <w:szCs w:val="24"/>
        </w:rPr>
      </w:pPr>
      <w:r>
        <w:rPr>
          <w:rFonts w:hint="eastAsia" w:ascii="仿宋" w:hAnsi="仿宋" w:eastAsia="仿宋" w:cs="仿宋"/>
          <w:sz w:val="24"/>
          <w:szCs w:val="24"/>
        </w:rPr>
        <w:t>一、基本职能及主要工作</w:t>
      </w:r>
    </w:p>
    <w:p>
      <w:pPr>
        <w:pStyle w:val="12"/>
        <w:adjustRightInd w:val="0"/>
        <w:snapToGrid w:val="0"/>
        <w:spacing w:line="440" w:lineRule="exact"/>
        <w:jc w:val="left"/>
        <w:rPr>
          <w:rFonts w:ascii="仿宋" w:hAnsi="仿宋" w:eastAsia="仿宋" w:cs="仿宋"/>
          <w:sz w:val="24"/>
          <w:szCs w:val="24"/>
        </w:rPr>
      </w:pPr>
      <w:r>
        <w:rPr>
          <w:rFonts w:hint="eastAsia" w:ascii="仿宋" w:hAnsi="仿宋" w:eastAsia="仿宋" w:cs="仿宋"/>
          <w:sz w:val="24"/>
          <w:szCs w:val="24"/>
        </w:rPr>
        <w:t>二、机构设置</w:t>
      </w:r>
    </w:p>
    <w:p>
      <w:pPr>
        <w:pStyle w:val="11"/>
        <w:adjustRightInd w:val="0"/>
        <w:snapToGrid w:val="0"/>
        <w:spacing w:before="0" w:line="440" w:lineRule="exact"/>
        <w:jc w:val="left"/>
        <w:rPr>
          <w:b/>
          <w:bCs/>
          <w:sz w:val="24"/>
          <w:szCs w:val="24"/>
        </w:rPr>
      </w:pPr>
      <w:r>
        <w:rPr>
          <w:rFonts w:hint="eastAsia"/>
          <w:b/>
          <w:bCs/>
          <w:sz w:val="24"/>
          <w:szCs w:val="24"/>
        </w:rPr>
        <w:t>第二部分 2022年度部门决算情况说明</w:t>
      </w:r>
    </w:p>
    <w:p>
      <w:pPr>
        <w:pStyle w:val="12"/>
        <w:adjustRightInd w:val="0"/>
        <w:snapToGrid w:val="0"/>
        <w:spacing w:line="440" w:lineRule="exact"/>
        <w:jc w:val="left"/>
        <w:rPr>
          <w:rFonts w:ascii="仿宋" w:hAnsi="仿宋" w:eastAsia="仿宋" w:cs="仿宋"/>
          <w:sz w:val="24"/>
          <w:szCs w:val="24"/>
        </w:rPr>
      </w:pPr>
      <w:r>
        <w:rPr>
          <w:rFonts w:hint="eastAsia" w:ascii="仿宋" w:hAnsi="仿宋" w:eastAsia="仿宋" w:cs="仿宋"/>
          <w:sz w:val="24"/>
          <w:szCs w:val="24"/>
        </w:rPr>
        <w:t>一、收入支出决算总体情况说明</w:t>
      </w:r>
    </w:p>
    <w:p>
      <w:pPr>
        <w:pStyle w:val="12"/>
        <w:adjustRightInd w:val="0"/>
        <w:snapToGrid w:val="0"/>
        <w:spacing w:line="440" w:lineRule="exact"/>
        <w:jc w:val="left"/>
        <w:rPr>
          <w:rFonts w:ascii="仿宋" w:hAnsi="仿宋" w:eastAsia="仿宋" w:cs="仿宋"/>
          <w:sz w:val="24"/>
          <w:szCs w:val="24"/>
        </w:rPr>
      </w:pPr>
      <w:r>
        <w:rPr>
          <w:rFonts w:hint="eastAsia" w:ascii="仿宋" w:hAnsi="仿宋" w:eastAsia="仿宋" w:cs="仿宋"/>
          <w:sz w:val="24"/>
          <w:szCs w:val="24"/>
        </w:rPr>
        <w:t>二、收入决算情况说明</w:t>
      </w:r>
    </w:p>
    <w:p>
      <w:pPr>
        <w:pStyle w:val="12"/>
        <w:adjustRightInd w:val="0"/>
        <w:snapToGrid w:val="0"/>
        <w:spacing w:line="440" w:lineRule="exact"/>
        <w:jc w:val="left"/>
        <w:rPr>
          <w:rFonts w:ascii="仿宋" w:hAnsi="仿宋" w:eastAsia="仿宋" w:cs="仿宋"/>
          <w:sz w:val="24"/>
          <w:szCs w:val="24"/>
        </w:rPr>
      </w:pPr>
      <w:r>
        <w:rPr>
          <w:rFonts w:hint="eastAsia" w:ascii="仿宋" w:hAnsi="仿宋" w:eastAsia="仿宋" w:cs="仿宋"/>
          <w:sz w:val="24"/>
          <w:szCs w:val="24"/>
        </w:rPr>
        <w:t>三、支出决算情况说明</w:t>
      </w:r>
    </w:p>
    <w:p>
      <w:pPr>
        <w:pStyle w:val="12"/>
        <w:adjustRightInd w:val="0"/>
        <w:snapToGrid w:val="0"/>
        <w:spacing w:line="440" w:lineRule="exact"/>
        <w:jc w:val="left"/>
        <w:rPr>
          <w:rFonts w:ascii="仿宋" w:hAnsi="仿宋" w:eastAsia="仿宋" w:cs="仿宋"/>
          <w:sz w:val="24"/>
          <w:szCs w:val="24"/>
        </w:rPr>
      </w:pPr>
      <w:r>
        <w:rPr>
          <w:rFonts w:hint="eastAsia" w:ascii="仿宋" w:hAnsi="仿宋" w:eastAsia="仿宋" w:cs="仿宋"/>
          <w:sz w:val="24"/>
          <w:szCs w:val="24"/>
        </w:rPr>
        <w:t>四、财政拨款收入支出决算总体情况说明</w:t>
      </w:r>
    </w:p>
    <w:p>
      <w:pPr>
        <w:pStyle w:val="12"/>
        <w:adjustRightInd w:val="0"/>
        <w:snapToGrid w:val="0"/>
        <w:spacing w:line="440" w:lineRule="exact"/>
        <w:jc w:val="left"/>
        <w:rPr>
          <w:rFonts w:ascii="仿宋" w:hAnsi="仿宋" w:eastAsia="仿宋" w:cs="仿宋"/>
          <w:sz w:val="24"/>
          <w:szCs w:val="24"/>
        </w:rPr>
      </w:pPr>
      <w:r>
        <w:rPr>
          <w:rFonts w:hint="eastAsia" w:ascii="仿宋" w:hAnsi="仿宋" w:eastAsia="仿宋" w:cs="仿宋"/>
          <w:sz w:val="24"/>
          <w:szCs w:val="24"/>
        </w:rPr>
        <w:t>五、一般公共预算财政拨款支出决算情况说明</w:t>
      </w:r>
    </w:p>
    <w:p>
      <w:pPr>
        <w:pStyle w:val="12"/>
        <w:adjustRightInd w:val="0"/>
        <w:snapToGrid w:val="0"/>
        <w:spacing w:line="440" w:lineRule="exact"/>
        <w:jc w:val="left"/>
        <w:rPr>
          <w:rFonts w:ascii="仿宋" w:hAnsi="仿宋" w:eastAsia="仿宋" w:cs="仿宋"/>
          <w:sz w:val="24"/>
          <w:szCs w:val="24"/>
        </w:rPr>
      </w:pPr>
      <w:r>
        <w:rPr>
          <w:rFonts w:hint="eastAsia" w:ascii="仿宋" w:hAnsi="仿宋" w:eastAsia="仿宋" w:cs="仿宋"/>
          <w:sz w:val="24"/>
          <w:szCs w:val="24"/>
        </w:rPr>
        <w:t>六、一般公共预算财政拨款基本支出决算情况说明</w:t>
      </w:r>
    </w:p>
    <w:p>
      <w:pPr>
        <w:pStyle w:val="12"/>
        <w:adjustRightInd w:val="0"/>
        <w:snapToGrid w:val="0"/>
        <w:spacing w:line="440" w:lineRule="exact"/>
        <w:jc w:val="left"/>
        <w:rPr>
          <w:rFonts w:ascii="仿宋" w:hAnsi="仿宋" w:eastAsia="仿宋" w:cs="仿宋"/>
          <w:sz w:val="24"/>
          <w:szCs w:val="24"/>
        </w:rPr>
      </w:pPr>
      <w:r>
        <w:rPr>
          <w:rFonts w:hint="eastAsia" w:ascii="仿宋" w:hAnsi="仿宋" w:eastAsia="仿宋" w:cs="仿宋"/>
          <w:sz w:val="24"/>
          <w:szCs w:val="24"/>
        </w:rPr>
        <w:t>七、“三公”经费财政拨款支出决算情况说明</w:t>
      </w:r>
    </w:p>
    <w:p>
      <w:pPr>
        <w:pStyle w:val="12"/>
        <w:adjustRightInd w:val="0"/>
        <w:snapToGrid w:val="0"/>
        <w:spacing w:line="440" w:lineRule="exact"/>
        <w:jc w:val="left"/>
        <w:rPr>
          <w:rFonts w:ascii="仿宋" w:hAnsi="仿宋" w:eastAsia="仿宋" w:cs="仿宋"/>
          <w:sz w:val="24"/>
          <w:szCs w:val="24"/>
        </w:rPr>
      </w:pPr>
      <w:r>
        <w:rPr>
          <w:rFonts w:hint="eastAsia" w:ascii="仿宋" w:hAnsi="仿宋" w:eastAsia="仿宋" w:cs="仿宋"/>
          <w:sz w:val="24"/>
          <w:szCs w:val="24"/>
        </w:rPr>
        <w:t>八、政府性基金预算支出决算情况说明</w:t>
      </w:r>
    </w:p>
    <w:p>
      <w:pPr>
        <w:pStyle w:val="12"/>
        <w:adjustRightInd w:val="0"/>
        <w:snapToGrid w:val="0"/>
        <w:spacing w:line="440" w:lineRule="exact"/>
        <w:ind w:leftChars="0"/>
        <w:jc w:val="left"/>
        <w:rPr>
          <w:rFonts w:ascii="仿宋" w:hAnsi="仿宋" w:eastAsia="仿宋" w:cs="仿宋"/>
          <w:sz w:val="24"/>
          <w:szCs w:val="24"/>
        </w:rPr>
      </w:pPr>
      <w:r>
        <w:rPr>
          <w:rFonts w:hint="eastAsia" w:ascii="仿宋" w:hAnsi="仿宋" w:eastAsia="仿宋" w:cs="仿宋"/>
          <w:sz w:val="24"/>
          <w:szCs w:val="24"/>
        </w:rPr>
        <w:t>九、国有资本经营预算支出决算情况说明</w:t>
      </w:r>
    </w:p>
    <w:p>
      <w:pPr>
        <w:adjustRightInd w:val="0"/>
        <w:snapToGrid w:val="0"/>
        <w:spacing w:line="440" w:lineRule="exact"/>
        <w:ind w:firstLine="420" w:firstLineChars="175"/>
        <w:jc w:val="left"/>
        <w:rPr>
          <w:rFonts w:ascii="仿宋" w:hAnsi="仿宋" w:eastAsia="仿宋" w:cs="仿宋"/>
          <w:sz w:val="24"/>
          <w:szCs w:val="24"/>
        </w:rPr>
      </w:pPr>
      <w:r>
        <w:rPr>
          <w:rStyle w:val="17"/>
          <w:rFonts w:hint="eastAsia" w:ascii="仿宋" w:hAnsi="仿宋" w:eastAsia="仿宋" w:cs="仿宋"/>
          <w:color w:val="auto"/>
          <w:sz w:val="24"/>
          <w:szCs w:val="24"/>
          <w:u w:val="none"/>
        </w:rPr>
        <w:t>十、</w:t>
      </w:r>
      <w:r>
        <w:rPr>
          <w:rFonts w:hint="eastAsia" w:ascii="仿宋" w:hAnsi="仿宋" w:eastAsia="仿宋" w:cs="仿宋"/>
          <w:sz w:val="24"/>
          <w:szCs w:val="24"/>
        </w:rPr>
        <w:t>其他重要事项的情况说明</w:t>
      </w:r>
      <w:r>
        <w:rPr>
          <w:rFonts w:hint="eastAsia" w:ascii="仿宋" w:hAnsi="仿宋" w:eastAsia="仿宋" w:cs="仿宋"/>
          <w:sz w:val="24"/>
          <w:szCs w:val="24"/>
        </w:rPr>
        <w:tab/>
      </w:r>
    </w:p>
    <w:p>
      <w:pPr>
        <w:pStyle w:val="11"/>
        <w:adjustRightInd w:val="0"/>
        <w:snapToGrid w:val="0"/>
        <w:spacing w:before="0" w:line="440" w:lineRule="exact"/>
        <w:jc w:val="left"/>
        <w:rPr>
          <w:b/>
          <w:bCs/>
          <w:sz w:val="24"/>
          <w:szCs w:val="24"/>
        </w:rPr>
      </w:pPr>
      <w:r>
        <w:rPr>
          <w:rFonts w:hint="eastAsia"/>
          <w:b/>
          <w:bCs/>
          <w:sz w:val="24"/>
          <w:szCs w:val="24"/>
        </w:rPr>
        <w:t>第三部分 名词解释</w:t>
      </w:r>
    </w:p>
    <w:p>
      <w:pPr>
        <w:pStyle w:val="11"/>
        <w:adjustRightInd w:val="0"/>
        <w:snapToGrid w:val="0"/>
        <w:spacing w:before="0" w:line="440" w:lineRule="exact"/>
        <w:jc w:val="left"/>
        <w:rPr>
          <w:b/>
          <w:bCs/>
          <w:sz w:val="24"/>
          <w:szCs w:val="24"/>
        </w:rPr>
      </w:pPr>
      <w:r>
        <w:rPr>
          <w:rFonts w:hint="eastAsia"/>
          <w:b/>
          <w:bCs/>
          <w:sz w:val="24"/>
          <w:szCs w:val="24"/>
        </w:rPr>
        <w:t>第四部分 附件</w:t>
      </w:r>
    </w:p>
    <w:p>
      <w:pPr>
        <w:pStyle w:val="11"/>
        <w:adjustRightInd w:val="0"/>
        <w:snapToGrid w:val="0"/>
        <w:spacing w:before="0" w:line="440" w:lineRule="exact"/>
        <w:jc w:val="left"/>
        <w:rPr>
          <w:b/>
          <w:bCs/>
          <w:sz w:val="24"/>
          <w:szCs w:val="24"/>
        </w:rPr>
      </w:pPr>
      <w:r>
        <w:rPr>
          <w:rFonts w:hint="eastAsia"/>
          <w:b/>
          <w:bCs/>
          <w:sz w:val="24"/>
          <w:szCs w:val="24"/>
        </w:rPr>
        <w:t>第五部分 附表</w:t>
      </w:r>
    </w:p>
    <w:p>
      <w:pPr>
        <w:pStyle w:val="12"/>
        <w:adjustRightInd w:val="0"/>
        <w:snapToGrid w:val="0"/>
        <w:spacing w:line="440" w:lineRule="exact"/>
        <w:jc w:val="left"/>
        <w:rPr>
          <w:rFonts w:ascii="仿宋" w:hAnsi="仿宋" w:eastAsia="仿宋" w:cs="仿宋"/>
          <w:sz w:val="24"/>
          <w:szCs w:val="24"/>
        </w:rPr>
      </w:pPr>
      <w:r>
        <w:rPr>
          <w:rFonts w:hint="eastAsia" w:ascii="仿宋" w:hAnsi="仿宋" w:eastAsia="仿宋" w:cs="仿宋"/>
          <w:sz w:val="24"/>
          <w:szCs w:val="24"/>
        </w:rPr>
        <w:t>一、收入支出决算总表</w:t>
      </w:r>
    </w:p>
    <w:p>
      <w:pPr>
        <w:pStyle w:val="12"/>
        <w:adjustRightInd w:val="0"/>
        <w:snapToGrid w:val="0"/>
        <w:spacing w:line="440" w:lineRule="exact"/>
        <w:jc w:val="left"/>
        <w:rPr>
          <w:rFonts w:ascii="仿宋" w:hAnsi="仿宋" w:eastAsia="仿宋" w:cs="仿宋"/>
          <w:sz w:val="24"/>
          <w:szCs w:val="24"/>
        </w:rPr>
      </w:pPr>
      <w:r>
        <w:rPr>
          <w:rFonts w:hint="eastAsia" w:ascii="仿宋" w:hAnsi="仿宋" w:eastAsia="仿宋" w:cs="仿宋"/>
          <w:sz w:val="24"/>
          <w:szCs w:val="24"/>
        </w:rPr>
        <w:t>二、收入决算表</w:t>
      </w:r>
    </w:p>
    <w:p>
      <w:pPr>
        <w:pStyle w:val="12"/>
        <w:adjustRightInd w:val="0"/>
        <w:snapToGrid w:val="0"/>
        <w:spacing w:line="440" w:lineRule="exact"/>
        <w:jc w:val="left"/>
        <w:rPr>
          <w:rFonts w:ascii="仿宋" w:hAnsi="仿宋" w:eastAsia="仿宋" w:cs="仿宋"/>
          <w:sz w:val="24"/>
          <w:szCs w:val="24"/>
        </w:rPr>
      </w:pPr>
      <w:r>
        <w:rPr>
          <w:rFonts w:hint="eastAsia" w:ascii="仿宋" w:hAnsi="仿宋" w:eastAsia="仿宋" w:cs="仿宋"/>
          <w:sz w:val="24"/>
          <w:szCs w:val="24"/>
        </w:rPr>
        <w:t>三、支出决算表</w:t>
      </w:r>
    </w:p>
    <w:p>
      <w:pPr>
        <w:pStyle w:val="12"/>
        <w:adjustRightInd w:val="0"/>
        <w:snapToGrid w:val="0"/>
        <w:spacing w:line="440" w:lineRule="exact"/>
        <w:jc w:val="left"/>
        <w:rPr>
          <w:rFonts w:ascii="仿宋" w:hAnsi="仿宋" w:eastAsia="仿宋" w:cs="仿宋"/>
          <w:sz w:val="24"/>
          <w:szCs w:val="24"/>
        </w:rPr>
      </w:pPr>
      <w:r>
        <w:rPr>
          <w:rFonts w:hint="eastAsia" w:ascii="仿宋" w:hAnsi="仿宋" w:eastAsia="仿宋" w:cs="仿宋"/>
          <w:sz w:val="24"/>
          <w:szCs w:val="24"/>
        </w:rPr>
        <w:t>四、财政拨款收入支出决算总表</w:t>
      </w:r>
    </w:p>
    <w:p>
      <w:pPr>
        <w:pStyle w:val="12"/>
        <w:adjustRightInd w:val="0"/>
        <w:snapToGrid w:val="0"/>
        <w:spacing w:line="440" w:lineRule="exact"/>
        <w:jc w:val="left"/>
        <w:rPr>
          <w:rFonts w:ascii="仿宋" w:hAnsi="仿宋" w:eastAsia="仿宋" w:cs="仿宋"/>
          <w:sz w:val="24"/>
          <w:szCs w:val="24"/>
        </w:rPr>
      </w:pPr>
      <w:r>
        <w:rPr>
          <w:rFonts w:hint="eastAsia" w:ascii="仿宋" w:hAnsi="仿宋" w:eastAsia="仿宋" w:cs="仿宋"/>
          <w:sz w:val="24"/>
          <w:szCs w:val="24"/>
        </w:rPr>
        <w:t>五、财政拨款支出决算明细表</w:t>
      </w:r>
    </w:p>
    <w:p>
      <w:pPr>
        <w:pStyle w:val="12"/>
        <w:adjustRightInd w:val="0"/>
        <w:snapToGrid w:val="0"/>
        <w:spacing w:line="440" w:lineRule="exact"/>
        <w:jc w:val="left"/>
        <w:rPr>
          <w:rFonts w:ascii="仿宋" w:hAnsi="仿宋" w:eastAsia="仿宋" w:cs="仿宋"/>
          <w:sz w:val="24"/>
          <w:szCs w:val="24"/>
        </w:rPr>
      </w:pPr>
      <w:r>
        <w:rPr>
          <w:rFonts w:hint="eastAsia" w:ascii="仿宋" w:hAnsi="仿宋" w:eastAsia="仿宋" w:cs="仿宋"/>
          <w:sz w:val="24"/>
          <w:szCs w:val="24"/>
        </w:rPr>
        <w:t>六、一般公共预算财政拨款支出决算表</w:t>
      </w:r>
    </w:p>
    <w:p>
      <w:pPr>
        <w:pStyle w:val="12"/>
        <w:adjustRightInd w:val="0"/>
        <w:snapToGrid w:val="0"/>
        <w:spacing w:line="440" w:lineRule="exact"/>
        <w:jc w:val="left"/>
        <w:rPr>
          <w:rFonts w:ascii="仿宋" w:hAnsi="仿宋" w:eastAsia="仿宋" w:cs="仿宋"/>
          <w:sz w:val="24"/>
          <w:szCs w:val="24"/>
        </w:rPr>
      </w:pPr>
      <w:r>
        <w:rPr>
          <w:rFonts w:hint="eastAsia" w:ascii="仿宋" w:hAnsi="仿宋" w:eastAsia="仿宋" w:cs="仿宋"/>
          <w:sz w:val="24"/>
          <w:szCs w:val="24"/>
        </w:rPr>
        <w:t>七、一般公共预算财政拨款支出决算明细表</w:t>
      </w:r>
    </w:p>
    <w:p>
      <w:pPr>
        <w:pStyle w:val="12"/>
        <w:adjustRightInd w:val="0"/>
        <w:snapToGrid w:val="0"/>
        <w:spacing w:line="440" w:lineRule="exact"/>
        <w:jc w:val="left"/>
        <w:rPr>
          <w:rFonts w:ascii="仿宋" w:hAnsi="仿宋" w:eastAsia="仿宋" w:cs="仿宋"/>
          <w:sz w:val="24"/>
          <w:szCs w:val="24"/>
        </w:rPr>
      </w:pPr>
      <w:r>
        <w:rPr>
          <w:rFonts w:hint="eastAsia" w:ascii="仿宋" w:hAnsi="仿宋" w:eastAsia="仿宋" w:cs="仿宋"/>
          <w:sz w:val="24"/>
          <w:szCs w:val="24"/>
        </w:rPr>
        <w:t>八、一般公共预算财政拨款基本支出决算表</w:t>
      </w:r>
    </w:p>
    <w:p>
      <w:pPr>
        <w:pStyle w:val="12"/>
        <w:adjustRightInd w:val="0"/>
        <w:snapToGrid w:val="0"/>
        <w:spacing w:line="440" w:lineRule="exact"/>
        <w:jc w:val="left"/>
        <w:rPr>
          <w:rFonts w:ascii="仿宋" w:hAnsi="仿宋" w:eastAsia="仿宋" w:cs="仿宋"/>
          <w:sz w:val="24"/>
          <w:szCs w:val="24"/>
        </w:rPr>
      </w:pPr>
      <w:r>
        <w:rPr>
          <w:rFonts w:hint="eastAsia" w:ascii="仿宋" w:hAnsi="仿宋" w:eastAsia="仿宋" w:cs="仿宋"/>
          <w:sz w:val="24"/>
          <w:szCs w:val="24"/>
        </w:rPr>
        <w:t>九、一般公共预算财政拨款项目支出决算表</w:t>
      </w:r>
    </w:p>
    <w:p>
      <w:pPr>
        <w:pStyle w:val="12"/>
        <w:adjustRightInd w:val="0"/>
        <w:snapToGrid w:val="0"/>
        <w:spacing w:line="440" w:lineRule="exact"/>
        <w:jc w:val="left"/>
        <w:rPr>
          <w:rFonts w:ascii="仿宋" w:hAnsi="仿宋" w:eastAsia="仿宋" w:cs="仿宋"/>
          <w:sz w:val="24"/>
          <w:szCs w:val="24"/>
        </w:rPr>
      </w:pPr>
      <w:r>
        <w:rPr>
          <w:rFonts w:hint="eastAsia" w:ascii="仿宋" w:hAnsi="仿宋" w:eastAsia="仿宋" w:cs="仿宋"/>
          <w:sz w:val="24"/>
          <w:szCs w:val="24"/>
        </w:rPr>
        <w:t>十、一般公共预算财政拨款“三公”经费支出决算表</w:t>
      </w:r>
    </w:p>
    <w:p>
      <w:pPr>
        <w:pStyle w:val="12"/>
        <w:adjustRightInd w:val="0"/>
        <w:snapToGrid w:val="0"/>
        <w:spacing w:line="440" w:lineRule="exact"/>
        <w:jc w:val="left"/>
        <w:rPr>
          <w:rFonts w:ascii="仿宋" w:hAnsi="仿宋" w:eastAsia="仿宋" w:cs="仿宋"/>
          <w:sz w:val="24"/>
          <w:szCs w:val="24"/>
        </w:rPr>
      </w:pPr>
      <w:r>
        <w:rPr>
          <w:rFonts w:hint="eastAsia" w:ascii="仿宋" w:hAnsi="仿宋" w:eastAsia="仿宋" w:cs="仿宋"/>
          <w:sz w:val="24"/>
          <w:szCs w:val="24"/>
        </w:rPr>
        <w:t>十一、政府性基金预算财政拨款收入支出决算表</w:t>
      </w:r>
    </w:p>
    <w:p>
      <w:pPr>
        <w:pStyle w:val="12"/>
        <w:adjustRightInd w:val="0"/>
        <w:snapToGrid w:val="0"/>
        <w:spacing w:line="440" w:lineRule="exact"/>
        <w:jc w:val="left"/>
        <w:rPr>
          <w:rFonts w:ascii="仿宋" w:hAnsi="仿宋" w:eastAsia="仿宋" w:cs="仿宋"/>
          <w:sz w:val="24"/>
          <w:szCs w:val="24"/>
        </w:rPr>
      </w:pPr>
      <w:r>
        <w:rPr>
          <w:rFonts w:hint="eastAsia" w:ascii="仿宋" w:hAnsi="仿宋" w:eastAsia="仿宋" w:cs="仿宋"/>
          <w:sz w:val="24"/>
          <w:szCs w:val="24"/>
        </w:rPr>
        <w:t>十二、政府性基金预算财政拨款“三公”经费支出决算表</w:t>
      </w:r>
    </w:p>
    <w:p>
      <w:pPr>
        <w:pStyle w:val="12"/>
        <w:adjustRightInd w:val="0"/>
        <w:snapToGrid w:val="0"/>
        <w:spacing w:line="440" w:lineRule="exact"/>
        <w:jc w:val="left"/>
        <w:rPr>
          <w:rFonts w:ascii="仿宋" w:hAnsi="仿宋" w:eastAsia="仿宋" w:cs="仿宋"/>
          <w:sz w:val="24"/>
          <w:szCs w:val="24"/>
        </w:rPr>
      </w:pPr>
      <w:r>
        <w:rPr>
          <w:rFonts w:hint="eastAsia" w:ascii="仿宋" w:hAnsi="仿宋" w:eastAsia="仿宋" w:cs="仿宋"/>
          <w:sz w:val="24"/>
          <w:szCs w:val="24"/>
        </w:rPr>
        <w:t>十三、国有资本经营预算财政拨款收入支出决算表</w:t>
      </w:r>
    </w:p>
    <w:p>
      <w:pPr>
        <w:pStyle w:val="12"/>
        <w:adjustRightInd w:val="0"/>
        <w:snapToGrid w:val="0"/>
        <w:spacing w:line="440" w:lineRule="exact"/>
        <w:jc w:val="left"/>
        <w:rPr>
          <w:rFonts w:ascii="仿宋" w:hAnsi="仿宋" w:eastAsia="仿宋" w:cs="仿宋"/>
          <w:sz w:val="24"/>
          <w:szCs w:val="24"/>
        </w:rPr>
      </w:pPr>
      <w:r>
        <w:rPr>
          <w:rFonts w:hint="eastAsia" w:ascii="仿宋" w:hAnsi="仿宋" w:eastAsia="仿宋" w:cs="仿宋"/>
          <w:sz w:val="24"/>
          <w:szCs w:val="24"/>
        </w:rPr>
        <w:t>十四、国有资本经营预算财政拨款支出决算表</w:t>
      </w:r>
    </w:p>
    <w:p>
      <w:pPr>
        <w:pStyle w:val="3"/>
        <w:jc w:val="center"/>
        <w:rPr>
          <w:rFonts w:ascii="仿宋" w:hAnsi="仿宋" w:eastAsia="仿宋" w:cs="仿宋"/>
          <w:b w:val="0"/>
          <w:bCs w:val="0"/>
          <w:sz w:val="36"/>
          <w:szCs w:val="36"/>
        </w:rPr>
      </w:pPr>
    </w:p>
    <w:p>
      <w:pPr>
        <w:rPr>
          <w:rFonts w:ascii="黑体" w:hAnsi="黑体" w:eastAsia="黑体" w:cs="黑体"/>
          <w:sz w:val="36"/>
          <w:szCs w:val="36"/>
        </w:rPr>
      </w:pPr>
    </w:p>
    <w:p>
      <w:pPr>
        <w:pStyle w:val="2"/>
        <w:spacing w:before="72"/>
        <w:rPr>
          <w:rFonts w:ascii="黑体" w:hAnsi="黑体" w:eastAsia="黑体" w:cs="黑体"/>
          <w:sz w:val="36"/>
          <w:szCs w:val="36"/>
        </w:rPr>
      </w:pPr>
    </w:p>
    <w:p>
      <w:pPr>
        <w:pStyle w:val="2"/>
        <w:spacing w:before="72"/>
        <w:rPr>
          <w:rFonts w:ascii="黑体" w:hAnsi="黑体" w:eastAsia="黑体" w:cs="黑体"/>
          <w:sz w:val="36"/>
          <w:szCs w:val="36"/>
        </w:rPr>
      </w:pPr>
    </w:p>
    <w:p>
      <w:pPr>
        <w:pStyle w:val="2"/>
        <w:spacing w:before="72"/>
        <w:rPr>
          <w:rFonts w:ascii="黑体" w:hAnsi="黑体" w:eastAsia="黑体" w:cs="黑体"/>
          <w:sz w:val="36"/>
          <w:szCs w:val="36"/>
        </w:rPr>
      </w:pPr>
    </w:p>
    <w:p>
      <w:pPr>
        <w:pStyle w:val="2"/>
        <w:spacing w:before="72"/>
        <w:rPr>
          <w:rFonts w:ascii="黑体" w:hAnsi="黑体" w:eastAsia="黑体" w:cs="黑体"/>
          <w:sz w:val="36"/>
          <w:szCs w:val="36"/>
        </w:rPr>
      </w:pPr>
    </w:p>
    <w:p>
      <w:pPr>
        <w:pStyle w:val="3"/>
        <w:rPr>
          <w:rFonts w:ascii="黑体" w:hAnsi="黑体" w:eastAsia="黑体" w:cs="黑体"/>
          <w:b w:val="0"/>
          <w:bCs w:val="0"/>
          <w:sz w:val="36"/>
          <w:szCs w:val="36"/>
        </w:rPr>
      </w:pPr>
    </w:p>
    <w:p>
      <w:pPr>
        <w:rPr>
          <w:rFonts w:ascii="黑体" w:hAnsi="黑体" w:eastAsia="黑体" w:cs="黑体"/>
          <w:sz w:val="36"/>
          <w:szCs w:val="36"/>
        </w:rPr>
      </w:pPr>
    </w:p>
    <w:p>
      <w:pPr>
        <w:pStyle w:val="2"/>
        <w:spacing w:before="72"/>
        <w:rPr>
          <w:rFonts w:ascii="黑体" w:hAnsi="黑体" w:eastAsia="黑体" w:cs="黑体"/>
          <w:sz w:val="36"/>
          <w:szCs w:val="36"/>
        </w:rPr>
      </w:pPr>
    </w:p>
    <w:p>
      <w:pPr>
        <w:pStyle w:val="2"/>
        <w:spacing w:before="72"/>
        <w:rPr>
          <w:rFonts w:ascii="黑体" w:hAnsi="黑体" w:eastAsia="黑体" w:cs="黑体"/>
          <w:sz w:val="36"/>
          <w:szCs w:val="36"/>
        </w:rPr>
      </w:pPr>
    </w:p>
    <w:p>
      <w:pPr>
        <w:pStyle w:val="2"/>
        <w:spacing w:before="72"/>
        <w:rPr>
          <w:rFonts w:ascii="黑体" w:hAnsi="黑体" w:eastAsia="黑体" w:cs="黑体"/>
          <w:sz w:val="36"/>
          <w:szCs w:val="36"/>
        </w:rPr>
      </w:pPr>
    </w:p>
    <w:p>
      <w:pPr>
        <w:pStyle w:val="2"/>
        <w:spacing w:before="72"/>
        <w:rPr>
          <w:rFonts w:ascii="黑体" w:hAnsi="黑体" w:eastAsia="黑体" w:cs="黑体"/>
          <w:sz w:val="36"/>
          <w:szCs w:val="36"/>
        </w:rPr>
      </w:pPr>
    </w:p>
    <w:p>
      <w:pPr>
        <w:pStyle w:val="3"/>
        <w:jc w:val="center"/>
        <w:rPr>
          <w:rFonts w:hint="eastAsia" w:ascii="黑体" w:hAnsi="黑体" w:eastAsia="黑体" w:cs="黑体"/>
          <w:b w:val="0"/>
          <w:bCs w:val="0"/>
          <w:sz w:val="36"/>
          <w:szCs w:val="36"/>
        </w:rPr>
      </w:pPr>
    </w:p>
    <w:p>
      <w:pPr>
        <w:pStyle w:val="3"/>
        <w:jc w:val="center"/>
        <w:rPr>
          <w:rFonts w:ascii="仿宋_GB2312" w:hAnsi="仿宋_GB2312" w:eastAsia="仿宋_GB2312" w:cs="仿宋_GB2312"/>
          <w:color w:val="000000"/>
        </w:rPr>
      </w:pPr>
      <w:r>
        <w:rPr>
          <w:rFonts w:hint="eastAsia" w:ascii="黑体" w:hAnsi="黑体" w:eastAsia="黑体" w:cs="黑体"/>
          <w:b w:val="0"/>
          <w:bCs w:val="0"/>
          <w:sz w:val="36"/>
          <w:szCs w:val="36"/>
        </w:rPr>
        <w:t xml:space="preserve">第一部分 </w:t>
      </w:r>
      <w:r>
        <w:rPr>
          <w:rStyle w:val="18"/>
          <w:rFonts w:hint="eastAsia" w:ascii="黑体" w:hAnsi="黑体" w:eastAsia="黑体" w:cs="黑体"/>
          <w:b w:val="0"/>
          <w:bCs w:val="0"/>
          <w:sz w:val="36"/>
          <w:szCs w:val="36"/>
        </w:rPr>
        <w:t>部门概况</w:t>
      </w:r>
      <w:bookmarkEnd w:id="0"/>
      <w:bookmarkEnd w:id="1"/>
    </w:p>
    <w:p>
      <w:pPr>
        <w:pStyle w:val="4"/>
        <w:rPr>
          <w:rStyle w:val="19"/>
          <w:rFonts w:ascii="仿宋_GB2312" w:hAnsi="仿宋_GB2312" w:eastAsia="仿宋_GB2312" w:cs="仿宋_GB2312"/>
          <w:b/>
          <w:bCs/>
        </w:rPr>
      </w:pPr>
      <w:bookmarkStart w:id="7" w:name="_Toc15396600"/>
      <w:bookmarkStart w:id="8" w:name="_Toc15377197"/>
      <w:r>
        <w:rPr>
          <w:rFonts w:hint="eastAsia" w:ascii="仿宋_GB2312" w:hAnsi="仿宋_GB2312" w:eastAsia="仿宋_GB2312" w:cs="仿宋_GB2312"/>
          <w:color w:val="000000"/>
        </w:rPr>
        <w:t>一、基</w:t>
      </w:r>
      <w:r>
        <w:rPr>
          <w:rStyle w:val="19"/>
          <w:rFonts w:hint="eastAsia" w:ascii="仿宋_GB2312" w:hAnsi="仿宋_GB2312" w:eastAsia="仿宋_GB2312" w:cs="仿宋_GB2312"/>
          <w:b/>
          <w:bCs/>
        </w:rPr>
        <w:t>本职能及主要工作</w:t>
      </w:r>
      <w:bookmarkEnd w:id="7"/>
      <w:bookmarkEnd w:id="8"/>
      <w:bookmarkStart w:id="9" w:name="_Toc15378445"/>
      <w:bookmarkStart w:id="10" w:name="_Toc15377198"/>
    </w:p>
    <w:p>
      <w:pPr>
        <w:pStyle w:val="35"/>
        <w:overflowPunct w:val="0"/>
        <w:spacing w:line="550" w:lineRule="exact"/>
        <w:ind w:firstLine="422"/>
        <w:rPr>
          <w:rFonts w:ascii="仿宋_GB2312" w:hAnsi="仿宋_GB2312" w:eastAsia="仿宋_GB2312" w:cs="仿宋_GB2312"/>
          <w:b/>
          <w:sz w:val="32"/>
          <w:szCs w:val="32"/>
        </w:rPr>
      </w:pPr>
      <w:r>
        <w:rPr>
          <w:rFonts w:hint="eastAsia" w:ascii="仿宋_GB2312" w:hAnsi="仿宋_GB2312" w:eastAsia="仿宋_GB2312" w:cs="仿宋_GB2312"/>
          <w:b/>
          <w:color w:val="000000"/>
        </w:rPr>
        <w:t>（</w:t>
      </w:r>
      <w:r>
        <w:rPr>
          <w:rFonts w:hint="eastAsia" w:ascii="仿宋_GB2312" w:hAnsi="仿宋_GB2312" w:eastAsia="仿宋_GB2312" w:cs="仿宋_GB2312"/>
          <w:b/>
          <w:sz w:val="32"/>
          <w:szCs w:val="32"/>
        </w:rPr>
        <w:t>一）主要职能。</w:t>
      </w:r>
      <w:bookmarkEnd w:id="9"/>
      <w:bookmarkEnd w:id="10"/>
      <w:bookmarkStart w:id="11" w:name="_Toc15378446"/>
      <w:bookmarkStart w:id="12" w:name="_Toc15377199"/>
    </w:p>
    <w:p>
      <w:pPr>
        <w:pStyle w:val="35"/>
        <w:overflowPunct w:val="0"/>
        <w:spacing w:line="550" w:lineRule="exact"/>
        <w:ind w:firstLine="640"/>
        <w:rPr>
          <w:rStyle w:val="34"/>
          <w:rFonts w:ascii="仿宋_GB2312" w:hAnsi="仿宋_GB2312" w:eastAsia="仿宋_GB2312"/>
          <w:color w:val="000000"/>
          <w:sz w:val="32"/>
          <w:szCs w:val="32"/>
        </w:rPr>
      </w:pPr>
      <w:r>
        <w:rPr>
          <w:rStyle w:val="34"/>
          <w:rFonts w:hint="eastAsia" w:ascii="仿宋_GB2312" w:hAnsi="仿宋_GB2312" w:eastAsia="仿宋_GB2312"/>
          <w:color w:val="000000"/>
          <w:sz w:val="32"/>
          <w:szCs w:val="32"/>
        </w:rPr>
        <w:t>党委工作职责：1.保证党的路线、方针、政策的坚决贯彻执行。2.保证监督职能。3教育和管理职能。4服从和服务于经济建设的职能。5负责抓好本镇党建工作、群团工作、精神文明建设工作、新闻宣传工作。6.完成县委、县政府交给的其他工作任务。</w:t>
      </w:r>
    </w:p>
    <w:p>
      <w:pPr>
        <w:pStyle w:val="35"/>
        <w:overflowPunct w:val="0"/>
        <w:spacing w:line="550" w:lineRule="exact"/>
        <w:ind w:firstLine="640"/>
        <w:rPr>
          <w:rStyle w:val="34"/>
          <w:rFonts w:ascii="仿宋_GB2312" w:hAnsi="仿宋_GB2312" w:eastAsia="仿宋_GB2312"/>
          <w:color w:val="000000"/>
          <w:sz w:val="32"/>
          <w:szCs w:val="32"/>
        </w:rPr>
      </w:pPr>
      <w:r>
        <w:rPr>
          <w:rStyle w:val="34"/>
          <w:rFonts w:hint="eastAsia" w:ascii="仿宋_GB2312" w:hAnsi="仿宋_GB2312" w:eastAsia="仿宋_GB2312"/>
          <w:color w:val="000000"/>
          <w:sz w:val="32"/>
          <w:szCs w:val="32"/>
        </w:rPr>
        <w:t>政府职能：1.制定和组织实施经济、科技和社会发展计划，制定资源开发技术改造和产业结构调整方案，组织指导好各业生产，搞好商品流通，协调好本镇与外地区的经济交流与合作，抓好招商引资，人才引进项目开发，不断培育市场体系，组织经济运行，促进经济发展。2.制定并组织实施村镇建设规划，部署重点工程建设，地方道路建设及公共设施，水利设施的管理，负责土地、林木、水等自然资源和生态环境的保护，做好护林防火工作。3.负责本行政区域内的民政、计划生育、文化教育、卫生、体育等社会公益事业的综合性工作，维护一切经济单位和个人的正当经济权益，取缔非法经济活动，调解和处理民事纠纷，打击刑事犯罪维护社会稳定。4.按计划组织本级财政收入和地方税的征收，完成国家财政计划，不断培植税源，管好财政资金，增强财政实力。5.抓好精神文明建设，丰富群众文化生活，提倡移风易俗，反对封建迷信，破除陈规陋习，树立社会主义新风尚。6.完成上级政府交办的其他事项。</w:t>
      </w:r>
    </w:p>
    <w:p>
      <w:pPr>
        <w:pStyle w:val="2"/>
        <w:adjustRightInd w:val="0"/>
        <w:snapToGrid w:val="0"/>
        <w:spacing w:before="72" w:line="600" w:lineRule="exact"/>
        <w:ind w:firstLine="675" w:firstLineChars="210"/>
        <w:outlineLvl w:val="2"/>
        <w:rPr>
          <w:rFonts w:hAnsi="仿宋_GB2312"/>
          <w:b/>
          <w:bCs/>
          <w:color w:val="000000"/>
          <w:sz w:val="32"/>
          <w:szCs w:val="32"/>
        </w:rPr>
      </w:pPr>
      <w:r>
        <w:rPr>
          <w:rFonts w:hint="eastAsia" w:hAnsi="仿宋_GB2312"/>
          <w:b/>
          <w:bCs/>
          <w:color w:val="000000"/>
          <w:sz w:val="32"/>
          <w:szCs w:val="32"/>
        </w:rPr>
        <w:t>（二）2022年重点工作完成情况。</w:t>
      </w:r>
      <w:bookmarkEnd w:id="11"/>
      <w:bookmarkEnd w:id="12"/>
    </w:p>
    <w:p>
      <w:pPr>
        <w:overflowPunct w:val="0"/>
        <w:spacing w:line="550" w:lineRule="exact"/>
        <w:ind w:firstLine="640" w:firstLineChars="200"/>
        <w:textAlignment w:val="baseline"/>
        <w:rPr>
          <w:rFonts w:ascii="仿宋_GB2312" w:hAnsi="仿宋_GB2312" w:eastAsia="仿宋_GB2312" w:cs="仿宋_GB2312"/>
          <w:color w:val="000000"/>
          <w:kern w:val="0"/>
          <w:sz w:val="32"/>
          <w:szCs w:val="32"/>
        </w:rPr>
      </w:pPr>
      <w:r>
        <w:rPr>
          <w:rStyle w:val="34"/>
          <w:rFonts w:hint="eastAsia" w:ascii="仿宋_GB2312" w:hAnsi="仿宋_GB2312" w:eastAsia="仿宋_GB2312"/>
          <w:color w:val="000000"/>
          <w:sz w:val="32"/>
          <w:szCs w:val="32"/>
        </w:rPr>
        <w:t>我镇将坚持以党的二十大和习近平总书记对四川工作系列重要指示批示精神为指引，围绕县委“1233”执政兴县战略，</w:t>
      </w:r>
      <w:r>
        <w:rPr>
          <w:rFonts w:hint="eastAsia" w:ascii="仿宋_GB2312" w:hAnsi="仿宋_GB2312" w:eastAsia="仿宋_GB2312" w:cs="仿宋_GB2312"/>
          <w:color w:val="000000"/>
          <w:kern w:val="0"/>
          <w:sz w:val="32"/>
          <w:szCs w:val="32"/>
        </w:rPr>
        <w:t>重点走好农业强镇、文旅兴镇工作路径、力争建成全省乡村振兴先进乡镇和示范村、为全力推动社会主义现代化剑阁建设再立新功。</w:t>
      </w:r>
    </w:p>
    <w:p>
      <w:pPr>
        <w:pStyle w:val="35"/>
        <w:overflowPunct w:val="0"/>
        <w:spacing w:line="55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1.聚焦乡村振兴战略，推动项目投资建设</w:t>
      </w:r>
    </w:p>
    <w:p>
      <w:pPr>
        <w:pStyle w:val="35"/>
        <w:overflowPunct w:val="0"/>
        <w:spacing w:line="550" w:lineRule="exact"/>
        <w:ind w:firstLine="640"/>
        <w:rPr>
          <w:rStyle w:val="34"/>
          <w:rFonts w:ascii="仿宋_GB2312" w:hAnsi="仿宋_GB2312" w:eastAsia="仿宋_GB2312"/>
          <w:color w:val="000000"/>
          <w:sz w:val="32"/>
          <w:szCs w:val="32"/>
        </w:rPr>
      </w:pPr>
      <w:r>
        <w:rPr>
          <w:rStyle w:val="34"/>
          <w:rFonts w:hint="eastAsia" w:ascii="仿宋_GB2312" w:hAnsi="仿宋_GB2312" w:eastAsia="仿宋_GB2312"/>
          <w:color w:val="000000"/>
          <w:sz w:val="32"/>
          <w:szCs w:val="32"/>
        </w:rPr>
        <w:t>坚持以实施乡村振兴战略为总抓手，强化措施、狠抓落实，加强补短板，努力推动各项工作再上新台阶。一是继续培强做大优势支柱产业，做出品牌效应，进一步壮大村集体经济，夯实农村经济发展基础；二是充分发挥政府和市场两方面作用，积极引导更多的资金，保障“大蜀道柳沟驿”项目的发展，践行“以旅游带动产业，以产业反哺旅游”的农旅融合发展之路；三是充分利用绵广复线高速和108国道的交通优势，创新探索农产品仓储物流园区项目，发展集餐饮、住宿、物流、休闲娱乐、汽车维修等多功能于一体的经济发展带。</w:t>
      </w:r>
    </w:p>
    <w:p>
      <w:pPr>
        <w:pStyle w:val="35"/>
        <w:overflowPunct w:val="0"/>
        <w:spacing w:line="55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2.加强疫情防控措施，扎实开展防疫工作</w:t>
      </w:r>
    </w:p>
    <w:p>
      <w:pPr>
        <w:pStyle w:val="35"/>
        <w:overflowPunct w:val="0"/>
        <w:spacing w:line="550" w:lineRule="exact"/>
        <w:ind w:firstLine="640"/>
        <w:rPr>
          <w:rFonts w:ascii="仿宋_GB2312" w:hAnsi="仿宋_GB2312" w:eastAsia="仿宋_GB2312" w:cs="仿宋_GB2312"/>
          <w:bCs/>
          <w:sz w:val="32"/>
          <w:szCs w:val="32"/>
        </w:rPr>
      </w:pPr>
      <w:r>
        <w:rPr>
          <w:rFonts w:hint="eastAsia" w:ascii="仿宋_GB2312" w:hAnsi="仿宋_GB2312" w:eastAsia="仿宋_GB2312" w:cs="仿宋_GB2312"/>
          <w:sz w:val="32"/>
          <w:szCs w:val="32"/>
        </w:rPr>
        <w:t>继续全面落实上级关于疫情防控常态化各项政策措施，进一步强化宣传教育引导、返乡人员排查、加强针疫苗接种、重点场所管控、风险人员隔离和应急能力提升，抓实抓细我镇常态化疫情防控工作，重点做好长安隔离点管理工作，形成严密防控网络，确保全镇疫情防控的良好态势。</w:t>
      </w:r>
    </w:p>
    <w:p>
      <w:pPr>
        <w:pStyle w:val="35"/>
        <w:overflowPunct w:val="0"/>
        <w:spacing w:line="550" w:lineRule="exact"/>
        <w:ind w:firstLine="640"/>
        <w:rPr>
          <w:rStyle w:val="34"/>
          <w:rFonts w:ascii="仿宋_GB2312" w:hAnsi="仿宋_GB2312" w:eastAsia="仿宋_GB2312"/>
          <w:color w:val="000000"/>
          <w:sz w:val="32"/>
          <w:szCs w:val="32"/>
        </w:rPr>
      </w:pPr>
      <w:r>
        <w:rPr>
          <w:rFonts w:hint="eastAsia" w:ascii="楷体_GB2312" w:hAnsi="楷体_GB2312" w:eastAsia="楷体_GB2312" w:cs="楷体_GB2312"/>
          <w:sz w:val="32"/>
          <w:szCs w:val="32"/>
        </w:rPr>
        <w:t>3.健全安全职责体系，切实消除安全隐患</w:t>
      </w:r>
    </w:p>
    <w:p>
      <w:pPr>
        <w:pStyle w:val="35"/>
        <w:overflowPunct w:val="0"/>
        <w:spacing w:line="550" w:lineRule="exact"/>
        <w:ind w:firstLine="640"/>
        <w:rPr>
          <w:rStyle w:val="34"/>
          <w:rFonts w:ascii="楷体_GB2312" w:hAnsi="楷体_GB2312" w:eastAsia="楷体_GB2312" w:cs="楷体_GB2312"/>
          <w:color w:val="000000"/>
          <w:sz w:val="32"/>
          <w:szCs w:val="32"/>
        </w:rPr>
      </w:pPr>
      <w:r>
        <w:rPr>
          <w:rStyle w:val="34"/>
          <w:rFonts w:hint="eastAsia" w:ascii="仿宋_GB2312" w:hAnsi="仿宋_GB2312" w:eastAsia="仿宋_GB2312" w:cs="仿宋_GB2312"/>
          <w:color w:val="000000"/>
          <w:sz w:val="32"/>
          <w:szCs w:val="32"/>
        </w:rPr>
        <w:t>继续加大力度落实“三管”要求，落实基层安全生产领导职责制、部门监管职责制、行业管理职责制和企业主体职责制为主的安全生产职责体系，构成横向到边、纵向到底的安全监管网络，做到安全监管不留隐患、不留死角。持续开展好各项重点行业领域安全生产检查工作，切实消除事故隐患，确保我镇安全形势平稳发展。</w:t>
      </w:r>
    </w:p>
    <w:p>
      <w:pPr>
        <w:pStyle w:val="35"/>
        <w:overflowPunct w:val="0"/>
        <w:spacing w:line="550" w:lineRule="exact"/>
        <w:ind w:firstLine="640"/>
        <w:rPr>
          <w:rStyle w:val="34"/>
          <w:rFonts w:ascii="楷体_GB2312" w:hAnsi="楷体_GB2312" w:eastAsia="楷体_GB2312" w:cs="楷体_GB2312"/>
          <w:color w:val="000000"/>
          <w:sz w:val="32"/>
          <w:szCs w:val="32"/>
        </w:rPr>
      </w:pPr>
      <w:r>
        <w:rPr>
          <w:rStyle w:val="34"/>
          <w:rFonts w:hint="eastAsia" w:ascii="楷体_GB2312" w:hAnsi="楷体_GB2312" w:eastAsia="楷体_GB2312" w:cs="楷体_GB2312"/>
          <w:color w:val="000000"/>
          <w:sz w:val="32"/>
          <w:szCs w:val="32"/>
        </w:rPr>
        <w:t>4.探索创新社会治理，共建和谐清廉政府</w:t>
      </w:r>
    </w:p>
    <w:p>
      <w:pPr>
        <w:spacing w:line="600" w:lineRule="exact"/>
        <w:ind w:firstLine="640" w:firstLineChars="200"/>
        <w:rPr>
          <w:rFonts w:ascii="仿宋_GB2312" w:hAnsi="仿宋_GB2312" w:eastAsia="仿宋_GB2312" w:cs="仿宋_GB2312"/>
          <w:sz w:val="30"/>
          <w:szCs w:val="30"/>
        </w:rPr>
      </w:pPr>
      <w:r>
        <w:rPr>
          <w:rStyle w:val="34"/>
          <w:rFonts w:hint="eastAsia" w:ascii="仿宋_GB2312" w:hAnsi="仿宋_GB2312" w:eastAsia="仿宋_GB2312"/>
          <w:color w:val="000000"/>
          <w:sz w:val="32"/>
          <w:szCs w:val="32"/>
        </w:rPr>
        <w:t xml:space="preserve">    压紧压实党风廉政建设、意识形态等责任，坚持以干部政治思想教育提素质、以干部纪律警示教育抓作风，以组织生活制度建设抓管理，加强党委、政府自身建设，努力打造廉洁、高效、务实的政府。坚持“共建共治共享”和“自治法治德治”相融合，探索创新基层社会治理方式。</w:t>
      </w:r>
    </w:p>
    <w:p>
      <w:pPr>
        <w:spacing w:line="600" w:lineRule="exact"/>
        <w:ind w:firstLine="643" w:firstLineChars="200"/>
        <w:rPr>
          <w:rStyle w:val="19"/>
          <w:rFonts w:ascii="仿宋_GB2312" w:hAnsi="仿宋_GB2312" w:eastAsia="仿宋_GB2312" w:cs="仿宋_GB2312"/>
        </w:rPr>
      </w:pPr>
      <w:bookmarkStart w:id="13" w:name="_Toc15377200"/>
      <w:bookmarkStart w:id="14" w:name="_Toc15396601"/>
      <w:r>
        <w:rPr>
          <w:rFonts w:hint="eastAsia" w:ascii="仿宋_GB2312" w:hAnsi="仿宋_GB2312" w:eastAsia="仿宋_GB2312" w:cs="仿宋_GB2312"/>
          <w:b/>
          <w:bCs/>
          <w:color w:val="000000"/>
          <w:sz w:val="32"/>
          <w:szCs w:val="32"/>
        </w:rPr>
        <w:t>二、机</w:t>
      </w:r>
      <w:r>
        <w:rPr>
          <w:rStyle w:val="19"/>
          <w:rFonts w:hint="eastAsia" w:ascii="仿宋_GB2312" w:hAnsi="仿宋_GB2312" w:eastAsia="仿宋_GB2312" w:cs="仿宋_GB2312"/>
        </w:rPr>
        <w:t>构设置</w:t>
      </w:r>
      <w:bookmarkEnd w:id="13"/>
      <w:bookmarkEnd w:id="14"/>
    </w:p>
    <w:p>
      <w:pPr>
        <w:pStyle w:val="2"/>
        <w:adjustRightInd w:val="0"/>
        <w:snapToGrid w:val="0"/>
        <w:spacing w:before="72" w:line="576" w:lineRule="exact"/>
        <w:ind w:firstLine="672" w:firstLineChars="210"/>
        <w:rPr>
          <w:rFonts w:hAnsi="仿宋_GB2312"/>
          <w:color w:val="000000"/>
          <w:sz w:val="32"/>
          <w:szCs w:val="32"/>
        </w:rPr>
      </w:pPr>
      <w:bookmarkStart w:id="15" w:name="_Toc15396602"/>
      <w:bookmarkStart w:id="16" w:name="_Toc15377204"/>
      <w:r>
        <w:rPr>
          <w:sz w:val="32"/>
          <w:szCs w:val="32"/>
        </w:rPr>
        <w:t>剑阁县柳沟镇人民政府无下属二级单位，无纳入2023年度部门预算编制范围的二级预算单位。</w:t>
      </w:r>
    </w:p>
    <w:p>
      <w:pPr>
        <w:pStyle w:val="2"/>
        <w:adjustRightInd w:val="0"/>
        <w:snapToGrid w:val="0"/>
        <w:spacing w:before="72" w:line="576" w:lineRule="exact"/>
        <w:ind w:firstLine="672" w:firstLineChars="210"/>
        <w:rPr>
          <w:rFonts w:hAnsi="仿宋_GB2312"/>
          <w:color w:val="000000"/>
          <w:sz w:val="32"/>
          <w:szCs w:val="32"/>
        </w:rPr>
      </w:pPr>
    </w:p>
    <w:p>
      <w:pPr>
        <w:pStyle w:val="2"/>
        <w:adjustRightInd w:val="0"/>
        <w:snapToGrid w:val="0"/>
        <w:spacing w:before="72" w:line="576" w:lineRule="exact"/>
        <w:rPr>
          <w:rFonts w:hAnsi="仿宋_GB2312"/>
          <w:color w:val="000000"/>
          <w:sz w:val="32"/>
          <w:szCs w:val="32"/>
        </w:rPr>
      </w:pPr>
    </w:p>
    <w:p>
      <w:pPr>
        <w:pStyle w:val="2"/>
        <w:adjustRightInd w:val="0"/>
        <w:snapToGrid w:val="0"/>
        <w:spacing w:before="72" w:line="576" w:lineRule="exact"/>
        <w:ind w:firstLine="672" w:firstLineChars="210"/>
        <w:rPr>
          <w:rFonts w:hAnsi="仿宋_GB2312"/>
          <w:color w:val="000000"/>
          <w:sz w:val="32"/>
          <w:szCs w:val="32"/>
        </w:rPr>
      </w:pPr>
    </w:p>
    <w:p>
      <w:pPr>
        <w:pStyle w:val="2"/>
        <w:adjustRightInd w:val="0"/>
        <w:snapToGrid w:val="0"/>
        <w:spacing w:before="72" w:line="576" w:lineRule="exact"/>
        <w:ind w:firstLine="672" w:firstLineChars="210"/>
        <w:rPr>
          <w:rFonts w:hAnsi="仿宋_GB2312"/>
          <w:color w:val="000000"/>
          <w:sz w:val="32"/>
          <w:szCs w:val="32"/>
        </w:rPr>
      </w:pPr>
    </w:p>
    <w:p>
      <w:pPr>
        <w:pStyle w:val="2"/>
        <w:adjustRightInd w:val="0"/>
        <w:snapToGrid w:val="0"/>
        <w:spacing w:before="72" w:line="576" w:lineRule="exact"/>
        <w:ind w:firstLine="672" w:firstLineChars="210"/>
        <w:rPr>
          <w:rFonts w:hAnsi="仿宋_GB2312"/>
          <w:color w:val="000000"/>
          <w:sz w:val="32"/>
          <w:szCs w:val="32"/>
        </w:rPr>
      </w:pPr>
    </w:p>
    <w:p>
      <w:pPr>
        <w:pStyle w:val="2"/>
        <w:adjustRightInd w:val="0"/>
        <w:snapToGrid w:val="0"/>
        <w:spacing w:before="72" w:line="576" w:lineRule="exact"/>
        <w:ind w:firstLine="672" w:firstLineChars="210"/>
        <w:rPr>
          <w:rFonts w:hAnsi="仿宋_GB2312"/>
          <w:color w:val="000000"/>
          <w:sz w:val="32"/>
          <w:szCs w:val="32"/>
        </w:rPr>
      </w:pPr>
    </w:p>
    <w:p>
      <w:pPr>
        <w:pStyle w:val="2"/>
        <w:adjustRightInd w:val="0"/>
        <w:snapToGrid w:val="0"/>
        <w:spacing w:before="72" w:line="576" w:lineRule="exact"/>
        <w:ind w:firstLine="672" w:firstLineChars="210"/>
        <w:rPr>
          <w:rFonts w:hAnsi="仿宋_GB2312"/>
          <w:color w:val="000000"/>
          <w:sz w:val="32"/>
          <w:szCs w:val="32"/>
        </w:rPr>
      </w:pPr>
    </w:p>
    <w:p>
      <w:pPr>
        <w:pStyle w:val="2"/>
        <w:adjustRightInd w:val="0"/>
        <w:snapToGrid w:val="0"/>
        <w:spacing w:before="72" w:line="576" w:lineRule="exact"/>
        <w:ind w:firstLine="672" w:firstLineChars="210"/>
        <w:rPr>
          <w:rFonts w:hAnsi="仿宋_GB2312"/>
          <w:color w:val="000000"/>
          <w:sz w:val="32"/>
          <w:szCs w:val="32"/>
        </w:rPr>
      </w:pPr>
    </w:p>
    <w:p>
      <w:pPr>
        <w:pStyle w:val="2"/>
        <w:adjustRightInd w:val="0"/>
        <w:snapToGrid w:val="0"/>
        <w:spacing w:before="72" w:line="576" w:lineRule="exact"/>
        <w:ind w:firstLine="672" w:firstLineChars="210"/>
        <w:rPr>
          <w:rFonts w:hAnsi="仿宋_GB2312"/>
          <w:color w:val="000000"/>
          <w:sz w:val="32"/>
          <w:szCs w:val="32"/>
        </w:rPr>
      </w:pPr>
    </w:p>
    <w:p>
      <w:pPr>
        <w:pStyle w:val="2"/>
        <w:adjustRightInd w:val="0"/>
        <w:snapToGrid w:val="0"/>
        <w:spacing w:before="72" w:line="576" w:lineRule="exact"/>
        <w:ind w:firstLine="672" w:firstLineChars="210"/>
        <w:rPr>
          <w:rFonts w:hAnsi="仿宋_GB2312"/>
          <w:color w:val="000000"/>
          <w:sz w:val="32"/>
          <w:szCs w:val="32"/>
        </w:rPr>
      </w:pPr>
    </w:p>
    <w:p>
      <w:pPr>
        <w:pStyle w:val="2"/>
        <w:adjustRightInd w:val="0"/>
        <w:snapToGrid w:val="0"/>
        <w:spacing w:before="72" w:line="576" w:lineRule="exact"/>
        <w:ind w:firstLine="672" w:firstLineChars="210"/>
        <w:rPr>
          <w:rFonts w:hAnsi="仿宋_GB2312"/>
          <w:color w:val="000000"/>
          <w:sz w:val="32"/>
          <w:szCs w:val="32"/>
        </w:rPr>
      </w:pPr>
    </w:p>
    <w:p>
      <w:pPr>
        <w:pStyle w:val="2"/>
        <w:adjustRightInd w:val="0"/>
        <w:snapToGrid w:val="0"/>
        <w:spacing w:before="72" w:line="576" w:lineRule="exact"/>
        <w:ind w:firstLine="672" w:firstLineChars="210"/>
        <w:rPr>
          <w:rFonts w:hAnsi="仿宋_GB2312"/>
          <w:color w:val="000000"/>
          <w:sz w:val="32"/>
          <w:szCs w:val="32"/>
        </w:rPr>
      </w:pPr>
    </w:p>
    <w:p>
      <w:pPr>
        <w:pStyle w:val="3"/>
        <w:ind w:right="440"/>
        <w:jc w:val="center"/>
        <w:rPr>
          <w:rFonts w:ascii="黑体" w:hAnsi="黑体" w:eastAsia="黑体" w:cs="黑体"/>
          <w:b w:val="0"/>
          <w:bCs w:val="0"/>
          <w:color w:val="000000"/>
          <w:sz w:val="36"/>
          <w:szCs w:val="36"/>
        </w:rPr>
      </w:pPr>
    </w:p>
    <w:p/>
    <w:p>
      <w:pPr>
        <w:pStyle w:val="3"/>
        <w:ind w:right="440"/>
        <w:jc w:val="center"/>
        <w:rPr>
          <w:rFonts w:ascii="黑体" w:hAnsi="黑体" w:eastAsia="黑体" w:cs="黑体"/>
          <w:sz w:val="36"/>
          <w:szCs w:val="36"/>
        </w:rPr>
      </w:pPr>
      <w:r>
        <w:rPr>
          <w:rFonts w:hint="eastAsia" w:ascii="黑体" w:hAnsi="黑体" w:eastAsia="黑体" w:cs="黑体"/>
          <w:b w:val="0"/>
          <w:bCs w:val="0"/>
          <w:color w:val="000000"/>
          <w:sz w:val="36"/>
          <w:szCs w:val="36"/>
        </w:rPr>
        <w:t>第二部分</w:t>
      </w:r>
      <w:r>
        <w:rPr>
          <w:rStyle w:val="18"/>
          <w:rFonts w:hint="eastAsia" w:ascii="黑体" w:hAnsi="黑体" w:eastAsia="黑体" w:cs="黑体"/>
          <w:b w:val="0"/>
          <w:bCs w:val="0"/>
          <w:sz w:val="36"/>
          <w:szCs w:val="36"/>
        </w:rPr>
        <w:t>2022年度部门决算情况说明</w:t>
      </w:r>
      <w:bookmarkEnd w:id="15"/>
      <w:bookmarkEnd w:id="16"/>
    </w:p>
    <w:p>
      <w:pPr>
        <w:pStyle w:val="29"/>
        <w:spacing w:line="600" w:lineRule="exact"/>
        <w:ind w:left="640" w:firstLine="0" w:firstLineChars="0"/>
        <w:outlineLvl w:val="1"/>
        <w:rPr>
          <w:rStyle w:val="19"/>
          <w:rFonts w:ascii="仿宋_GB2312" w:hAnsi="仿宋_GB2312" w:eastAsia="仿宋_GB2312" w:cs="仿宋_GB2312"/>
        </w:rPr>
      </w:pPr>
      <w:bookmarkStart w:id="17" w:name="_Toc15396603"/>
      <w:bookmarkStart w:id="18" w:name="_Toc15377205"/>
      <w:r>
        <w:rPr>
          <w:rFonts w:hint="eastAsia" w:ascii="仿宋_GB2312" w:hAnsi="仿宋_GB2312" w:eastAsia="仿宋_GB2312" w:cs="仿宋_GB2312"/>
          <w:b/>
          <w:bCs/>
          <w:color w:val="000000"/>
          <w:sz w:val="32"/>
          <w:szCs w:val="32"/>
        </w:rPr>
        <w:t>一、收</w:t>
      </w:r>
      <w:r>
        <w:rPr>
          <w:rStyle w:val="19"/>
          <w:rFonts w:hint="eastAsia" w:ascii="仿宋_GB2312" w:hAnsi="仿宋_GB2312" w:eastAsia="仿宋_GB2312" w:cs="仿宋_GB2312"/>
        </w:rPr>
        <w:t>入支出决算总体情况说明</w:t>
      </w:r>
      <w:bookmarkEnd w:id="17"/>
      <w:bookmarkEnd w:id="18"/>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2022</w:t>
      </w:r>
      <w:r>
        <w:rPr>
          <w:rFonts w:hint="eastAsia" w:ascii="仿宋_GB2312" w:hAnsi="仿宋_GB2312" w:eastAsia="仿宋_GB2312" w:cs="仿宋_GB2312"/>
          <w:sz w:val="32"/>
          <w:szCs w:val="32"/>
        </w:rPr>
        <w:t>年柳沟镇人民政府本年收入合计1913.38万元，其中：财政拨款收入1913.38万元，占100%。与2021年相比，增加6.45%。主要变动原因是人员增多、经费增多。</w:t>
      </w:r>
    </w:p>
    <w:p>
      <w:pPr>
        <w:spacing w:line="576"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2022年柳沟镇人民政府本年支出合计1913.38万元，其中：基本支出1520.85万元，占79.49%；项目支出392.53万元，占20.51%。与2021年相比，增加6.45%。主要变动原因是人员增多、经费增多。</w:t>
      </w:r>
    </w:p>
    <w:p>
      <w:pPr>
        <w:pStyle w:val="29"/>
        <w:spacing w:line="600" w:lineRule="exact"/>
        <w:ind w:left="640" w:firstLine="0" w:firstLineChars="0"/>
        <w:outlineLvl w:val="1"/>
        <w:rPr>
          <w:rStyle w:val="19"/>
          <w:rFonts w:ascii="仿宋_GB2312" w:hAnsi="仿宋_GB2312" w:eastAsia="仿宋_GB2312" w:cs="仿宋_GB2312"/>
          <w:b w:val="0"/>
          <w:bCs w:val="0"/>
        </w:rPr>
      </w:pPr>
      <w:bookmarkStart w:id="19" w:name="_Toc15377206"/>
      <w:bookmarkStart w:id="20" w:name="_Toc15396604"/>
      <w:r>
        <w:rPr>
          <w:rFonts w:hint="eastAsia" w:ascii="仿宋_GB2312" w:hAnsi="仿宋_GB2312" w:eastAsia="仿宋_GB2312" w:cs="仿宋_GB2312"/>
          <w:b/>
          <w:bCs/>
          <w:sz w:val="32"/>
          <w:szCs w:val="32"/>
        </w:rPr>
        <w:t>二、收</w:t>
      </w:r>
      <w:r>
        <w:rPr>
          <w:rStyle w:val="19"/>
          <w:rFonts w:hint="eastAsia" w:ascii="仿宋_GB2312" w:hAnsi="仿宋_GB2312" w:eastAsia="仿宋_GB2312" w:cs="仿宋_GB2312"/>
        </w:rPr>
        <w:t>入决算情况说明</w:t>
      </w:r>
      <w:bookmarkEnd w:id="19"/>
      <w:bookmarkEnd w:id="20"/>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2022年本年收入合计1913.38万元，其中：一般公共预算财政拨款收入1913.38元，占100%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政府性基金预算财政拨款收入 0万元，占0%，国有资本经营预算财政拨款收入0 万元，占0%，事业收入0万元，占0%，经营收入0 万元，占0%，附属单位上缴收入0 万元，占0%，其他收入0万元，占0%。</w:t>
      </w:r>
    </w:p>
    <w:p>
      <w:pPr>
        <w:pStyle w:val="29"/>
        <w:spacing w:line="600" w:lineRule="exact"/>
        <w:ind w:left="640" w:firstLine="0" w:firstLineChars="0"/>
        <w:outlineLvl w:val="1"/>
        <w:rPr>
          <w:rStyle w:val="19"/>
          <w:rFonts w:ascii="仿宋_GB2312" w:hAnsi="仿宋_GB2312" w:eastAsia="仿宋_GB2312" w:cs="仿宋_GB2312"/>
        </w:rPr>
      </w:pPr>
      <w:bookmarkStart w:id="21" w:name="_Toc15377207"/>
      <w:bookmarkStart w:id="22" w:name="_Toc15396605"/>
      <w:r>
        <w:rPr>
          <w:rFonts w:hint="eastAsia" w:ascii="仿宋_GB2312" w:hAnsi="仿宋_GB2312" w:eastAsia="仿宋_GB2312" w:cs="仿宋_GB2312"/>
          <w:b/>
          <w:bCs/>
          <w:sz w:val="32"/>
          <w:szCs w:val="32"/>
        </w:rPr>
        <w:t>三、支</w:t>
      </w:r>
      <w:r>
        <w:rPr>
          <w:rStyle w:val="19"/>
          <w:rFonts w:hint="eastAsia" w:ascii="仿宋_GB2312" w:hAnsi="仿宋_GB2312" w:eastAsia="仿宋_GB2312" w:cs="仿宋_GB2312"/>
        </w:rPr>
        <w:t>出决算情况说明</w:t>
      </w:r>
      <w:bookmarkEnd w:id="21"/>
      <w:bookmarkEnd w:id="22"/>
    </w:p>
    <w:p>
      <w:pPr>
        <w:spacing w:line="600" w:lineRule="exact"/>
        <w:ind w:firstLine="640" w:firstLineChars="200"/>
        <w:rPr>
          <w:rFonts w:ascii="仿宋_GB2312" w:hAnsi="仿宋_GB2312" w:eastAsia="仿宋_GB2312" w:cs="仿宋_GB2312"/>
          <w:sz w:val="32"/>
          <w:szCs w:val="32"/>
        </w:rPr>
      </w:pPr>
      <w:bookmarkStart w:id="23" w:name="_Toc15377208"/>
      <w:bookmarkStart w:id="24" w:name="_Toc15396606"/>
      <w:r>
        <w:rPr>
          <w:rFonts w:hint="eastAsia" w:ascii="仿宋_GB2312" w:hAnsi="仿宋_GB2312" w:eastAsia="仿宋_GB2312" w:cs="仿宋_GB2312"/>
          <w:sz w:val="32"/>
          <w:szCs w:val="32"/>
        </w:rPr>
        <w:t>2022年本年支出合计1913.38万元，其中：基本支出1520.85万元，占92.43%，项目支出392.53万元，占7.57%，上缴上级支出0万元，占0%，经营支出0万元，占0%，对附属单位补助支出万元，占0%。</w:t>
      </w:r>
    </w:p>
    <w:p>
      <w:pPr>
        <w:spacing w:line="600" w:lineRule="exact"/>
        <w:ind w:firstLine="643" w:firstLineChars="200"/>
        <w:outlineLvl w:val="1"/>
        <w:rPr>
          <w:rStyle w:val="19"/>
          <w:rFonts w:ascii="仿宋_GB2312" w:hAnsi="仿宋_GB2312" w:eastAsia="仿宋_GB2312" w:cs="仿宋_GB2312"/>
        </w:rPr>
      </w:pPr>
      <w:r>
        <w:rPr>
          <w:rFonts w:hint="eastAsia" w:ascii="仿宋_GB2312" w:hAnsi="仿宋_GB2312" w:eastAsia="仿宋_GB2312" w:cs="仿宋_GB2312"/>
          <w:b/>
          <w:bCs/>
          <w:sz w:val="32"/>
          <w:szCs w:val="32"/>
        </w:rPr>
        <w:t>四、财</w:t>
      </w:r>
      <w:r>
        <w:rPr>
          <w:rStyle w:val="19"/>
          <w:rFonts w:hint="eastAsia" w:ascii="仿宋_GB2312" w:hAnsi="仿宋_GB2312" w:eastAsia="仿宋_GB2312" w:cs="仿宋_GB2312"/>
        </w:rPr>
        <w:t>政拨款收入支出决算总体情况说明</w:t>
      </w:r>
      <w:bookmarkEnd w:id="23"/>
      <w:bookmarkEnd w:id="24"/>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柳沟镇人民政府2022年度财政拨款收入合计1913.38万元，与2021年相比，增加6.45%，主要变动原因是人员增多、经费增多。</w:t>
      </w:r>
    </w:p>
    <w:p>
      <w:pPr>
        <w:spacing w:line="576"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支出总决算1913.38万元。与2021年相比，增加6.45%。主要变动原因是人员增多、经费增多。</w:t>
      </w:r>
    </w:p>
    <w:p>
      <w:pPr>
        <w:spacing w:line="600" w:lineRule="exact"/>
        <w:ind w:firstLine="643" w:firstLineChars="200"/>
        <w:outlineLvl w:val="1"/>
        <w:rPr>
          <w:rStyle w:val="19"/>
          <w:rFonts w:ascii="仿宋_GB2312" w:hAnsi="仿宋_GB2312" w:eastAsia="仿宋_GB2312" w:cs="仿宋_GB2312"/>
          <w:b w:val="0"/>
          <w:bCs w:val="0"/>
        </w:rPr>
      </w:pPr>
      <w:bookmarkStart w:id="25" w:name="_Toc15377209"/>
      <w:bookmarkStart w:id="26" w:name="_Toc15396607"/>
      <w:r>
        <w:rPr>
          <w:rFonts w:hint="eastAsia" w:ascii="仿宋_GB2312" w:hAnsi="仿宋_GB2312" w:eastAsia="仿宋_GB2312" w:cs="仿宋_GB2312"/>
          <w:b/>
          <w:bCs/>
          <w:sz w:val="32"/>
          <w:szCs w:val="32"/>
        </w:rPr>
        <w:t>五、一</w:t>
      </w:r>
      <w:r>
        <w:rPr>
          <w:rStyle w:val="19"/>
          <w:rFonts w:hint="eastAsia" w:ascii="仿宋_GB2312" w:hAnsi="仿宋_GB2312" w:eastAsia="仿宋_GB2312" w:cs="仿宋_GB2312"/>
        </w:rPr>
        <w:t>般公共预算财政拨款支出决算情况说明</w:t>
      </w:r>
      <w:bookmarkEnd w:id="25"/>
      <w:bookmarkEnd w:id="26"/>
    </w:p>
    <w:p>
      <w:pPr>
        <w:spacing w:line="600" w:lineRule="exact"/>
        <w:ind w:firstLine="643" w:firstLineChars="200"/>
        <w:outlineLvl w:val="2"/>
        <w:rPr>
          <w:rFonts w:ascii="仿宋_GB2312" w:hAnsi="仿宋_GB2312" w:eastAsia="仿宋_GB2312" w:cs="仿宋_GB2312"/>
          <w:b/>
          <w:bCs/>
          <w:sz w:val="32"/>
          <w:szCs w:val="32"/>
        </w:rPr>
      </w:pPr>
      <w:bookmarkStart w:id="27" w:name="_Toc15377210"/>
      <w:r>
        <w:rPr>
          <w:rFonts w:hint="eastAsia" w:ascii="仿宋_GB2312" w:hAnsi="仿宋_GB2312" w:eastAsia="仿宋_GB2312" w:cs="仿宋_GB2312"/>
          <w:b/>
          <w:bCs/>
          <w:sz w:val="32"/>
          <w:szCs w:val="32"/>
        </w:rPr>
        <w:t>（一）一般公共预算财政拨款支出决算总体情况</w:t>
      </w:r>
      <w:bookmarkEnd w:id="27"/>
    </w:p>
    <w:p>
      <w:pPr>
        <w:spacing w:line="576"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柳沟镇人民政府2022年度一般公共预算财政拨款支出1913.38万元，占本年支出合计的100%。与2021年相比，一般公共预算财政拨款增加118.77万元，增加6.45%。主要变动原因是人员增多、经费增多。</w:t>
      </w:r>
    </w:p>
    <w:p>
      <w:pPr>
        <w:spacing w:line="600" w:lineRule="exact"/>
        <w:ind w:firstLine="643" w:firstLineChars="200"/>
        <w:outlineLvl w:val="2"/>
        <w:rPr>
          <w:rFonts w:ascii="仿宋_GB2312" w:hAnsi="仿宋_GB2312" w:eastAsia="仿宋_GB2312" w:cs="仿宋_GB2312"/>
          <w:b/>
          <w:bCs/>
          <w:sz w:val="32"/>
          <w:szCs w:val="32"/>
        </w:rPr>
      </w:pPr>
      <w:bookmarkStart w:id="28" w:name="_Toc15377211"/>
      <w:r>
        <w:rPr>
          <w:rFonts w:hint="eastAsia" w:ascii="仿宋_GB2312" w:hAnsi="仿宋_GB2312" w:eastAsia="仿宋_GB2312" w:cs="仿宋_GB2312"/>
          <w:b/>
          <w:bCs/>
          <w:sz w:val="32"/>
          <w:szCs w:val="32"/>
        </w:rPr>
        <w:t>（二）一般公共预算财政拨款支出决算结构情况</w:t>
      </w:r>
      <w:bookmarkEnd w:id="28"/>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柳沟镇人民政府2022年一般公共预算财政拨款支出1913.38万元，主要用于以下方面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一般公共服务支出579.4万元，占30.28%；203国防支出0.5万元，占0.03%；204公共安全支出1万元，占0.05%；207文化体育与传媒支出120.96万元，占6.32%；208社会保障和就业支出347.3万元，占18.15%；210医疗卫生支出155.06万元，占8.1%；212城乡社区支出13万元，占0.68%；213农林水支出613.05万元，占32.04%； 221住房保障支出82.91万元，占4.33%；224灾害防治及应急管理支出0.2万元，占0.01%。</w:t>
      </w:r>
    </w:p>
    <w:p>
      <w:pPr>
        <w:spacing w:line="600" w:lineRule="exact"/>
        <w:ind w:firstLine="643" w:firstLineChars="200"/>
        <w:outlineLvl w:val="2"/>
        <w:rPr>
          <w:rFonts w:ascii="仿宋_GB2312" w:hAnsi="仿宋_GB2312" w:eastAsia="仿宋_GB2312" w:cs="仿宋_GB2312"/>
          <w:b/>
          <w:bCs/>
          <w:sz w:val="32"/>
          <w:szCs w:val="32"/>
        </w:rPr>
      </w:pPr>
      <w:bookmarkStart w:id="29" w:name="_Toc15377212"/>
      <w:r>
        <w:rPr>
          <w:rFonts w:hint="eastAsia" w:ascii="仿宋_GB2312" w:hAnsi="仿宋_GB2312" w:eastAsia="仿宋_GB2312" w:cs="仿宋_GB2312"/>
          <w:b/>
          <w:bCs/>
          <w:sz w:val="32"/>
          <w:szCs w:val="32"/>
        </w:rPr>
        <w:t>（三）一般公共预算财政拨款支出决算具体情况</w:t>
      </w:r>
      <w:bookmarkEnd w:id="29"/>
    </w:p>
    <w:p>
      <w:pPr>
        <w:spacing w:line="576" w:lineRule="exact"/>
        <w:ind w:firstLine="643" w:firstLineChars="200"/>
        <w:rPr>
          <w:rFonts w:ascii="仿宋_GB2312" w:hAnsi="仿宋_GB2312" w:eastAsia="仿宋_GB2312" w:cs="仿宋_GB2312"/>
          <w:sz w:val="32"/>
          <w:szCs w:val="32"/>
        </w:rPr>
      </w:pPr>
      <w:r>
        <w:rPr>
          <w:rStyle w:val="16"/>
          <w:rFonts w:hint="eastAsia" w:ascii="仿宋_GB2312" w:hAnsi="仿宋_GB2312" w:eastAsia="仿宋_GB2312" w:cs="仿宋_GB2312"/>
          <w:sz w:val="32"/>
          <w:szCs w:val="32"/>
        </w:rPr>
        <w:t xml:space="preserve">1、一般公共服务 </w:t>
      </w:r>
      <w:r>
        <w:rPr>
          <w:rStyle w:val="16"/>
          <w:rFonts w:hint="eastAsia" w:ascii="仿宋_GB2312" w:hAnsi="仿宋_GB2312" w:eastAsia="仿宋_GB2312" w:cs="仿宋_GB2312"/>
          <w:sz w:val="32"/>
          <w:szCs w:val="32"/>
          <w:lang w:eastAsia="zh-CN"/>
        </w:rPr>
        <w:t>：</w:t>
      </w:r>
      <w:r>
        <w:rPr>
          <w:rFonts w:hint="eastAsia" w:ascii="仿宋_GB2312" w:hAnsi="仿宋_GB2312" w:cs="仿宋_GB2312"/>
          <w:bCs/>
          <w:sz w:val="32"/>
          <w:szCs w:val="32"/>
        </w:rPr>
        <w:t>一</w:t>
      </w:r>
      <w:r>
        <w:rPr>
          <w:rFonts w:hint="eastAsia" w:ascii="仿宋_GB2312" w:hAnsi="仿宋_GB2312" w:eastAsia="仿宋_GB2312" w:cs="仿宋_GB2312"/>
          <w:sz w:val="32"/>
          <w:szCs w:val="32"/>
        </w:rPr>
        <w:t>般公共服务</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）人大事务</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人大会议</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2022年决算数为3.88万元，完成预算100%。一般公共服务</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）政府办公厅（室）及相关机构事务</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行政运行</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2022年决算数为536.84万元，完成预算100%。一般公共服务</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）政府办公厅（室）及相关机构事务</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一般行政管理事务</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2022年决算数为15.33万元，完成预算100%。一般公共服务</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）政府办公厅（室）及相关机构事务</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信访事务</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2022年决算数为1万元，完成预算100%。一般公共服务</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）政府办公厅（室）及相关机构事务</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事业运行</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2022年决算数为10.8万元，完成预算100%.一般公共服务</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）群众团体事务</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其他群众团体事务</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2022年决算数为0.5万元，完成预算100%.一般公共服务</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）组织事务</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其他组织事务</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2022年决算数为8.55万元，完成预算100%。一般公共服务</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）宣传事务</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其他宣传事务</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2022年决算数为0.5万元，完成预算100%。一般公共服务</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）其他一般公共服务支出</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其他一般公共服务支出</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2022年决算数为2万元，完成预算100%。</w:t>
      </w:r>
    </w:p>
    <w:p>
      <w:pPr>
        <w:spacing w:line="576" w:lineRule="exact"/>
        <w:ind w:firstLine="643" w:firstLineChars="200"/>
        <w:rPr>
          <w:rFonts w:ascii="仿宋_GB2312" w:hAnsi="仿宋_GB2312" w:eastAsia="仿宋_GB2312" w:cs="仿宋_GB2312"/>
          <w:sz w:val="32"/>
          <w:szCs w:val="32"/>
        </w:rPr>
      </w:pPr>
      <w:r>
        <w:rPr>
          <w:rStyle w:val="16"/>
          <w:rFonts w:hint="eastAsia" w:ascii="仿宋_GB2312" w:hAnsi="仿宋_GB2312" w:eastAsia="仿宋_GB2312" w:cs="仿宋_GB2312"/>
          <w:sz w:val="32"/>
          <w:szCs w:val="32"/>
        </w:rPr>
        <w:t>2、国防支出：</w:t>
      </w:r>
      <w:r>
        <w:rPr>
          <w:rFonts w:hint="eastAsia" w:ascii="仿宋_GB2312" w:hAnsi="仿宋_GB2312" w:eastAsia="仿宋_GB2312" w:cs="仿宋_GB2312"/>
          <w:sz w:val="32"/>
          <w:szCs w:val="32"/>
        </w:rPr>
        <w:t>国防</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）国防动员</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兵役征集</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2022年决算数为0.5万元，完成预算100%。</w:t>
      </w:r>
    </w:p>
    <w:p>
      <w:pPr>
        <w:pStyle w:val="2"/>
        <w:spacing w:before="72"/>
      </w:pPr>
      <w:r>
        <w:rPr>
          <w:rFonts w:hint="eastAsia"/>
        </w:rPr>
        <w:t xml:space="preserve">     </w:t>
      </w:r>
      <w:r>
        <w:rPr>
          <w:rStyle w:val="16"/>
          <w:rFonts w:hint="eastAsia" w:hAnsi="仿宋_GB2312"/>
          <w:kern w:val="2"/>
          <w:sz w:val="32"/>
          <w:szCs w:val="32"/>
        </w:rPr>
        <w:t xml:space="preserve"> 3.公共安全支出：</w:t>
      </w:r>
      <w:r>
        <w:rPr>
          <w:rFonts w:hint="eastAsia" w:hAnsi="仿宋_GB2312"/>
          <w:kern w:val="2"/>
          <w:sz w:val="32"/>
          <w:szCs w:val="32"/>
        </w:rPr>
        <w:t>公共安全</w:t>
      </w:r>
      <w:r>
        <w:rPr>
          <w:rFonts w:hAnsi="仿宋_GB2312"/>
          <w:kern w:val="2"/>
          <w:sz w:val="32"/>
          <w:szCs w:val="32"/>
        </w:rPr>
        <w:t>（类</w:t>
      </w:r>
      <w:r>
        <w:rPr>
          <w:rFonts w:hint="eastAsia" w:hAnsi="仿宋_GB2312"/>
          <w:kern w:val="2"/>
          <w:sz w:val="32"/>
          <w:szCs w:val="32"/>
        </w:rPr>
        <w:t>）强制隔离戒毒</w:t>
      </w:r>
      <w:r>
        <w:rPr>
          <w:rFonts w:hAnsi="仿宋_GB2312"/>
          <w:kern w:val="2"/>
          <w:sz w:val="32"/>
          <w:szCs w:val="32"/>
        </w:rPr>
        <w:t>（款）</w:t>
      </w:r>
      <w:r>
        <w:rPr>
          <w:rFonts w:hint="eastAsia" w:hAnsi="仿宋_GB2312"/>
          <w:kern w:val="2"/>
          <w:sz w:val="32"/>
          <w:szCs w:val="32"/>
        </w:rPr>
        <w:t>其他强制隔离戒毒</w:t>
      </w:r>
      <w:r>
        <w:rPr>
          <w:rFonts w:hAnsi="仿宋_GB2312"/>
          <w:kern w:val="2"/>
          <w:sz w:val="32"/>
          <w:szCs w:val="32"/>
        </w:rPr>
        <w:t>（项）</w:t>
      </w:r>
      <w:r>
        <w:rPr>
          <w:rFonts w:hint="eastAsia" w:hAnsi="仿宋_GB2312"/>
          <w:kern w:val="2"/>
          <w:sz w:val="32"/>
          <w:szCs w:val="32"/>
        </w:rPr>
        <w:t>2022年决算数为1万元，完成预算100%</w:t>
      </w:r>
      <w:r>
        <w:rPr>
          <w:rFonts w:hint="eastAsia" w:hAnsi="仿宋_GB2312"/>
          <w:sz w:val="32"/>
          <w:szCs w:val="32"/>
        </w:rPr>
        <w:t>。</w:t>
      </w:r>
    </w:p>
    <w:p>
      <w:pPr>
        <w:spacing w:line="576" w:lineRule="exact"/>
        <w:ind w:firstLine="643" w:firstLineChars="200"/>
        <w:rPr>
          <w:rFonts w:ascii="仿宋_GB2312" w:hAnsi="仿宋_GB2312" w:eastAsia="仿宋_GB2312" w:cs="仿宋_GB2312"/>
          <w:sz w:val="32"/>
          <w:szCs w:val="32"/>
        </w:rPr>
      </w:pPr>
      <w:r>
        <w:rPr>
          <w:rStyle w:val="16"/>
          <w:rFonts w:hint="eastAsia" w:ascii="仿宋_GB2312" w:hAnsi="仿宋_GB2312" w:eastAsia="仿宋_GB2312" w:cs="仿宋_GB2312"/>
          <w:sz w:val="32"/>
          <w:szCs w:val="32"/>
        </w:rPr>
        <w:t>4、文化体育与传媒</w:t>
      </w:r>
      <w:r>
        <w:rPr>
          <w:rStyle w:val="16"/>
          <w:rFonts w:hint="eastAsia" w:ascii="仿宋_GB2312" w:hAnsi="仿宋_GB2312" w:eastAsia="仿宋_GB2312" w:cs="仿宋_GB2312"/>
          <w:sz w:val="32"/>
          <w:szCs w:val="32"/>
          <w:lang w:eastAsia="zh-CN"/>
        </w:rPr>
        <w:t>：</w:t>
      </w:r>
      <w:r>
        <w:rPr>
          <w:rFonts w:hint="eastAsia" w:ascii="仿宋_GB2312" w:hAnsi="仿宋_GB2312" w:cs="仿宋_GB2312"/>
          <w:bCs/>
          <w:sz w:val="32"/>
          <w:szCs w:val="32"/>
        </w:rPr>
        <w:t>文</w:t>
      </w:r>
      <w:r>
        <w:rPr>
          <w:rFonts w:hint="eastAsia" w:ascii="仿宋_GB2312" w:hAnsi="仿宋_GB2312" w:eastAsia="仿宋_GB2312" w:cs="仿宋_GB2312"/>
          <w:sz w:val="32"/>
          <w:szCs w:val="32"/>
        </w:rPr>
        <w:t>化旅游体育与传媒</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）文化和旅游</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群众文化</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2022年决算数为0.72万元，完成预算100%。文化旅游体育与传媒</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）文化和旅游</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文化和旅游管理事务</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2022年决算数为120.24万元，完成预算100%。</w:t>
      </w:r>
    </w:p>
    <w:p>
      <w:pPr>
        <w:spacing w:line="576" w:lineRule="exact"/>
        <w:ind w:firstLine="643" w:firstLineChars="200"/>
        <w:rPr>
          <w:rFonts w:ascii="仿宋_GB2312" w:hAnsi="仿宋_GB2312" w:eastAsia="仿宋_GB2312" w:cs="仿宋_GB2312"/>
          <w:color w:val="FF0000"/>
          <w:sz w:val="32"/>
          <w:szCs w:val="32"/>
        </w:rPr>
      </w:pPr>
      <w:r>
        <w:rPr>
          <w:rStyle w:val="16"/>
          <w:rFonts w:hint="eastAsia" w:ascii="仿宋_GB2312" w:hAnsi="仿宋_GB2312" w:eastAsia="仿宋_GB2312" w:cs="仿宋_GB2312"/>
          <w:sz w:val="32"/>
          <w:szCs w:val="32"/>
        </w:rPr>
        <w:t>5、社会保障和就业</w:t>
      </w:r>
      <w:r>
        <w:rPr>
          <w:rStyle w:val="16"/>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社会保障和就业（类</w:t>
      </w:r>
      <w:r>
        <w:rPr>
          <w:rFonts w:hint="eastAsia" w:ascii="仿宋_GB2312" w:hAnsi="仿宋_GB2312" w:eastAsia="仿宋_GB2312" w:cs="仿宋_GB2312"/>
          <w:sz w:val="32"/>
          <w:szCs w:val="32"/>
        </w:rPr>
        <w:t>）民政管理事务</w:t>
      </w:r>
      <w:r>
        <w:rPr>
          <w:rFonts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基层政权</w:t>
      </w:r>
      <w:r>
        <w:rPr>
          <w:rFonts w:hint="eastAsia" w:ascii="仿宋_GB2312" w:hAnsi="仿宋_GB2312" w:eastAsia="仿宋_GB2312" w:cs="仿宋_GB2312"/>
          <w:sz w:val="32"/>
          <w:szCs w:val="32"/>
        </w:rPr>
        <w:t>建设和社区治理</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2022年决算数为236.75万元，完成预算100%。</w:t>
      </w:r>
      <w:r>
        <w:rPr>
          <w:rFonts w:ascii="仿宋_GB2312" w:hAnsi="仿宋_GB2312" w:eastAsia="仿宋_GB2312" w:cs="仿宋_GB2312"/>
          <w:sz w:val="32"/>
          <w:szCs w:val="32"/>
        </w:rPr>
        <w:t>社会保障和就业（类）行政事业单位离退休（款）机关事业单位基本养老保险缴费支出（项）</w:t>
      </w:r>
      <w:r>
        <w:rPr>
          <w:rFonts w:hint="eastAsia" w:ascii="仿宋_GB2312" w:hAnsi="仿宋_GB2312" w:eastAsia="仿宋_GB2312" w:cs="仿宋_GB2312"/>
          <w:sz w:val="32"/>
          <w:szCs w:val="32"/>
        </w:rPr>
        <w:t>2022年决算数为110.55万元，完成预算100%。　</w:t>
      </w:r>
      <w:r>
        <w:rPr>
          <w:rFonts w:hint="eastAsia" w:ascii="仿宋_GB2312" w:hAnsi="仿宋_GB2312" w:eastAsia="仿宋_GB2312" w:cs="仿宋_GB2312"/>
          <w:color w:val="FF0000"/>
          <w:sz w:val="32"/>
          <w:szCs w:val="32"/>
        </w:rPr>
        <w:t xml:space="preserve">　                       </w:t>
      </w:r>
    </w:p>
    <w:p>
      <w:pPr>
        <w:spacing w:line="576" w:lineRule="exact"/>
        <w:ind w:firstLine="643" w:firstLineChars="200"/>
        <w:rPr>
          <w:rFonts w:ascii="仿宋_GB2312" w:hAnsi="仿宋_GB2312" w:eastAsia="仿宋_GB2312" w:cs="仿宋_GB2312"/>
          <w:sz w:val="32"/>
          <w:szCs w:val="32"/>
        </w:rPr>
      </w:pPr>
      <w:r>
        <w:rPr>
          <w:rStyle w:val="16"/>
          <w:rFonts w:hint="eastAsia" w:ascii="仿宋_GB2312" w:hAnsi="仿宋_GB2312" w:eastAsia="仿宋_GB2312" w:cs="仿宋_GB2312"/>
          <w:sz w:val="32"/>
          <w:szCs w:val="32"/>
        </w:rPr>
        <w:t>6、医疗卫生与计划生育</w:t>
      </w:r>
      <w:r>
        <w:rPr>
          <w:rStyle w:val="16"/>
          <w:rFonts w:hint="eastAsia" w:ascii="仿宋_GB2312" w:hAnsi="仿宋_GB2312" w:eastAsia="仿宋_GB2312" w:cs="仿宋_GB2312"/>
          <w:sz w:val="32"/>
          <w:szCs w:val="32"/>
          <w:lang w:eastAsia="zh-CN"/>
        </w:rPr>
        <w:t>：</w:t>
      </w:r>
      <w:r>
        <w:rPr>
          <w:rFonts w:hint="eastAsia" w:ascii="仿宋_GB2312" w:hAnsi="仿宋_GB2312" w:cs="仿宋_GB2312"/>
          <w:bCs/>
          <w:sz w:val="32"/>
          <w:szCs w:val="32"/>
        </w:rPr>
        <w:t>卫</w:t>
      </w:r>
      <w:r>
        <w:rPr>
          <w:rFonts w:hint="eastAsia" w:ascii="仿宋_GB2312" w:hAnsi="仿宋_GB2312" w:eastAsia="仿宋_GB2312" w:cs="仿宋_GB2312"/>
          <w:sz w:val="32"/>
          <w:szCs w:val="32"/>
        </w:rPr>
        <w:t>生健康</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公共卫生</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重大公共卫生服务</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2022年决算数为99.28万元，完成预算100%。</w:t>
      </w:r>
      <w:r>
        <w:rPr>
          <w:rFonts w:ascii="仿宋_GB2312" w:hAnsi="仿宋_GB2312" w:eastAsia="仿宋_GB2312" w:cs="仿宋_GB2312"/>
          <w:sz w:val="32"/>
          <w:szCs w:val="32"/>
        </w:rPr>
        <w:t>卫生健康（类）行政事业单位医疗（款）行政单位医疗（项）</w:t>
      </w:r>
      <w:r>
        <w:rPr>
          <w:rFonts w:hint="eastAsia" w:ascii="仿宋_GB2312" w:hAnsi="仿宋_GB2312" w:eastAsia="仿宋_GB2312" w:cs="仿宋_GB2312"/>
          <w:sz w:val="32"/>
          <w:szCs w:val="32"/>
        </w:rPr>
        <w:t>2022年决算数为55.28万元，完成预算100%。</w:t>
      </w:r>
    </w:p>
    <w:p>
      <w:pPr>
        <w:spacing w:line="576" w:lineRule="exact"/>
        <w:ind w:firstLine="643" w:firstLineChars="200"/>
        <w:rPr>
          <w:rFonts w:ascii="仿宋_GB2312" w:hAnsi="仿宋_GB2312" w:eastAsia="仿宋_GB2312" w:cs="仿宋_GB2312"/>
          <w:sz w:val="32"/>
          <w:szCs w:val="32"/>
        </w:rPr>
      </w:pPr>
      <w:r>
        <w:rPr>
          <w:rStyle w:val="16"/>
          <w:rFonts w:hint="eastAsia" w:ascii="仿宋_GB2312" w:hAnsi="仿宋_GB2312" w:eastAsia="仿宋_GB2312" w:cs="仿宋_GB2312"/>
          <w:sz w:val="32"/>
          <w:szCs w:val="32"/>
        </w:rPr>
        <w:t>7、城乡社区支出：</w:t>
      </w:r>
      <w:r>
        <w:rPr>
          <w:rFonts w:hint="eastAsia" w:ascii="仿宋_GB2312" w:hAnsi="仿宋_GB2312" w:eastAsia="仿宋_GB2312" w:cs="仿宋_GB2312"/>
          <w:sz w:val="32"/>
          <w:szCs w:val="32"/>
        </w:rPr>
        <w:t>城乡社区</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城乡社区环境卫生</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城乡社区环境卫生</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2022年决算数为13万元，完成预算100%。</w:t>
      </w:r>
    </w:p>
    <w:p>
      <w:pPr>
        <w:spacing w:line="576" w:lineRule="exact"/>
        <w:ind w:firstLine="643" w:firstLineChars="200"/>
        <w:rPr>
          <w:rFonts w:ascii="仿宋_GB2312" w:hAnsi="仿宋_GB2312" w:eastAsia="仿宋_GB2312" w:cs="仿宋_GB2312"/>
          <w:sz w:val="32"/>
          <w:szCs w:val="32"/>
        </w:rPr>
      </w:pPr>
      <w:r>
        <w:rPr>
          <w:rStyle w:val="16"/>
          <w:rFonts w:hint="eastAsia" w:ascii="仿宋_GB2312" w:hAnsi="仿宋_GB2312" w:eastAsia="仿宋_GB2312" w:cs="仿宋_GB2312"/>
          <w:sz w:val="32"/>
          <w:szCs w:val="32"/>
        </w:rPr>
        <w:t>8、农林水支出：</w:t>
      </w:r>
      <w:r>
        <w:rPr>
          <w:rFonts w:hint="eastAsia" w:ascii="仿宋_GB2312" w:hAnsi="仿宋_GB2312" w:eastAsia="仿宋_GB2312" w:cs="仿宋_GB2312"/>
          <w:sz w:val="32"/>
          <w:szCs w:val="32"/>
        </w:rPr>
        <w:t>农林水</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农业农村</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事业运行</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2022年决算数为364.23万元，完成预算100%，农林水</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农业农村</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其他防灾救灾</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2022年决算数为18.6万元，完成预算100%，农林水</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林业和草原</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林业草原防灾减灾</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2022年决算数为2万元，完成预算100%。农林水</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巩固脱贫衔接与乡村振兴</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生产发展</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2022年决算数为16.96万元，完成预算100%。农林水</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巩固脱贫衔接与乡村振兴</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其他巩固脱贫衔接与乡村振兴</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2022年决算数为19.29万元，完成预算100%。农林水</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农村综合改革</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对村民委员会和村党支部的补助</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2022年决算数为186.97万元，完成预算100%。</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8</w:t>
      </w:r>
      <w:r>
        <w:rPr>
          <w:rFonts w:hint="eastAsia" w:ascii="仿宋_GB2312" w:hAnsi="仿宋_GB2312" w:eastAsia="仿宋_GB2312" w:cs="仿宋_GB2312"/>
          <w:sz w:val="32"/>
          <w:szCs w:val="32"/>
        </w:rPr>
        <w:t>、</w:t>
      </w:r>
      <w:r>
        <w:rPr>
          <w:rStyle w:val="16"/>
          <w:rFonts w:hint="eastAsia" w:ascii="仿宋_GB2312" w:hAnsi="仿宋_GB2312" w:eastAsia="仿宋_GB2312" w:cs="仿宋_GB2312"/>
          <w:sz w:val="32"/>
          <w:szCs w:val="32"/>
        </w:rPr>
        <w:t>住房保障支出：</w:t>
      </w:r>
      <w:r>
        <w:rPr>
          <w:rFonts w:ascii="仿宋_GB2312" w:hAnsi="仿宋_GB2312" w:cs="仿宋_GB2312"/>
          <w:bCs/>
          <w:sz w:val="32"/>
          <w:szCs w:val="32"/>
        </w:rPr>
        <w:t>住房保障（类）住房改革支出（款）住房公积金（项）</w:t>
      </w:r>
      <w:r>
        <w:rPr>
          <w:rFonts w:hint="eastAsia" w:ascii="仿宋_GB2312" w:hAnsi="仿宋_GB2312" w:eastAsia="仿宋_GB2312" w:cs="仿宋_GB2312"/>
          <w:sz w:val="32"/>
          <w:szCs w:val="32"/>
        </w:rPr>
        <w:t>2022年决算数为82.91万元，完成预算100%。</w:t>
      </w:r>
    </w:p>
    <w:p>
      <w:pPr>
        <w:spacing w:line="576" w:lineRule="exact"/>
        <w:ind w:firstLine="643" w:firstLineChars="200"/>
        <w:rPr>
          <w:rFonts w:ascii="仿宋_GB2312" w:hAnsi="仿宋_GB2312" w:eastAsia="仿宋_GB2312" w:cs="仿宋_GB2312"/>
          <w:sz w:val="32"/>
          <w:szCs w:val="32"/>
        </w:rPr>
      </w:pPr>
      <w:r>
        <w:rPr>
          <w:rStyle w:val="16"/>
          <w:rFonts w:hint="eastAsia" w:ascii="仿宋_GB2312" w:hAnsi="仿宋_GB2312" w:eastAsia="仿宋_GB2312" w:cs="仿宋_GB2312"/>
          <w:sz w:val="32"/>
          <w:szCs w:val="32"/>
        </w:rPr>
        <w:t>9、灾害防治及应急管理支出：</w:t>
      </w:r>
      <w:r>
        <w:rPr>
          <w:rFonts w:hint="eastAsia" w:ascii="仿宋_GB2312" w:hAnsi="仿宋_GB2312" w:cs="仿宋_GB2312"/>
          <w:bCs/>
          <w:sz w:val="32"/>
          <w:szCs w:val="32"/>
        </w:rPr>
        <w:t>灾害防治及应急管理</w:t>
      </w:r>
      <w:r>
        <w:rPr>
          <w:rFonts w:ascii="仿宋_GB2312" w:hAnsi="仿宋_GB2312" w:cs="仿宋_GB2312"/>
          <w:bCs/>
          <w:sz w:val="32"/>
          <w:szCs w:val="32"/>
        </w:rPr>
        <w:t>（类）</w:t>
      </w:r>
      <w:r>
        <w:rPr>
          <w:rFonts w:hint="eastAsia" w:ascii="仿宋_GB2312" w:hAnsi="仿宋_GB2312" w:cs="仿宋_GB2312"/>
          <w:bCs/>
          <w:sz w:val="32"/>
          <w:szCs w:val="32"/>
        </w:rPr>
        <w:t>应急管理事务</w:t>
      </w:r>
      <w:r>
        <w:rPr>
          <w:rFonts w:ascii="仿宋_GB2312" w:hAnsi="仿宋_GB2312" w:cs="仿宋_GB2312"/>
          <w:bCs/>
          <w:sz w:val="32"/>
          <w:szCs w:val="32"/>
        </w:rPr>
        <w:t>（款）</w:t>
      </w:r>
      <w:r>
        <w:rPr>
          <w:rFonts w:hint="eastAsia" w:ascii="仿宋_GB2312" w:hAnsi="仿宋_GB2312" w:cs="仿宋_GB2312"/>
          <w:bCs/>
          <w:sz w:val="32"/>
          <w:szCs w:val="32"/>
        </w:rPr>
        <w:t>应急管理</w:t>
      </w:r>
      <w:r>
        <w:rPr>
          <w:rFonts w:ascii="仿宋_GB2312" w:hAnsi="仿宋_GB2312" w:cs="仿宋_GB2312"/>
          <w:bCs/>
          <w:sz w:val="32"/>
          <w:szCs w:val="32"/>
        </w:rPr>
        <w:t>（项）</w:t>
      </w:r>
      <w:r>
        <w:rPr>
          <w:rFonts w:hint="eastAsia" w:ascii="仿宋_GB2312" w:hAnsi="仿宋_GB2312" w:eastAsia="仿宋_GB2312" w:cs="仿宋_GB2312"/>
          <w:sz w:val="32"/>
          <w:szCs w:val="32"/>
        </w:rPr>
        <w:t>2022年决算数为0.2万元，完成预算100%。</w:t>
      </w:r>
    </w:p>
    <w:p>
      <w:pPr>
        <w:tabs>
          <w:tab w:val="right" w:pos="8306"/>
        </w:tabs>
        <w:spacing w:line="600" w:lineRule="exact"/>
        <w:ind w:firstLine="640"/>
        <w:outlineLvl w:val="1"/>
        <w:rPr>
          <w:rStyle w:val="19"/>
          <w:rFonts w:ascii="仿宋_GB2312" w:hAnsi="仿宋_GB2312" w:eastAsia="仿宋_GB2312" w:cs="仿宋_GB2312"/>
        </w:rPr>
      </w:pPr>
      <w:bookmarkStart w:id="30" w:name="_Toc15396608"/>
      <w:bookmarkStart w:id="31" w:name="_Toc15377214"/>
      <w:r>
        <w:rPr>
          <w:rFonts w:hint="eastAsia" w:ascii="仿宋_GB2312" w:hAnsi="仿宋_GB2312" w:eastAsia="仿宋_GB2312" w:cs="仿宋_GB2312"/>
          <w:b/>
          <w:bCs/>
          <w:sz w:val="32"/>
          <w:szCs w:val="32"/>
        </w:rPr>
        <w:t>六、一</w:t>
      </w:r>
      <w:r>
        <w:rPr>
          <w:rStyle w:val="19"/>
          <w:rFonts w:hint="eastAsia" w:ascii="仿宋_GB2312" w:hAnsi="仿宋_GB2312" w:eastAsia="仿宋_GB2312" w:cs="仿宋_GB2312"/>
        </w:rPr>
        <w:t>般公共预算财政拨款基本支出决算情况说明</w:t>
      </w:r>
      <w:bookmarkEnd w:id="30"/>
      <w:bookmarkEnd w:id="31"/>
      <w:r>
        <w:rPr>
          <w:rStyle w:val="19"/>
          <w:rFonts w:hint="eastAsia" w:ascii="仿宋_GB2312" w:hAnsi="仿宋_GB2312" w:eastAsia="仿宋_GB2312" w:cs="仿宋_GB2312"/>
          <w:b w:val="0"/>
          <w:bCs w:val="0"/>
        </w:rPr>
        <w:tab/>
      </w:r>
    </w:p>
    <w:p>
      <w:pPr>
        <w:spacing w:line="576" w:lineRule="exact"/>
        <w:ind w:firstLine="645"/>
        <w:rPr>
          <w:rFonts w:ascii="仿宋_GB2312" w:hAnsi="仿宋_GB2312" w:eastAsia="仿宋_GB2312" w:cs="仿宋_GB2312"/>
          <w:sz w:val="32"/>
          <w:szCs w:val="32"/>
        </w:rPr>
      </w:pPr>
      <w:bookmarkStart w:id="32" w:name="_Toc15377215"/>
      <w:bookmarkStart w:id="33" w:name="_Toc15396609"/>
      <w:r>
        <w:rPr>
          <w:rFonts w:hint="eastAsia" w:ascii="仿宋_GB2312" w:hAnsi="仿宋_GB2312" w:eastAsia="仿宋_GB2312" w:cs="仿宋_GB2312"/>
          <w:sz w:val="32"/>
          <w:szCs w:val="32"/>
        </w:rPr>
        <w:t>柳沟镇人民政府2022年一般公共预算财政拨款基本支出1520.85万元，其中：</w:t>
      </w:r>
    </w:p>
    <w:p>
      <w:pPr>
        <w:spacing w:line="576"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人员经费1382.28万元，主要包括：基本工资406.06万元、津贴补贴135.74万元、奖金389.32万元、绩效工资190.39万元，伙食补助0万元，机关事业单位基本养老保险缴费110.55万元，职工基本医疗保险缴费55.27万元，其他社会保障缴费1.98，住房公积金82.91万元。其他工资福利支出0万元，生活补助235.67万元。</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公用经费138.57万元，主要包括：办公费45.91万元、印刷费6万元、水费3.79万元、电费8万元、邮电费9万元、差旅费24.02万元、租赁费2万元、会议费5万元、培训费2万元、公务接待4.26万元、工会经费4.64万元、福利费7.79万元、其他交通费28.58万元。</w:t>
      </w:r>
    </w:p>
    <w:p>
      <w:pPr>
        <w:spacing w:line="600" w:lineRule="exact"/>
        <w:ind w:firstLine="640"/>
        <w:outlineLvl w:val="1"/>
        <w:rPr>
          <w:rStyle w:val="19"/>
          <w:rFonts w:ascii="仿宋_GB2312" w:hAnsi="仿宋_GB2312" w:eastAsia="仿宋_GB2312" w:cs="仿宋_GB2312"/>
          <w:b w:val="0"/>
          <w:bCs w:val="0"/>
        </w:rPr>
      </w:pPr>
      <w:r>
        <w:rPr>
          <w:rFonts w:hint="eastAsia" w:ascii="仿宋_GB2312" w:hAnsi="仿宋_GB2312" w:eastAsia="仿宋_GB2312" w:cs="仿宋_GB2312"/>
          <w:b/>
          <w:bCs/>
          <w:sz w:val="32"/>
          <w:szCs w:val="32"/>
        </w:rPr>
        <w:t>七、</w:t>
      </w:r>
      <w:r>
        <w:rPr>
          <w:rStyle w:val="19"/>
          <w:rFonts w:hint="eastAsia" w:ascii="仿宋_GB2312" w:hAnsi="仿宋_GB2312" w:eastAsia="仿宋_GB2312" w:cs="仿宋_GB2312"/>
        </w:rPr>
        <w:t>“三公”经费财政拨款支出决算情况说明</w:t>
      </w:r>
      <w:bookmarkEnd w:id="32"/>
      <w:bookmarkEnd w:id="33"/>
    </w:p>
    <w:p>
      <w:pPr>
        <w:spacing w:line="600" w:lineRule="exact"/>
        <w:ind w:firstLine="640"/>
        <w:outlineLvl w:val="2"/>
        <w:rPr>
          <w:rFonts w:ascii="仿宋_GB2312" w:hAnsi="仿宋_GB2312" w:eastAsia="仿宋_GB2312" w:cs="仿宋_GB2312"/>
          <w:b/>
          <w:bCs/>
          <w:sz w:val="32"/>
          <w:szCs w:val="32"/>
        </w:rPr>
      </w:pPr>
      <w:bookmarkStart w:id="34" w:name="_Toc15377216"/>
      <w:r>
        <w:rPr>
          <w:rFonts w:hint="eastAsia" w:ascii="仿宋_GB2312" w:hAnsi="仿宋_GB2312" w:eastAsia="仿宋_GB2312" w:cs="仿宋_GB2312"/>
          <w:b/>
          <w:bCs/>
          <w:sz w:val="32"/>
          <w:szCs w:val="32"/>
        </w:rPr>
        <w:t>（一）“三公”经费财政拨款支出决算总体情况说明</w:t>
      </w:r>
      <w:bookmarkEnd w:id="34"/>
    </w:p>
    <w:p>
      <w:pPr>
        <w:spacing w:line="576" w:lineRule="exact"/>
        <w:ind w:firstLine="640"/>
        <w:rPr>
          <w:rFonts w:ascii="仿宋_GB2312" w:hAnsi="仿宋_GB2312" w:eastAsia="仿宋_GB2312" w:cs="仿宋_GB2312"/>
          <w:sz w:val="32"/>
          <w:szCs w:val="32"/>
        </w:rPr>
      </w:pPr>
      <w:bookmarkStart w:id="35" w:name="_Toc15377217"/>
      <w:r>
        <w:rPr>
          <w:rFonts w:hint="eastAsia" w:ascii="仿宋_GB2312" w:hAnsi="仿宋_GB2312" w:eastAsia="仿宋_GB2312" w:cs="仿宋_GB2312"/>
          <w:sz w:val="32"/>
          <w:szCs w:val="32"/>
        </w:rPr>
        <w:t>柳沟镇人民政府2022年度“三公”经费财政拨款支出决算为4.26万元，其中：公务接待费支出决算为4.26万元，完成预算100%。</w:t>
      </w:r>
    </w:p>
    <w:p>
      <w:pPr>
        <w:spacing w:line="576" w:lineRule="exact"/>
        <w:ind w:firstLine="64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2022年度“三公”经费财政拨款支出决算数比2021年减少7.64万元，下降0%，其中：公务接待费支出决算减少7.64万元，下降64.2%。</w:t>
      </w:r>
    </w:p>
    <w:p>
      <w:pPr>
        <w:spacing w:line="600" w:lineRule="exact"/>
        <w:ind w:firstLine="64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（二）“三公”经费财政拨款支出决算具体情况说明</w:t>
      </w:r>
      <w:bookmarkEnd w:id="35"/>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2022年度“三公”经费财政拨款支出决算中，因公出国（境）费支出决算0.00万元，占0.00%；公务用车购置及运行维护费支出决算0.00万元；占0.00%；公务接待费支出决算4.26万元，占100%。具体情况如下：</w:t>
      </w:r>
    </w:p>
    <w:p>
      <w:pPr>
        <w:spacing w:line="576" w:lineRule="exact"/>
        <w:ind w:firstLine="640"/>
        <w:rPr>
          <w:rFonts w:ascii="仿宋_GB2312" w:hAnsi="仿宋_GB2312" w:eastAsia="仿宋_GB2312" w:cs="仿宋_GB2312"/>
          <w:b/>
          <w:sz w:val="32"/>
          <w:szCs w:val="32"/>
        </w:rPr>
      </w:pPr>
      <w:bookmarkStart w:id="36" w:name="_Toc15396610"/>
      <w:bookmarkStart w:id="37" w:name="_Toc15377218"/>
      <w:r>
        <w:rPr>
          <w:rFonts w:hint="eastAsia" w:ascii="仿宋_GB2312" w:hAnsi="仿宋_GB2312" w:eastAsia="仿宋_GB2312" w:cs="仿宋_GB2312"/>
          <w:b/>
          <w:sz w:val="32"/>
          <w:szCs w:val="32"/>
        </w:rPr>
        <w:t>1.因公出国（境）经费</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2022年因公出国（境）费0.00万元。全年安排因公出国（境）团组0次，出国（境）0人。</w:t>
      </w:r>
    </w:p>
    <w:p>
      <w:pPr>
        <w:spacing w:line="576"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2.公务用车购置及运行维护费</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2022年公务用车购置及运行维护费0万元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公务用车购置支出0.00万元。全年按规定更新购置公务用车0辆，其中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轿车0辆、金额0万元，越野车0辆、金额0.00万元，载客汽车0辆、金额0.00万元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截至2022年12月底，单位共有公务用车0辆，其中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轿车0辆、越野车0辆、载客汽车0辆。</w:t>
      </w:r>
    </w:p>
    <w:p>
      <w:pPr>
        <w:spacing w:line="576" w:lineRule="exact"/>
        <w:ind w:firstLine="64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公务用车运行维护费支出0万元</w:t>
      </w:r>
      <w:r>
        <w:rPr>
          <w:rFonts w:hint="eastAsia" w:ascii="仿宋_GB2312" w:hAnsi="仿宋_GB2312" w:eastAsia="仿宋_GB2312" w:cs="仿宋_GB2312"/>
          <w:color w:val="FF0000"/>
          <w:sz w:val="32"/>
          <w:szCs w:val="32"/>
        </w:rPr>
        <w:t>。</w:t>
      </w:r>
    </w:p>
    <w:p>
      <w:pPr>
        <w:spacing w:line="576"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3.公务接待费</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2022年公务接待费4.26万元。主要用于执行公务、开展业务活动开支的交通费、住宿费、用餐费等。国内公务接待156批次，1985人，共计支出4.26万元，具体内容包括：上级检查、审计、督察等工作接待、金额4.26万元。</w:t>
      </w:r>
    </w:p>
    <w:p>
      <w:pPr>
        <w:spacing w:line="600" w:lineRule="exact"/>
        <w:ind w:firstLine="640"/>
        <w:outlineLvl w:val="1"/>
        <w:rPr>
          <w:rStyle w:val="19"/>
          <w:rFonts w:ascii="仿宋_GB2312" w:hAnsi="仿宋_GB2312" w:eastAsia="仿宋_GB2312" w:cs="仿宋_GB2312"/>
        </w:rPr>
      </w:pPr>
      <w:r>
        <w:rPr>
          <w:rFonts w:hint="eastAsia" w:ascii="仿宋_GB2312" w:hAnsi="仿宋_GB2312" w:eastAsia="仿宋_GB2312" w:cs="仿宋_GB2312"/>
          <w:b/>
          <w:bCs/>
          <w:sz w:val="32"/>
          <w:szCs w:val="32"/>
        </w:rPr>
        <w:t>八、</w:t>
      </w:r>
      <w:r>
        <w:rPr>
          <w:rStyle w:val="19"/>
          <w:rFonts w:hint="eastAsia" w:ascii="仿宋_GB2312" w:hAnsi="仿宋_GB2312" w:eastAsia="仿宋_GB2312" w:cs="仿宋_GB2312"/>
        </w:rPr>
        <w:t>政府性基金预算支出决算情况说明</w:t>
      </w:r>
      <w:bookmarkEnd w:id="36"/>
      <w:bookmarkEnd w:id="37"/>
    </w:p>
    <w:p>
      <w:pPr>
        <w:spacing w:line="576" w:lineRule="exact"/>
        <w:ind w:firstLine="640"/>
        <w:rPr>
          <w:rFonts w:ascii="仿宋_GB2312" w:hAnsi="仿宋_GB2312" w:eastAsia="仿宋_GB2312" w:cs="仿宋_GB2312"/>
          <w:sz w:val="32"/>
          <w:szCs w:val="32"/>
        </w:rPr>
      </w:pPr>
      <w:bookmarkStart w:id="38" w:name="_Toc15396611"/>
      <w:bookmarkStart w:id="39" w:name="_Toc15377219"/>
      <w:r>
        <w:rPr>
          <w:rFonts w:hint="eastAsia" w:ascii="仿宋_GB2312" w:hAnsi="仿宋_GB2312" w:eastAsia="仿宋_GB2312" w:cs="仿宋_GB2312"/>
          <w:sz w:val="32"/>
          <w:szCs w:val="32"/>
        </w:rPr>
        <w:t>柳沟镇人民政府2022年使用政府性基金预算财政拨款支出0万元。</w:t>
      </w:r>
    </w:p>
    <w:p>
      <w:pPr>
        <w:numPr>
          <w:ilvl w:val="0"/>
          <w:numId w:val="1"/>
        </w:numPr>
        <w:spacing w:line="600" w:lineRule="exact"/>
        <w:ind w:firstLine="640"/>
        <w:outlineLvl w:val="1"/>
        <w:rPr>
          <w:rStyle w:val="19"/>
          <w:rFonts w:ascii="仿宋_GB2312" w:hAnsi="仿宋_GB2312" w:eastAsia="仿宋_GB2312" w:cs="仿宋_GB2312"/>
        </w:rPr>
      </w:pPr>
      <w:r>
        <w:rPr>
          <w:rStyle w:val="19"/>
          <w:rFonts w:hint="eastAsia" w:ascii="仿宋_GB2312" w:hAnsi="仿宋_GB2312" w:eastAsia="仿宋_GB2312" w:cs="仿宋_GB2312"/>
        </w:rPr>
        <w:t>国有资本经营预算支出决算情况说明</w:t>
      </w:r>
      <w:bookmarkEnd w:id="38"/>
      <w:bookmarkEnd w:id="39"/>
    </w:p>
    <w:p>
      <w:pPr>
        <w:spacing w:line="600" w:lineRule="exact"/>
        <w:ind w:firstLine="640"/>
        <w:rPr>
          <w:rFonts w:ascii="仿宋_GB2312" w:hAnsi="仿宋_GB2312" w:eastAsia="仿宋_GB2312" w:cs="仿宋_GB2312"/>
          <w:color w:val="FF0000"/>
          <w:sz w:val="32"/>
          <w:szCs w:val="32"/>
        </w:rPr>
      </w:pPr>
      <w:bookmarkStart w:id="40" w:name="_Toc15396612"/>
      <w:bookmarkStart w:id="41" w:name="_Toc15377221"/>
      <w:r>
        <w:rPr>
          <w:rFonts w:hint="eastAsia" w:ascii="仿宋_GB2312" w:hAnsi="仿宋_GB2312" w:eastAsia="仿宋_GB2312" w:cs="仿宋_GB2312"/>
          <w:sz w:val="32"/>
          <w:szCs w:val="32"/>
        </w:rPr>
        <w:t>2022年国有资本经营预算拨款支出0万元。</w:t>
      </w:r>
    </w:p>
    <w:p>
      <w:pPr>
        <w:spacing w:line="600" w:lineRule="exact"/>
        <w:ind w:firstLine="803" w:firstLineChars="250"/>
        <w:outlineLvl w:val="1"/>
        <w:rPr>
          <w:rStyle w:val="19"/>
          <w:rFonts w:ascii="仿宋_GB2312" w:hAnsi="仿宋_GB2312" w:eastAsia="仿宋_GB2312" w:cs="仿宋_GB2312"/>
        </w:rPr>
      </w:pPr>
      <w:r>
        <w:rPr>
          <w:rFonts w:hint="eastAsia" w:ascii="仿宋_GB2312" w:hAnsi="仿宋_GB2312" w:eastAsia="仿宋_GB2312" w:cs="仿宋_GB2312"/>
          <w:b/>
          <w:bCs/>
          <w:sz w:val="32"/>
          <w:szCs w:val="32"/>
        </w:rPr>
        <w:t>十</w:t>
      </w:r>
      <w:r>
        <w:rPr>
          <w:rStyle w:val="19"/>
          <w:rFonts w:hint="eastAsia" w:ascii="仿宋_GB2312" w:hAnsi="仿宋_GB2312" w:eastAsia="仿宋_GB2312" w:cs="仿宋_GB2312"/>
        </w:rPr>
        <w:t>、其他重要事项的情况说明</w:t>
      </w:r>
      <w:bookmarkEnd w:id="40"/>
      <w:bookmarkEnd w:id="41"/>
    </w:p>
    <w:p>
      <w:pPr>
        <w:spacing w:line="600" w:lineRule="exact"/>
        <w:ind w:firstLine="643" w:firstLineChars="200"/>
        <w:outlineLvl w:val="2"/>
        <w:rPr>
          <w:rFonts w:ascii="仿宋_GB2312" w:hAnsi="仿宋_GB2312" w:eastAsia="仿宋_GB2312" w:cs="仿宋_GB2312"/>
          <w:sz w:val="32"/>
          <w:szCs w:val="32"/>
        </w:rPr>
      </w:pPr>
      <w:bookmarkStart w:id="42" w:name="_Toc15377222"/>
      <w:r>
        <w:rPr>
          <w:rFonts w:hint="eastAsia" w:ascii="仿宋_GB2312" w:hAnsi="仿宋_GB2312" w:eastAsia="仿宋_GB2312" w:cs="仿宋_GB2312"/>
          <w:b/>
          <w:bCs/>
          <w:sz w:val="32"/>
          <w:szCs w:val="32"/>
        </w:rPr>
        <w:t>（一）机关运行经费支出情况</w:t>
      </w:r>
      <w:bookmarkEnd w:id="42"/>
    </w:p>
    <w:p>
      <w:pPr>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2022年度，柳沟镇人民政府机关运行经费支出349.74万元，比2021年减少36.71万元，减少9.5%。减少原因主要是人员减少、办公费的压缩。</w:t>
      </w:r>
    </w:p>
    <w:p>
      <w:pPr>
        <w:autoSpaceDE w:val="0"/>
        <w:autoSpaceDN w:val="0"/>
        <w:adjustRightInd w:val="0"/>
        <w:spacing w:line="600" w:lineRule="exact"/>
        <w:ind w:firstLine="643" w:firstLineChars="200"/>
        <w:jc w:val="left"/>
        <w:outlineLvl w:val="2"/>
        <w:rPr>
          <w:rFonts w:ascii="仿宋_GB2312" w:hAnsi="仿宋_GB2312" w:eastAsia="仿宋_GB2312" w:cs="仿宋_GB2312"/>
          <w:b/>
          <w:bCs/>
          <w:sz w:val="32"/>
          <w:szCs w:val="32"/>
        </w:rPr>
      </w:pPr>
      <w:bookmarkStart w:id="43" w:name="_Toc15377223"/>
      <w:r>
        <w:rPr>
          <w:rFonts w:hint="eastAsia" w:ascii="仿宋_GB2312" w:hAnsi="仿宋_GB2312" w:eastAsia="仿宋_GB2312" w:cs="仿宋_GB2312"/>
          <w:b/>
          <w:bCs/>
          <w:sz w:val="32"/>
          <w:szCs w:val="32"/>
        </w:rPr>
        <w:t>（二）政府采购支出情况</w:t>
      </w:r>
      <w:bookmarkEnd w:id="43"/>
    </w:p>
    <w:p>
      <w:pPr>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2022年度，柳沟镇人民政府政府采购支出总额0万元，其中：政府采购货物支出0万元、政府采购工程支出0.00万元、政府采购服务支出0.00万元。</w:t>
      </w:r>
    </w:p>
    <w:p>
      <w:pPr>
        <w:autoSpaceDE w:val="0"/>
        <w:autoSpaceDN w:val="0"/>
        <w:adjustRightInd w:val="0"/>
        <w:spacing w:line="600" w:lineRule="exact"/>
        <w:ind w:firstLine="643" w:firstLineChars="200"/>
        <w:jc w:val="left"/>
        <w:outlineLvl w:val="2"/>
        <w:rPr>
          <w:rFonts w:ascii="仿宋_GB2312" w:hAnsi="仿宋_GB2312" w:eastAsia="仿宋_GB2312" w:cs="仿宋_GB2312"/>
          <w:b/>
          <w:bCs/>
          <w:sz w:val="32"/>
          <w:szCs w:val="32"/>
        </w:rPr>
      </w:pPr>
      <w:bookmarkStart w:id="44" w:name="_Toc15377224"/>
      <w:r>
        <w:rPr>
          <w:rFonts w:hint="eastAsia" w:ascii="仿宋_GB2312" w:hAnsi="仿宋_GB2312" w:eastAsia="仿宋_GB2312" w:cs="仿宋_GB2312"/>
          <w:b/>
          <w:bCs/>
          <w:sz w:val="32"/>
          <w:szCs w:val="32"/>
        </w:rPr>
        <w:t>（三）国有资产占有使用情况</w:t>
      </w:r>
      <w:bookmarkEnd w:id="44"/>
    </w:p>
    <w:p>
      <w:pPr>
        <w:autoSpaceDE w:val="0"/>
        <w:autoSpaceDN w:val="0"/>
        <w:adjustRightInd w:val="0"/>
        <w:spacing w:line="576" w:lineRule="exact"/>
        <w:ind w:firstLine="640" w:firstLineChars="200"/>
        <w:jc w:val="left"/>
        <w:rPr>
          <w:rFonts w:ascii="仿宋_GB2312" w:hAnsi="仿宋_GB2312" w:eastAsia="仿宋_GB2312" w:cs="仿宋_GB2312"/>
          <w:b/>
          <w:bCs/>
          <w:sz w:val="32"/>
          <w:szCs w:val="32"/>
        </w:rPr>
      </w:pPr>
      <w:r>
        <w:rPr>
          <w:rFonts w:hint="eastAsia" w:ascii="仿宋_GB2312" w:hAnsi="仿宋_GB2312" w:eastAsia="仿宋_GB2312" w:cs="仿宋_GB2312"/>
          <w:sz w:val="32"/>
          <w:szCs w:val="32"/>
        </w:rPr>
        <w:t>截至2022年12月31日，柳沟镇人民政府</w:t>
      </w:r>
      <w:r>
        <w:rPr>
          <w:rFonts w:hint="eastAsia" w:ascii="仿宋_GB2312" w:hAnsi="仿宋_GB2312" w:eastAsia="仿宋_GB2312" w:cs="仿宋_GB2312"/>
          <w:sz w:val="32"/>
          <w:szCs w:val="32"/>
          <w:lang w:eastAsia="zh-CN"/>
        </w:rPr>
        <w:t>共有</w:t>
      </w:r>
      <w:r>
        <w:rPr>
          <w:rFonts w:hint="eastAsia" w:ascii="仿宋_GB2312" w:hAnsi="仿宋_GB2312" w:eastAsia="仿宋_GB2312" w:cs="仿宋_GB2312"/>
          <w:sz w:val="32"/>
          <w:szCs w:val="32"/>
        </w:rPr>
        <w:t>车辆0辆，其中：省部级领导干部用车0辆、一般公务用车0辆；单价50万元以上通用设备0台（套），单价100万元以上专用设备0台（套）。</w:t>
      </w:r>
    </w:p>
    <w:p>
      <w:pPr>
        <w:pStyle w:val="29"/>
        <w:numPr>
          <w:ilvl w:val="0"/>
          <w:numId w:val="2"/>
        </w:numPr>
        <w:autoSpaceDE w:val="0"/>
        <w:autoSpaceDN w:val="0"/>
        <w:adjustRightInd w:val="0"/>
        <w:spacing w:line="600" w:lineRule="exact"/>
        <w:ind w:firstLineChars="0"/>
        <w:jc w:val="left"/>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预算绩效管理情况。</w:t>
      </w:r>
    </w:p>
    <w:p>
      <w:pPr>
        <w:spacing w:line="600" w:lineRule="exact"/>
        <w:ind w:firstLine="790" w:firstLineChars="246"/>
        <w:rPr>
          <w:rFonts w:ascii="仿宋_GB2312" w:hAnsi="仿宋_GB2312" w:eastAsia="仿宋_GB2312" w:cs="仿宋_GB2312"/>
          <w:b/>
          <w:bCs/>
          <w:sz w:val="32"/>
          <w:szCs w:val="32"/>
        </w:rPr>
      </w:pPr>
      <w:bookmarkStart w:id="45" w:name="_Toc15396613"/>
      <w:bookmarkStart w:id="46" w:name="_Toc15377225"/>
      <w:r>
        <w:rPr>
          <w:rFonts w:hint="eastAsia" w:ascii="仿宋_GB2312" w:hAnsi="仿宋_GB2312" w:eastAsia="仿宋_GB2312" w:cs="仿宋_GB2312"/>
          <w:b/>
          <w:bCs/>
          <w:sz w:val="32"/>
          <w:szCs w:val="32"/>
        </w:rPr>
        <w:t>预算绩效管理工作开展情况。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剑阁县柳沟镇人民政府在年初预算编制阶段，组织对垃圾清运处置项目开展了预算事前绩效评估，并对该2个项目编制了绩效目标，预算执行过程中，对该项目开展绩效监控，年终执行完毕后，对该项目开展了绩效目标完成情况梳理填报。</w:t>
      </w:r>
    </w:p>
    <w:p>
      <w:pPr>
        <w:pStyle w:val="2"/>
        <w:spacing w:before="72"/>
        <w:rPr>
          <w:rFonts w:hAnsi="仿宋_GB2312"/>
          <w:sz w:val="32"/>
          <w:szCs w:val="32"/>
        </w:rPr>
      </w:pPr>
    </w:p>
    <w:p>
      <w:pPr>
        <w:pStyle w:val="2"/>
        <w:spacing w:before="72"/>
        <w:rPr>
          <w:rFonts w:hAnsi="仿宋_GB2312"/>
          <w:sz w:val="32"/>
          <w:szCs w:val="32"/>
        </w:rPr>
      </w:pPr>
    </w:p>
    <w:p>
      <w:pPr>
        <w:pStyle w:val="2"/>
        <w:spacing w:before="72"/>
        <w:rPr>
          <w:rFonts w:hAnsi="仿宋_GB2312"/>
          <w:sz w:val="32"/>
          <w:szCs w:val="32"/>
        </w:rPr>
      </w:pPr>
    </w:p>
    <w:p>
      <w:pPr>
        <w:pStyle w:val="2"/>
        <w:spacing w:before="72"/>
        <w:rPr>
          <w:rFonts w:hAnsi="仿宋_GB2312"/>
          <w:sz w:val="32"/>
          <w:szCs w:val="32"/>
        </w:rPr>
      </w:pPr>
    </w:p>
    <w:p>
      <w:pPr>
        <w:pStyle w:val="2"/>
        <w:spacing w:before="72"/>
        <w:rPr>
          <w:rFonts w:hAnsi="仿宋_GB2312"/>
          <w:sz w:val="32"/>
          <w:szCs w:val="32"/>
        </w:rPr>
      </w:pPr>
    </w:p>
    <w:p>
      <w:pPr>
        <w:pStyle w:val="2"/>
        <w:spacing w:before="72"/>
        <w:rPr>
          <w:rFonts w:hAnsi="仿宋_GB2312"/>
          <w:sz w:val="32"/>
          <w:szCs w:val="32"/>
        </w:rPr>
      </w:pPr>
    </w:p>
    <w:p>
      <w:pPr>
        <w:pStyle w:val="2"/>
        <w:spacing w:before="72"/>
        <w:rPr>
          <w:rFonts w:hAnsi="仿宋_GB2312"/>
          <w:sz w:val="32"/>
          <w:szCs w:val="32"/>
        </w:rPr>
      </w:pPr>
    </w:p>
    <w:p>
      <w:pPr>
        <w:pStyle w:val="2"/>
        <w:spacing w:before="72"/>
        <w:rPr>
          <w:rFonts w:hAnsi="仿宋_GB2312"/>
          <w:sz w:val="32"/>
          <w:szCs w:val="32"/>
        </w:rPr>
      </w:pPr>
    </w:p>
    <w:p>
      <w:pPr>
        <w:pStyle w:val="2"/>
        <w:spacing w:before="72"/>
        <w:rPr>
          <w:rFonts w:hAnsi="仿宋_GB2312"/>
          <w:sz w:val="32"/>
          <w:szCs w:val="32"/>
        </w:rPr>
      </w:pPr>
    </w:p>
    <w:p>
      <w:pPr>
        <w:pStyle w:val="2"/>
        <w:spacing w:before="72"/>
        <w:rPr>
          <w:rFonts w:hAnsi="仿宋_GB2312"/>
          <w:sz w:val="32"/>
          <w:szCs w:val="32"/>
        </w:rPr>
      </w:pPr>
    </w:p>
    <w:p>
      <w:pPr>
        <w:pStyle w:val="2"/>
        <w:spacing w:before="72"/>
        <w:rPr>
          <w:rFonts w:hAnsi="仿宋_GB2312"/>
          <w:sz w:val="32"/>
          <w:szCs w:val="32"/>
        </w:rPr>
      </w:pPr>
    </w:p>
    <w:p>
      <w:pPr>
        <w:pStyle w:val="2"/>
        <w:spacing w:before="72"/>
        <w:rPr>
          <w:rFonts w:hAnsi="仿宋_GB2312"/>
          <w:sz w:val="32"/>
          <w:szCs w:val="32"/>
        </w:rPr>
      </w:pPr>
    </w:p>
    <w:p>
      <w:pPr>
        <w:pStyle w:val="2"/>
        <w:spacing w:before="72"/>
        <w:rPr>
          <w:rFonts w:hAnsi="仿宋_GB2312"/>
          <w:sz w:val="32"/>
          <w:szCs w:val="32"/>
        </w:rPr>
      </w:pPr>
    </w:p>
    <w:p>
      <w:pPr>
        <w:pStyle w:val="2"/>
        <w:spacing w:before="72"/>
        <w:rPr>
          <w:rFonts w:hAnsi="仿宋_GB2312"/>
          <w:sz w:val="32"/>
          <w:szCs w:val="32"/>
        </w:rPr>
      </w:pPr>
    </w:p>
    <w:p>
      <w:pPr>
        <w:pStyle w:val="2"/>
        <w:spacing w:before="72"/>
        <w:rPr>
          <w:rFonts w:hAnsi="仿宋_GB2312"/>
          <w:sz w:val="32"/>
          <w:szCs w:val="32"/>
        </w:rPr>
      </w:pPr>
    </w:p>
    <w:p>
      <w:pPr>
        <w:pStyle w:val="2"/>
        <w:spacing w:before="72"/>
        <w:rPr>
          <w:rFonts w:hAnsi="仿宋_GB2312"/>
          <w:sz w:val="32"/>
          <w:szCs w:val="32"/>
        </w:rPr>
      </w:pPr>
    </w:p>
    <w:p>
      <w:pPr>
        <w:pStyle w:val="2"/>
        <w:spacing w:before="72"/>
        <w:rPr>
          <w:rFonts w:hAnsi="仿宋_GB2312"/>
          <w:sz w:val="32"/>
          <w:szCs w:val="32"/>
        </w:rPr>
      </w:pPr>
    </w:p>
    <w:p>
      <w:pPr>
        <w:pStyle w:val="2"/>
        <w:spacing w:before="72"/>
        <w:rPr>
          <w:rFonts w:hAnsi="仿宋_GB2312"/>
          <w:sz w:val="32"/>
          <w:szCs w:val="32"/>
        </w:rPr>
      </w:pPr>
    </w:p>
    <w:p>
      <w:pPr>
        <w:pStyle w:val="2"/>
        <w:spacing w:before="72"/>
        <w:rPr>
          <w:rFonts w:hAnsi="仿宋_GB2312"/>
          <w:sz w:val="32"/>
          <w:szCs w:val="32"/>
        </w:rPr>
      </w:pPr>
    </w:p>
    <w:p>
      <w:pPr>
        <w:pStyle w:val="2"/>
        <w:spacing w:before="72"/>
        <w:rPr>
          <w:rFonts w:hAnsi="仿宋_GB2312"/>
          <w:sz w:val="32"/>
          <w:szCs w:val="32"/>
        </w:rPr>
      </w:pPr>
    </w:p>
    <w:p>
      <w:pPr>
        <w:numPr>
          <w:ilvl w:val="0"/>
          <w:numId w:val="3"/>
        </w:numPr>
        <w:spacing w:line="600" w:lineRule="exact"/>
        <w:ind w:firstLine="540" w:firstLineChars="150"/>
        <w:jc w:val="center"/>
        <w:outlineLvl w:val="0"/>
        <w:rPr>
          <w:rFonts w:ascii="黑体" w:hAnsi="黑体" w:eastAsia="黑体" w:cs="黑体"/>
          <w:b/>
          <w:bCs/>
          <w:sz w:val="36"/>
          <w:szCs w:val="36"/>
        </w:rPr>
      </w:pPr>
      <w:r>
        <w:rPr>
          <w:rFonts w:hint="eastAsia" w:ascii="黑体" w:hAnsi="黑体" w:eastAsia="黑体" w:cs="黑体"/>
          <w:sz w:val="36"/>
          <w:szCs w:val="36"/>
        </w:rPr>
        <w:t>名</w:t>
      </w:r>
      <w:r>
        <w:rPr>
          <w:rStyle w:val="18"/>
          <w:rFonts w:hint="eastAsia" w:ascii="黑体" w:hAnsi="黑体" w:eastAsia="黑体" w:cs="黑体"/>
          <w:b w:val="0"/>
          <w:bCs w:val="0"/>
          <w:sz w:val="36"/>
          <w:szCs w:val="36"/>
        </w:rPr>
        <w:t>词解释</w:t>
      </w:r>
      <w:bookmarkEnd w:id="45"/>
      <w:bookmarkEnd w:id="46"/>
    </w:p>
    <w:p>
      <w:pPr>
        <w:spacing w:line="600" w:lineRule="exact"/>
        <w:ind w:firstLine="640" w:firstLineChars="200"/>
        <w:rPr>
          <w:rFonts w:ascii="仿宋_GB2312" w:hAnsi="仿宋_GB2312" w:eastAsia="仿宋_GB2312" w:cs="仿宋_GB2312"/>
          <w:sz w:val="32"/>
          <w:szCs w:val="32"/>
        </w:rPr>
      </w:pPr>
      <w:bookmarkStart w:id="47" w:name="_Toc15377226"/>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（一）一般公共预算拨款收入：指县级财政当年拨付的资金。</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（二）上年结转：指以前年度尚未完成，结转到本年仍按原规定用途继续使用的资金。</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（三）</w:t>
      </w:r>
      <w:r>
        <w:rPr>
          <w:rFonts w:hint="eastAsia" w:ascii="仿宋_GB2312" w:hAnsi="仿宋_GB2312" w:eastAsia="仿宋_GB2312" w:cs="仿宋_GB2312"/>
          <w:sz w:val="32"/>
          <w:szCs w:val="32"/>
        </w:rPr>
        <w:t>一般公共服务</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）人大事务</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人大会议</w:t>
      </w:r>
      <w:r>
        <w:rPr>
          <w:rFonts w:ascii="仿宋_GB2312" w:hAnsi="仿宋_GB2312" w:eastAsia="仿宋_GB2312" w:cs="仿宋_GB2312"/>
          <w:sz w:val="32"/>
          <w:szCs w:val="32"/>
        </w:rPr>
        <w:t>（项）：指</w:t>
      </w:r>
      <w:r>
        <w:rPr>
          <w:rFonts w:hint="eastAsia" w:ascii="仿宋_GB2312" w:hAnsi="仿宋_GB2312" w:eastAsia="仿宋_GB2312" w:cs="仿宋_GB2312"/>
          <w:sz w:val="32"/>
          <w:szCs w:val="32"/>
        </w:rPr>
        <w:t>反映各级人大召开人民代表大会等专门会议的支出</w:t>
      </w:r>
      <w:r>
        <w:rPr>
          <w:rFonts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（四）</w:t>
      </w:r>
      <w:r>
        <w:rPr>
          <w:rFonts w:hint="eastAsia" w:ascii="仿宋_GB2312" w:hAnsi="仿宋_GB2312" w:eastAsia="仿宋_GB2312" w:cs="仿宋_GB2312"/>
          <w:sz w:val="32"/>
          <w:szCs w:val="32"/>
        </w:rPr>
        <w:t>一般公共服务</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）人大事务</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代表工作</w:t>
      </w:r>
      <w:r>
        <w:rPr>
          <w:rFonts w:ascii="仿宋_GB2312" w:hAnsi="仿宋_GB2312" w:eastAsia="仿宋_GB2312" w:cs="仿宋_GB2312"/>
          <w:sz w:val="32"/>
          <w:szCs w:val="32"/>
        </w:rPr>
        <w:t>（项）：指</w:t>
      </w:r>
      <w:r>
        <w:rPr>
          <w:rFonts w:hint="eastAsia" w:ascii="仿宋_GB2312" w:hAnsi="仿宋_GB2312" w:eastAsia="仿宋_GB2312" w:cs="仿宋_GB2312"/>
          <w:sz w:val="32"/>
          <w:szCs w:val="32"/>
        </w:rPr>
        <w:t>反映人大代表开展各类视察等方面的支出</w:t>
      </w:r>
      <w:r>
        <w:rPr>
          <w:rFonts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五</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一般公共服务</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）人大事务</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其他人大事务</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指除上述项目以外的其他人大事务支出。</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六</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一般公共服务</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）政府办公厅（室）及相关机构事务</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行政运行</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指反映行政单位（包括实行公务员管理的事业单位）的基本支出。</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一般公共服务</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）政府办公厅（室）及相关机构事务</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一般行政管理事务</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指反映行政单位（包括实行公务员管理的事业单位）未单独设置项级科目的其他项目支出。</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八</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一般公共服务</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）政府办公厅（室）及相关机构事务</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信访事务</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指反映各级政府用于接待群众来信来访方面的支出。</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九</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一般公共服务</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）政府办公厅（室）及相关机构事务</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事业运行</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指反映事业单位的基本支出，不包括行政单位（包括实行公务员管理的事业单位）后勤服务中心、医务室等附属事业单位。</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十</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一般公共服务</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）财政事务</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一般行政管理事务</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指反映行政单位（包括实行公务员管理的事业单位）未单独设置项级科目的其他项目支出。</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十一</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一般公共服务</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）纪检监察事务</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一般行政管理事务</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指反映行政单位（包括实行公务员管理的事业单位）未单独设置项级科目的其他项目支出。</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十二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一般公共服务</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）纪检监察事务</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派驻派出机构</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指反映由纪检监察部门负担的派驻各部门和单位的纪检监察人员的专项业务支出。</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十三</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一般公共服务</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）群众团体事务</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其他群众团体事务</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指反映除上述项目以外其他用于群众团体事务方面的支出。</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十四</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一般公共服务</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）党委办公厅（室）及相关机构事务</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一般行政管理事务</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指反映行政单位（包括实行公务员管理的事业单位）未单独设置项级科目的其他项目支出。</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十五</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一般公共服务</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）组织事务</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其他组织事务</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指反映除上述项目以外其他用于中国共产党组织部门的事务支出。</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十六</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一般公共服务</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）宣传事务</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其他宣传事务</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指反映除上述项目以外其他用于中国共产党宣传部门的事务支出。</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十七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国防</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）国防动员</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兵役征集</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指反映用于兵役征集等方面的支出。</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十八</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公共安全</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）强制隔离戒毒</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其他强制隔离戒毒</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指反映强制隔离戒毒管理部门及强制隔离戒毒所发生的强制隔离戒毒人员调遣费、突发事件处置费、安全保卫费、警察服装费、宣传及奖励费、技术辅导人员及关键要害岗位人员补助费等支出。</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十九</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文化旅游体育与传媒</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）文化和旅游</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群众文化</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指反映群众文化方面的支出，包括基层文化馆（站）、群众艺术馆支出等。</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二十</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文化旅游体育与传媒</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）文化和旅游</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文化和旅游管理事务</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指反映文化和旅游管理事务支出。</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二十一</w:t>
      </w:r>
      <w:r>
        <w:rPr>
          <w:rFonts w:ascii="仿宋_GB2312" w:hAnsi="仿宋_GB2312" w:eastAsia="仿宋_GB2312" w:cs="仿宋_GB2312"/>
          <w:sz w:val="32"/>
          <w:szCs w:val="32"/>
        </w:rPr>
        <w:t>）社会保障和就业（类</w:t>
      </w:r>
      <w:r>
        <w:rPr>
          <w:rFonts w:hint="eastAsia" w:ascii="仿宋_GB2312" w:hAnsi="仿宋_GB2312" w:eastAsia="仿宋_GB2312" w:cs="仿宋_GB2312"/>
          <w:sz w:val="32"/>
          <w:szCs w:val="32"/>
        </w:rPr>
        <w:t>）民政管理事务</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基层政权建设和社区治理</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指反映开展城乡社区治理、城乡社区服务（乡村便民服务）、村（居）民自治、村（居）务公开、乡镇（街道）服务能力建设等基层政权建设和社区治理工作的支出。</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二十一</w:t>
      </w:r>
      <w:r>
        <w:rPr>
          <w:rFonts w:ascii="仿宋_GB2312" w:hAnsi="仿宋_GB2312" w:eastAsia="仿宋_GB2312" w:cs="仿宋_GB2312"/>
          <w:sz w:val="32"/>
          <w:szCs w:val="32"/>
        </w:rPr>
        <w:t>）社会保障和就业（类</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行政事业单位离退休（款）行政事业单位离退休（项）：</w:t>
      </w:r>
      <w:r>
        <w:rPr>
          <w:rFonts w:hint="eastAsia" w:ascii="仿宋_GB2312" w:hAnsi="仿宋_GB2312" w:eastAsia="仿宋_GB2312" w:cs="仿宋_GB2312"/>
          <w:sz w:val="32"/>
          <w:szCs w:val="32"/>
        </w:rPr>
        <w:t>指反映行政单位（包括实行公务员管理的事业单位）开支的离退休经费。</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二</w:t>
      </w:r>
      <w:r>
        <w:rPr>
          <w:rFonts w:ascii="仿宋_GB2312" w:hAnsi="仿宋_GB2312" w:eastAsia="仿宋_GB2312" w:cs="仿宋_GB2312"/>
          <w:sz w:val="32"/>
          <w:szCs w:val="32"/>
        </w:rPr>
        <w:t>十二）社会保障和就业（类）行政事业单位离退休（款）机关事业单位基本养老保险缴费支出（项）：指部门实施养老保险制度由单位缴纳的养老保险费的支出。</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二</w:t>
      </w:r>
      <w:r>
        <w:rPr>
          <w:rFonts w:ascii="仿宋_GB2312" w:hAnsi="仿宋_GB2312" w:eastAsia="仿宋_GB2312" w:cs="仿宋_GB2312"/>
          <w:sz w:val="32"/>
          <w:szCs w:val="32"/>
        </w:rPr>
        <w:t>十三）社会保障和就业（类）</w:t>
      </w:r>
      <w:r>
        <w:rPr>
          <w:rFonts w:hint="eastAsia" w:ascii="仿宋_GB2312" w:hAnsi="仿宋_GB2312" w:eastAsia="仿宋_GB2312" w:cs="仿宋_GB2312"/>
          <w:sz w:val="32"/>
          <w:szCs w:val="32"/>
        </w:rPr>
        <w:t>抚恤</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义务兵优待</w:t>
      </w:r>
      <w:r>
        <w:rPr>
          <w:rFonts w:ascii="仿宋_GB2312" w:hAnsi="仿宋_GB2312" w:eastAsia="仿宋_GB2312" w:cs="仿宋_GB2312"/>
          <w:sz w:val="32"/>
          <w:szCs w:val="32"/>
        </w:rPr>
        <w:t>（项）：指</w:t>
      </w:r>
      <w:r>
        <w:rPr>
          <w:rFonts w:hint="eastAsia" w:ascii="仿宋_GB2312" w:hAnsi="仿宋_GB2312" w:eastAsia="仿宋_GB2312" w:cs="仿宋_GB2312"/>
          <w:sz w:val="32"/>
          <w:szCs w:val="32"/>
        </w:rPr>
        <w:t>反映用于义务兵优待方面的支出</w:t>
      </w:r>
      <w:r>
        <w:rPr>
          <w:rFonts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二</w:t>
      </w:r>
      <w:r>
        <w:rPr>
          <w:rFonts w:ascii="仿宋_GB2312" w:hAnsi="仿宋_GB2312" w:eastAsia="仿宋_GB2312" w:cs="仿宋_GB2312"/>
          <w:sz w:val="32"/>
          <w:szCs w:val="32"/>
        </w:rPr>
        <w:t>十四）</w:t>
      </w:r>
      <w:r>
        <w:rPr>
          <w:rFonts w:hint="eastAsia" w:ascii="仿宋_GB2312" w:hAnsi="仿宋_GB2312" w:eastAsia="仿宋_GB2312" w:cs="仿宋_GB2312"/>
          <w:sz w:val="32"/>
          <w:szCs w:val="32"/>
        </w:rPr>
        <w:t>卫生健康</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公共卫生</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重大公共卫生服务</w:t>
      </w:r>
      <w:r>
        <w:rPr>
          <w:rFonts w:ascii="仿宋_GB2312" w:hAnsi="仿宋_GB2312" w:eastAsia="仿宋_GB2312" w:cs="仿宋_GB2312"/>
          <w:sz w:val="32"/>
          <w:szCs w:val="32"/>
        </w:rPr>
        <w:t>（项）：指</w:t>
      </w:r>
      <w:r>
        <w:rPr>
          <w:rFonts w:hint="eastAsia" w:ascii="仿宋_GB2312" w:hAnsi="仿宋_GB2312" w:eastAsia="仿宋_GB2312" w:cs="仿宋_GB2312"/>
          <w:sz w:val="32"/>
          <w:szCs w:val="32"/>
        </w:rPr>
        <w:t>反映重大疾病、重大传染病预防控制等重大公共卫生服务项目支出</w:t>
      </w:r>
      <w:r>
        <w:rPr>
          <w:rFonts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二</w:t>
      </w:r>
      <w:r>
        <w:rPr>
          <w:rFonts w:ascii="仿宋_GB2312" w:hAnsi="仿宋_GB2312" w:eastAsia="仿宋_GB2312" w:cs="仿宋_GB2312"/>
          <w:sz w:val="32"/>
          <w:szCs w:val="32"/>
        </w:rPr>
        <w:t>十五）卫生健康（类）行政事业单位医疗（款）行政单位医疗（项）：指局机关及参公管理事业单位用于缴纳单位基本医疗保险支出。</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二</w:t>
      </w:r>
      <w:r>
        <w:rPr>
          <w:rFonts w:ascii="仿宋_GB2312" w:hAnsi="仿宋_GB2312" w:eastAsia="仿宋_GB2312" w:cs="仿宋_GB2312"/>
          <w:sz w:val="32"/>
          <w:szCs w:val="32"/>
        </w:rPr>
        <w:t>十六）卫生健康（类）行政事业单位医疗（款）事业单位医疗（项）：指事业单位用于缴纳单位基本医疗保险支出。</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二</w:t>
      </w:r>
      <w:r>
        <w:rPr>
          <w:rFonts w:ascii="仿宋_GB2312" w:hAnsi="仿宋_GB2312" w:eastAsia="仿宋_GB2312" w:cs="仿宋_GB2312"/>
          <w:sz w:val="32"/>
          <w:szCs w:val="32"/>
        </w:rPr>
        <w:t>十七）</w:t>
      </w:r>
      <w:r>
        <w:rPr>
          <w:rFonts w:hint="eastAsia" w:ascii="仿宋_GB2312" w:hAnsi="仿宋_GB2312" w:eastAsia="仿宋_GB2312" w:cs="仿宋_GB2312"/>
          <w:sz w:val="32"/>
          <w:szCs w:val="32"/>
        </w:rPr>
        <w:t>节能环保</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自然生态保护</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农村环境保护</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反映用于农村环境保护方面重大支出。</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二</w:t>
      </w:r>
      <w:r>
        <w:rPr>
          <w:rFonts w:ascii="仿宋_GB2312" w:hAnsi="仿宋_GB2312" w:eastAsia="仿宋_GB2312" w:cs="仿宋_GB2312"/>
          <w:sz w:val="32"/>
          <w:szCs w:val="32"/>
        </w:rPr>
        <w:t>十</w:t>
      </w:r>
      <w:r>
        <w:rPr>
          <w:rFonts w:hint="eastAsia" w:ascii="仿宋_GB2312" w:hAnsi="仿宋_GB2312" w:eastAsia="仿宋_GB2312" w:cs="仿宋_GB2312"/>
          <w:sz w:val="32"/>
          <w:szCs w:val="32"/>
        </w:rPr>
        <w:t>八</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城乡社区</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城乡社区管理事务</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城管执法</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反映城市管理综合行政执法、加强城市市容和环境卫生管理等方面的支出。</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二</w:t>
      </w:r>
      <w:r>
        <w:rPr>
          <w:rFonts w:ascii="仿宋_GB2312" w:hAnsi="仿宋_GB2312" w:eastAsia="仿宋_GB2312" w:cs="仿宋_GB2312"/>
          <w:sz w:val="32"/>
          <w:szCs w:val="32"/>
        </w:rPr>
        <w:t>十</w:t>
      </w:r>
      <w:r>
        <w:rPr>
          <w:rFonts w:hint="eastAsia" w:ascii="仿宋_GB2312" w:hAnsi="仿宋_GB2312" w:eastAsia="仿宋_GB2312" w:cs="仿宋_GB2312"/>
          <w:sz w:val="32"/>
          <w:szCs w:val="32"/>
        </w:rPr>
        <w:t>九</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城乡社区</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城乡社区规划和管理</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城乡社区规划和管理</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反映城乡社区、防灾减灾、历史名城规划制定与管理等方面的支出。</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三</w:t>
      </w:r>
      <w:r>
        <w:rPr>
          <w:rFonts w:ascii="仿宋_GB2312" w:hAnsi="仿宋_GB2312" w:eastAsia="仿宋_GB2312" w:cs="仿宋_GB2312"/>
          <w:sz w:val="32"/>
          <w:szCs w:val="32"/>
        </w:rPr>
        <w:t>十）</w:t>
      </w:r>
      <w:r>
        <w:rPr>
          <w:rFonts w:hint="eastAsia" w:ascii="仿宋_GB2312" w:hAnsi="仿宋_GB2312" w:eastAsia="仿宋_GB2312" w:cs="仿宋_GB2312"/>
          <w:sz w:val="32"/>
          <w:szCs w:val="32"/>
        </w:rPr>
        <w:t>城乡社区</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城乡社区公共设施</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其他城乡社区公共设施</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反映除上述项目以外其他用于城乡社区公共设施方面的支出。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ascii="仿宋_GB2312" w:hAnsi="仿宋_GB2312" w:eastAsia="仿宋_GB2312" w:cs="仿宋_GB2312"/>
          <w:sz w:val="32"/>
          <w:szCs w:val="32"/>
        </w:rPr>
        <w:t>十</w:t>
      </w:r>
      <w:r>
        <w:rPr>
          <w:rFonts w:hint="eastAsia" w:ascii="仿宋_GB2312" w:hAnsi="仿宋_GB2312" w:eastAsia="仿宋_GB2312" w:cs="仿宋_GB2312"/>
          <w:sz w:val="32"/>
          <w:szCs w:val="32"/>
        </w:rPr>
        <w:t>一</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城乡社区</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城乡社区环境卫生</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城乡社区环境卫生</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反映城乡社区道路清扫、垃圾清运与处理、公厕建设与维护、园林绿化等方面的支出。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ascii="仿宋_GB2312" w:hAnsi="仿宋_GB2312" w:eastAsia="仿宋_GB2312" w:cs="仿宋_GB2312"/>
          <w:sz w:val="32"/>
          <w:szCs w:val="32"/>
        </w:rPr>
        <w:t>十</w:t>
      </w:r>
      <w:r>
        <w:rPr>
          <w:rFonts w:hint="eastAsia" w:ascii="仿宋_GB2312" w:hAnsi="仿宋_GB2312" w:eastAsia="仿宋_GB2312" w:cs="仿宋_GB2312"/>
          <w:sz w:val="32"/>
          <w:szCs w:val="32"/>
        </w:rPr>
        <w:t>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城乡社区</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国有土地使用权出让收入安排的支出</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征地和拆迁补偿</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反映新疆生产建设兵团和地方政府在征地和收购土地过程中支付的土地补偿费、安置补助费、地上附着和青苗补偿费、拆迁补偿费支出。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ascii="仿宋_GB2312" w:hAnsi="仿宋_GB2312" w:eastAsia="仿宋_GB2312" w:cs="仿宋_GB2312"/>
          <w:sz w:val="32"/>
          <w:szCs w:val="32"/>
        </w:rPr>
        <w:t>十</w:t>
      </w:r>
      <w:r>
        <w:rPr>
          <w:rFonts w:hint="eastAsia" w:ascii="仿宋_GB2312" w:hAnsi="仿宋_GB2312" w:eastAsia="仿宋_GB2312" w:cs="仿宋_GB2312"/>
          <w:sz w:val="32"/>
          <w:szCs w:val="32"/>
        </w:rPr>
        <w:t>三</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城乡社区</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国有土地使用权出让收入安排的支出</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其他国有土地使用权出让收入安排的支出</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反映土地出让收入用于其他方面的支出。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ascii="仿宋_GB2312" w:hAnsi="仿宋_GB2312" w:eastAsia="仿宋_GB2312" w:cs="仿宋_GB2312"/>
          <w:sz w:val="32"/>
          <w:szCs w:val="32"/>
        </w:rPr>
        <w:t>十</w:t>
      </w:r>
      <w:r>
        <w:rPr>
          <w:rFonts w:hint="eastAsia" w:ascii="仿宋_GB2312" w:hAnsi="仿宋_GB2312" w:eastAsia="仿宋_GB2312" w:cs="仿宋_GB2312"/>
          <w:sz w:val="32"/>
          <w:szCs w:val="32"/>
        </w:rPr>
        <w:t>四</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农林水</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农业农村</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事业运行</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反映用于农业事业单位基本支出，事业单位设施、系统运行与资产维护等方面的支出。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ascii="仿宋_GB2312" w:hAnsi="仿宋_GB2312" w:eastAsia="仿宋_GB2312" w:cs="仿宋_GB2312"/>
          <w:sz w:val="32"/>
          <w:szCs w:val="32"/>
        </w:rPr>
        <w:t>十</w:t>
      </w:r>
      <w:r>
        <w:rPr>
          <w:rFonts w:hint="eastAsia" w:ascii="仿宋_GB2312" w:hAnsi="仿宋_GB2312" w:eastAsia="仿宋_GB2312" w:cs="仿宋_GB2312"/>
          <w:sz w:val="32"/>
          <w:szCs w:val="32"/>
        </w:rPr>
        <w:t>五</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农林水</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农业农村</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农村道路建设</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反映用于农村公路、乡村道路建设方面的支出。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ascii="仿宋_GB2312" w:hAnsi="仿宋_GB2312" w:eastAsia="仿宋_GB2312" w:cs="仿宋_GB2312"/>
          <w:sz w:val="32"/>
          <w:szCs w:val="32"/>
        </w:rPr>
        <w:t>十</w:t>
      </w:r>
      <w:r>
        <w:rPr>
          <w:rFonts w:hint="eastAsia" w:ascii="仿宋_GB2312" w:hAnsi="仿宋_GB2312" w:eastAsia="仿宋_GB2312" w:cs="仿宋_GB2312"/>
          <w:sz w:val="32"/>
          <w:szCs w:val="32"/>
        </w:rPr>
        <w:t>六</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农林水</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林业和草原</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林业草原防灾减灾</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反映用于病虫害等有害生物灾害、森林草原防火、野生动物疫病灾害等方面的支出。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ascii="仿宋_GB2312" w:hAnsi="仿宋_GB2312" w:eastAsia="仿宋_GB2312" w:cs="仿宋_GB2312"/>
          <w:sz w:val="32"/>
          <w:szCs w:val="32"/>
        </w:rPr>
        <w:t>十</w:t>
      </w:r>
      <w:r>
        <w:rPr>
          <w:rFonts w:hint="eastAsia" w:ascii="仿宋_GB2312" w:hAnsi="仿宋_GB2312" w:eastAsia="仿宋_GB2312" w:cs="仿宋_GB2312"/>
          <w:sz w:val="32"/>
          <w:szCs w:val="32"/>
        </w:rPr>
        <w:t>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农林水</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水利</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防汛</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反映防汛业务支出。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ascii="仿宋_GB2312" w:hAnsi="仿宋_GB2312" w:eastAsia="仿宋_GB2312" w:cs="仿宋_GB2312"/>
          <w:sz w:val="32"/>
          <w:szCs w:val="32"/>
        </w:rPr>
        <w:t>十</w:t>
      </w:r>
      <w:r>
        <w:rPr>
          <w:rFonts w:hint="eastAsia" w:ascii="仿宋_GB2312" w:hAnsi="仿宋_GB2312" w:eastAsia="仿宋_GB2312" w:cs="仿宋_GB2312"/>
          <w:sz w:val="32"/>
          <w:szCs w:val="32"/>
        </w:rPr>
        <w:t>八</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农林水</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巩固脱贫衔接与乡村振兴</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农村基础设施建设</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反映用于农村欠发达地区乡村道路、住房、基本农田、水利设施、人畜饮水、生态环境保护等生产生活条件改善方面的支出。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ascii="仿宋_GB2312" w:hAnsi="仿宋_GB2312" w:eastAsia="仿宋_GB2312" w:cs="仿宋_GB2312"/>
          <w:sz w:val="32"/>
          <w:szCs w:val="32"/>
        </w:rPr>
        <w:t>十</w:t>
      </w:r>
      <w:r>
        <w:rPr>
          <w:rFonts w:hint="eastAsia" w:ascii="仿宋_GB2312" w:hAnsi="仿宋_GB2312" w:eastAsia="仿宋_GB2312" w:cs="仿宋_GB2312"/>
          <w:sz w:val="32"/>
          <w:szCs w:val="32"/>
        </w:rPr>
        <w:t>九</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农林水</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巩固脱贫衔接与乡村振兴</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生产发展</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反映用于农村欠发达地区发展种植业、养殖业、畜牧业、农副产品加工、林果</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建设等生产发展项目以及相关技术推广等方面的项目支出。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（四十</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农林水</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巩固脱贫衔接与乡村振兴</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其他巩固脱贫衔接与乡村振兴</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反映除上述项目以外其他用于巩固拓展脱贫攻坚成果同乡村振兴有效衔接方面的支出。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（四十一</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农林水</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农村综合改革</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对村民委员会和村党支部的补助</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反映各级财政对村民委员会和村党支部的补助支出，以及支持建立县级基本财力保障机制安排的村级组织运转奖补资金。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（四十二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农林水</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农村综合改革</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其他农村综合改革</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反映上述项目以外其他用于农村综合改革方面的支出。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（四十三</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交通运输</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公路水路运输</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公路建设</w:t>
      </w:r>
      <w:r>
        <w:rPr>
          <w:rFonts w:ascii="仿宋_GB2312" w:hAnsi="仿宋_GB2312" w:eastAsia="仿宋_GB2312" w:cs="仿宋_GB2312"/>
          <w:sz w:val="32"/>
          <w:szCs w:val="32"/>
        </w:rPr>
        <w:t>（项）：</w:t>
      </w:r>
      <w:r>
        <w:rPr>
          <w:rFonts w:hint="eastAsia" w:ascii="仿宋_GB2312" w:hAnsi="仿宋_GB2312" w:eastAsia="仿宋_GB2312" w:cs="仿宋_GB2312"/>
          <w:sz w:val="32"/>
          <w:szCs w:val="32"/>
        </w:rPr>
        <w:t>反映新建公路支出，公路改建支出，特大型桥梁建设支出，公路客货运站（场）建设支出。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（四十四</w:t>
      </w:r>
      <w:r>
        <w:rPr>
          <w:rFonts w:ascii="仿宋_GB2312" w:hAnsi="仿宋_GB2312" w:eastAsia="仿宋_GB2312" w:cs="仿宋_GB2312"/>
          <w:sz w:val="32"/>
          <w:szCs w:val="32"/>
        </w:rPr>
        <w:t>）住房保障（类）住房改革支出（款）住房公积金（项）：指按照《住房公积金管理条例》的规定，由单位及其在职职工缴存的长期住房储金。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（四十五</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灾害防治及应急管理</w:t>
      </w:r>
      <w:r>
        <w:rPr>
          <w:rFonts w:ascii="仿宋_GB2312" w:hAnsi="仿宋_GB2312" w:eastAsia="仿宋_GB2312" w:cs="仿宋_GB2312"/>
          <w:sz w:val="32"/>
          <w:szCs w:val="32"/>
        </w:rPr>
        <w:t>（类）</w:t>
      </w:r>
      <w:r>
        <w:rPr>
          <w:rFonts w:hint="eastAsia" w:ascii="仿宋_GB2312" w:hAnsi="仿宋_GB2312" w:eastAsia="仿宋_GB2312" w:cs="仿宋_GB2312"/>
          <w:sz w:val="32"/>
          <w:szCs w:val="32"/>
        </w:rPr>
        <w:t>应急管理事务</w:t>
      </w:r>
      <w:r>
        <w:rPr>
          <w:rFonts w:ascii="仿宋_GB2312" w:hAnsi="仿宋_GB2312" w:eastAsia="仿宋_GB2312" w:cs="仿宋_GB2312"/>
          <w:sz w:val="32"/>
          <w:szCs w:val="32"/>
        </w:rPr>
        <w:t>（款）</w:t>
      </w:r>
      <w:r>
        <w:rPr>
          <w:rFonts w:hint="eastAsia" w:ascii="仿宋_GB2312" w:hAnsi="仿宋_GB2312" w:eastAsia="仿宋_GB2312" w:cs="仿宋_GB2312"/>
          <w:sz w:val="32"/>
          <w:szCs w:val="32"/>
        </w:rPr>
        <w:t>应急管理</w:t>
      </w:r>
      <w:r>
        <w:rPr>
          <w:rFonts w:ascii="仿宋_GB2312" w:hAnsi="仿宋_GB2312" w:eastAsia="仿宋_GB2312" w:cs="仿宋_GB2312"/>
          <w:sz w:val="32"/>
          <w:szCs w:val="32"/>
        </w:rPr>
        <w:t>（项）：指</w:t>
      </w:r>
      <w:r>
        <w:rPr>
          <w:rFonts w:hint="eastAsia" w:ascii="仿宋_GB2312" w:hAnsi="仿宋_GB2312" w:eastAsia="仿宋_GB2312" w:cs="仿宋_GB2312"/>
          <w:sz w:val="32"/>
          <w:szCs w:val="32"/>
        </w:rPr>
        <w:t>用于应急管理的法律法规制定修订，应急预案演练，协调保障等方面的支出</w:t>
      </w:r>
      <w:r>
        <w:rPr>
          <w:rFonts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四十六</w:t>
      </w:r>
      <w:r>
        <w:rPr>
          <w:rFonts w:ascii="仿宋_GB2312" w:hAnsi="仿宋_GB2312" w:eastAsia="仿宋_GB2312" w:cs="仿宋_GB2312"/>
          <w:sz w:val="32"/>
          <w:szCs w:val="32"/>
        </w:rPr>
        <w:t>）基本支出：指为保证机构正常运转，完成日常工作任务而发生的人员支出和公用支出。</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四十七</w:t>
      </w:r>
      <w:r>
        <w:rPr>
          <w:rFonts w:ascii="仿宋_GB2312" w:hAnsi="仿宋_GB2312" w:eastAsia="仿宋_GB2312" w:cs="仿宋_GB2312"/>
          <w:sz w:val="32"/>
          <w:szCs w:val="32"/>
        </w:rPr>
        <w:t>）项目支出：指在基本支出之外为完成特定行政任务和事业发展目标所发生的支出。</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四十八</w:t>
      </w:r>
      <w:r>
        <w:rPr>
          <w:rFonts w:ascii="仿宋_GB2312" w:hAnsi="仿宋_GB2312" w:eastAsia="仿宋_GB2312" w:cs="仿宋_GB2312"/>
          <w:sz w:val="32"/>
          <w:szCs w:val="32"/>
        </w:rPr>
        <w:t>）“三公”经费：纳入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18"/>
          <w:rFonts w:ascii="黑体" w:hAnsi="黑体" w:eastAsia="黑体" w:cs="黑体"/>
          <w:b w:val="0"/>
          <w:bCs w:val="0"/>
          <w:sz w:val="36"/>
          <w:szCs w:val="36"/>
        </w:rPr>
      </w:pPr>
      <w:r>
        <w:rPr>
          <w:rFonts w:hint="eastAsia" w:ascii="仿宋_GB2312" w:hAnsi="仿宋_GB2312" w:eastAsia="仿宋_GB2312" w:cs="仿宋_GB2312"/>
          <w:b/>
          <w:bCs/>
          <w:sz w:val="32"/>
          <w:szCs w:val="32"/>
        </w:rPr>
        <w:br w:type="page"/>
      </w:r>
      <w:bookmarkStart w:id="48" w:name="_Toc15396614"/>
      <w:r>
        <w:rPr>
          <w:rFonts w:hint="eastAsia" w:ascii="黑体" w:hAnsi="黑体" w:eastAsia="黑体" w:cs="黑体"/>
          <w:sz w:val="36"/>
          <w:szCs w:val="36"/>
        </w:rPr>
        <w:t>第</w:t>
      </w:r>
      <w:r>
        <w:rPr>
          <w:rStyle w:val="18"/>
          <w:rFonts w:hint="eastAsia" w:ascii="黑体" w:hAnsi="黑体" w:eastAsia="黑体" w:cs="黑体"/>
          <w:b w:val="0"/>
          <w:bCs w:val="0"/>
          <w:sz w:val="36"/>
          <w:szCs w:val="36"/>
        </w:rPr>
        <w:t>四部分 附件</w:t>
      </w:r>
      <w:bookmarkEnd w:id="48"/>
    </w:p>
    <w:p>
      <w:pPr>
        <w:spacing w:line="600" w:lineRule="exact"/>
        <w:jc w:val="left"/>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spacing w:line="600" w:lineRule="exact"/>
        <w:jc w:val="center"/>
        <w:rPr>
          <w:rFonts w:ascii="仿宋_GB2312" w:hAnsi="仿宋_GB2312" w:eastAsia="仿宋_GB2312" w:cs="仿宋_GB2312"/>
          <w:b/>
          <w:bCs/>
          <w:kern w:val="0"/>
          <w:sz w:val="32"/>
          <w:szCs w:val="32"/>
          <w:lang w:val="zh-CN"/>
        </w:rPr>
      </w:pPr>
      <w:r>
        <w:rPr>
          <w:rFonts w:hint="eastAsia" w:ascii="仿宋_GB2312" w:hAnsi="仿宋_GB2312" w:eastAsia="仿宋_GB2312" w:cs="仿宋_GB2312"/>
          <w:b/>
          <w:bCs/>
          <w:kern w:val="0"/>
          <w:sz w:val="32"/>
          <w:szCs w:val="32"/>
        </w:rPr>
        <w:t>柳沟镇</w:t>
      </w:r>
      <w:r>
        <w:rPr>
          <w:rFonts w:hint="eastAsia" w:ascii="仿宋_GB2312" w:hAnsi="仿宋_GB2312" w:eastAsia="仿宋_GB2312" w:cs="仿宋_GB2312"/>
          <w:b/>
          <w:bCs/>
          <w:kern w:val="0"/>
          <w:sz w:val="32"/>
          <w:szCs w:val="32"/>
          <w:lang w:val="zh-CN"/>
        </w:rPr>
        <w:t>部门</w:t>
      </w:r>
      <w:r>
        <w:rPr>
          <w:rFonts w:hint="eastAsia" w:ascii="仿宋_GB2312" w:hAnsi="仿宋_GB2312" w:eastAsia="仿宋_GB2312" w:cs="仿宋_GB2312"/>
          <w:b/>
          <w:bCs/>
          <w:kern w:val="0"/>
          <w:sz w:val="32"/>
          <w:szCs w:val="32"/>
        </w:rPr>
        <w:t>2022年部门</w:t>
      </w:r>
      <w:r>
        <w:rPr>
          <w:rFonts w:hint="eastAsia" w:ascii="仿宋_GB2312" w:hAnsi="仿宋_GB2312" w:eastAsia="仿宋_GB2312" w:cs="仿宋_GB2312"/>
          <w:b/>
          <w:bCs/>
          <w:kern w:val="0"/>
          <w:sz w:val="32"/>
          <w:szCs w:val="32"/>
          <w:lang w:val="zh-CN"/>
        </w:rPr>
        <w:t>整体支出绩效评价报告</w:t>
      </w:r>
    </w:p>
    <w:p>
      <w:pPr>
        <w:spacing w:line="580" w:lineRule="exact"/>
        <w:ind w:firstLine="643" w:firstLineChars="200"/>
        <w:rPr>
          <w:rFonts w:ascii="仿宋_GB2312" w:hAnsi="仿宋_GB2312" w:eastAsia="仿宋_GB2312" w:cs="仿宋_GB2312"/>
          <w:b/>
          <w:bCs/>
          <w:sz w:val="32"/>
          <w:szCs w:val="32"/>
        </w:rPr>
      </w:pPr>
    </w:p>
    <w:p>
      <w:pPr>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一、部门（单位）概况</w:t>
      </w:r>
    </w:p>
    <w:p>
      <w:pPr>
        <w:pStyle w:val="13"/>
        <w:widowControl/>
        <w:spacing w:before="0" w:beforeAutospacing="0" w:after="0" w:afterAutospacing="0" w:line="390" w:lineRule="atLeas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shd w:val="clear" w:color="auto" w:fill="FFFFFF"/>
        </w:rPr>
        <w:t>　 （一）机构、人员构成</w:t>
      </w:r>
    </w:p>
    <w:p>
      <w:pPr>
        <w:pStyle w:val="13"/>
        <w:widowControl/>
        <w:shd w:val="clear" w:color="auto" w:fill="FFFFFF"/>
        <w:spacing w:before="0" w:beforeAutospacing="0" w:after="0" w:afterAutospacing="0" w:line="600" w:lineRule="exact"/>
        <w:ind w:firstLine="615"/>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柳沟镇内设机构：财政所、计生办、民政办、社会事务办、党政办。2022年总编制101名，其中行政编制33名，工勤编制3名，事业编制65名。2022年末，全镇实有在职人员101人，其中行政人员31人，事业人员67人，工勤人员3人；遗嘱人员6人。</w:t>
      </w:r>
    </w:p>
    <w:p>
      <w:pPr>
        <w:pStyle w:val="13"/>
        <w:widowControl/>
        <w:spacing w:before="0" w:beforeAutospacing="0" w:after="0" w:afterAutospacing="0" w:line="390" w:lineRule="atLeast"/>
        <w:ind w:firstLine="42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shd w:val="clear" w:color="auto" w:fill="FFFFFF"/>
        </w:rPr>
        <w:t>（二）单位主要职责</w:t>
      </w:r>
    </w:p>
    <w:p>
      <w:pPr>
        <w:spacing w:line="360" w:lineRule="auto"/>
        <w:ind w:left="210"/>
        <w:rPr>
          <w:rFonts w:ascii="仿宋_GB2312" w:hAnsi="仿宋_GB2312" w:eastAsia="仿宋_GB2312" w:cs="仿宋_GB2312"/>
          <w:sz w:val="32"/>
          <w:szCs w:val="32"/>
        </w:rPr>
      </w:pPr>
      <w:r>
        <w:rPr>
          <w:rFonts w:hint="eastAsia" w:ascii="仿宋_GB2312" w:hAnsi="仿宋_GB2312" w:eastAsia="仿宋_GB2312" w:cs="仿宋_GB2312"/>
          <w:bCs/>
          <w:color w:val="000000"/>
          <w:sz w:val="32"/>
          <w:szCs w:val="32"/>
        </w:rPr>
        <w:t xml:space="preserve">    </w:t>
      </w:r>
      <w:r>
        <w:rPr>
          <w:rFonts w:hint="eastAsia" w:ascii="仿宋_GB2312" w:hAnsi="仿宋_GB2312" w:eastAsia="仿宋_GB2312" w:cs="仿宋_GB2312"/>
          <w:sz w:val="32"/>
          <w:szCs w:val="32"/>
        </w:rPr>
        <w:t>党委工作职责：（1）保证党的路线、方针、政策的坚决贯彻执行。（2）保证监督职能。（3）教育和管理职能。（4）服从和服务于经济建设的职能。（5）负责抓好本镇党建工作、群团工作、精神文明建设工作、新闻宣传工作。（6）完成县委、县政府交给的其他工作任务。</w:t>
      </w:r>
    </w:p>
    <w:p>
      <w:pPr>
        <w:pStyle w:val="7"/>
        <w:spacing w:line="360" w:lineRule="auto"/>
        <w:ind w:left="210"/>
        <w:rPr>
          <w:b w:val="0"/>
          <w:bCs/>
        </w:rPr>
      </w:pPr>
      <w:r>
        <w:rPr>
          <w:rFonts w:hint="eastAsia" w:ascii="仿宋_GB2312" w:hAnsi="仿宋_GB2312" w:cs="仿宋_GB2312"/>
          <w:b w:val="0"/>
          <w:szCs w:val="32"/>
        </w:rPr>
        <w:t xml:space="preserve">    政府职能：（1）制定和组织实施经济、科技和社会发展计划，制定资源开发技术改造和产业结构调整方案，组织指导好各业生产，搞好商品流通，协调好本镇与外地区的经济交流与合作，抓好招商引资，人才引进项目开发，不断培育市场体系，组织经济运行，促进经济发展。（2）制定并组织实施村镇建设规划，部署重点工程建设，地方道路建设及公共设施，水利设施的管理，负责土地、林木、水等自然资源和生态环境的保护，做好护林防火工作。（3）负责本行政区域内的民政、计划生育、文化教育、卫生、体育等社会公益事业的综合性工作，维护一切经济单位和个人的正当经济权益，取缔非法经济活动，调解和处理民事纠纷，打击刑事犯罪维护社会稳定。（4）按计划组织本级财政收入和地方税的征收，完成国家财政计划，不断培植税源，管好财政资金，增强财政实力。（5）抓好精神文明建设，丰富群众文化生活，提倡移风易俗，反对封建迷信，破除陈规陋习，树立社会主义新风尚。（6）完成上级政府交办</w:t>
      </w:r>
      <w:r>
        <w:rPr>
          <w:rFonts w:hint="eastAsia" w:ascii="仿宋_GB2312" w:hAnsi="仿宋_GB2312" w:cs="仿宋_GB2312"/>
          <w:b w:val="0"/>
          <w:szCs w:val="32"/>
          <w:lang w:eastAsia="zh-CN"/>
        </w:rPr>
        <w:t>的其他事项</w:t>
      </w:r>
      <w:r>
        <w:rPr>
          <w:rFonts w:hint="eastAsia" w:ascii="仿宋_GB2312" w:hAnsi="仿宋_GB2312" w:cs="仿宋_GB2312"/>
          <w:b w:val="0"/>
          <w:bCs/>
          <w:color w:val="000000"/>
          <w:szCs w:val="32"/>
        </w:rPr>
        <w:t>。</w:t>
      </w:r>
    </w:p>
    <w:p>
      <w:pPr>
        <w:pStyle w:val="13"/>
        <w:widowControl/>
        <w:numPr>
          <w:ilvl w:val="0"/>
          <w:numId w:val="4"/>
        </w:numPr>
        <w:spacing w:before="0" w:beforeAutospacing="0" w:after="0" w:afterAutospacing="0" w:line="390" w:lineRule="atLeast"/>
        <w:rPr>
          <w:rFonts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部门自评方法</w:t>
      </w:r>
    </w:p>
    <w:p>
      <w:pPr>
        <w:pStyle w:val="13"/>
        <w:widowControl/>
        <w:spacing w:before="0" w:beforeAutospacing="0" w:after="0" w:afterAutospacing="0" w:line="650" w:lineRule="atLeas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1、高度重视预算支出绩效评价工作，成立了以镇长高飞</w:t>
      </w:r>
      <w:r>
        <w:rPr>
          <w:rFonts w:hint="eastAsia" w:ascii="仿宋_GB2312" w:hAnsi="仿宋_GB2312" w:eastAsia="仿宋_GB2312" w:cs="仿宋_GB2312"/>
          <w:sz w:val="32"/>
          <w:szCs w:val="32"/>
          <w:shd w:val="clear" w:color="auto" w:fill="FFFFFF"/>
          <w:lang w:eastAsia="zh-CN"/>
        </w:rPr>
        <w:t>任</w:t>
      </w:r>
      <w:r>
        <w:rPr>
          <w:rFonts w:hint="eastAsia" w:ascii="仿宋_GB2312" w:hAnsi="仿宋_GB2312" w:eastAsia="仿宋_GB2312" w:cs="仿宋_GB2312"/>
          <w:sz w:val="32"/>
          <w:szCs w:val="32"/>
          <w:shd w:val="clear" w:color="auto" w:fill="FFFFFF"/>
        </w:rPr>
        <w:t>组长，</w:t>
      </w:r>
      <w:r>
        <w:rPr>
          <w:rFonts w:hint="eastAsia" w:ascii="仿宋_GB2312" w:hAnsi="仿宋_GB2312" w:eastAsia="仿宋_GB2312" w:cs="仿宋_GB2312"/>
          <w:sz w:val="32"/>
          <w:szCs w:val="32"/>
          <w:shd w:val="clear" w:color="auto" w:fill="FFFFFF"/>
          <w:lang w:eastAsia="zh-CN"/>
        </w:rPr>
        <w:t>组织</w:t>
      </w:r>
      <w:r>
        <w:rPr>
          <w:rFonts w:hint="eastAsia" w:ascii="仿宋_GB2312" w:hAnsi="仿宋_GB2312" w:eastAsia="仿宋_GB2312" w:cs="仿宋_GB2312"/>
          <w:sz w:val="32"/>
          <w:szCs w:val="32"/>
          <w:shd w:val="clear" w:color="auto" w:fill="FFFFFF"/>
        </w:rPr>
        <w:t>委员何小燕</w:t>
      </w:r>
      <w:r>
        <w:rPr>
          <w:rFonts w:hint="eastAsia" w:ascii="仿宋_GB2312" w:hAnsi="仿宋_GB2312" w:eastAsia="仿宋_GB2312" w:cs="仿宋_GB2312"/>
          <w:sz w:val="32"/>
          <w:szCs w:val="32"/>
          <w:shd w:val="clear" w:color="auto" w:fill="FFFFFF"/>
          <w:lang w:eastAsia="zh-CN"/>
        </w:rPr>
        <w:t>任</w:t>
      </w:r>
      <w:r>
        <w:rPr>
          <w:rFonts w:hint="eastAsia" w:ascii="仿宋_GB2312" w:hAnsi="仿宋_GB2312" w:eastAsia="仿宋_GB2312" w:cs="仿宋_GB2312"/>
          <w:sz w:val="32"/>
          <w:szCs w:val="32"/>
          <w:shd w:val="clear" w:color="auto" w:fill="FFFFFF"/>
        </w:rPr>
        <w:t>副组长，各部门主要负责人为成员的预算支出绩效评价领导小组。按照县财政局绩效评价规程要求，第一阶段为前期准备：由我镇政府牵头，组织有关部门制定</w:t>
      </w:r>
      <w:bookmarkStart w:id="50" w:name="_GoBack"/>
      <w:bookmarkEnd w:id="50"/>
      <w:r>
        <w:rPr>
          <w:rFonts w:hint="eastAsia" w:ascii="仿宋_GB2312" w:hAnsi="仿宋_GB2312" w:eastAsia="仿宋_GB2312" w:cs="仿宋_GB2312"/>
          <w:sz w:val="32"/>
          <w:szCs w:val="32"/>
          <w:shd w:val="clear" w:color="auto" w:fill="FFFFFF"/>
        </w:rPr>
        <w:t>了详细的工作方案，明确责任，确定评价指标细则；第二阶段为部门自评：根据上一阶段任务布置，各部门按照要求展开自评工作，并将评价结果报财政所；第三阶段为定性终评，并出具评价报告：财政所在各部门自评的基础上，查阅相关文件资料和财务凭证，对收集资料进行定量定性分析，综合评议后形成评价结论，出具绩效评价报告。</w:t>
      </w:r>
    </w:p>
    <w:p>
      <w:pPr>
        <w:widowControl/>
        <w:shd w:val="clear" w:color="auto" w:fill="FFFFFF"/>
        <w:spacing w:line="540" w:lineRule="atLeast"/>
        <w:ind w:firstLine="720"/>
        <w:rPr>
          <w:rFonts w:ascii="仿宋_GB2312" w:hAnsi="仿宋_GB2312" w:eastAsia="仿宋_GB2312" w:cs="仿宋_GB2312"/>
          <w:bCs/>
          <w:sz w:val="32"/>
          <w:szCs w:val="32"/>
        </w:rPr>
      </w:pPr>
      <w:r>
        <w:rPr>
          <w:rFonts w:hint="eastAsia" w:ascii="仿宋_GB2312" w:hAnsi="仿宋_GB2312" w:eastAsia="仿宋_GB2312" w:cs="仿宋_GB2312"/>
          <w:b/>
          <w:kern w:val="0"/>
          <w:sz w:val="32"/>
          <w:szCs w:val="32"/>
          <w:shd w:val="clear" w:color="auto" w:fill="FFFFFF"/>
        </w:rPr>
        <w:t>二、部门财政资金收支管理情况</w:t>
      </w:r>
    </w:p>
    <w:p>
      <w:pPr>
        <w:widowControl/>
        <w:shd w:val="clear" w:color="auto" w:fill="FFFFFF"/>
        <w:spacing w:line="540" w:lineRule="atLeast"/>
        <w:ind w:firstLine="720"/>
        <w:rPr>
          <w:rFonts w:ascii="仿宋_GB2312" w:hAnsi="仿宋_GB2312" w:eastAsia="仿宋_GB2312" w:cs="仿宋_GB2312"/>
          <w:sz w:val="32"/>
          <w:szCs w:val="32"/>
        </w:rPr>
      </w:pPr>
      <w:r>
        <w:rPr>
          <w:rFonts w:hint="eastAsia" w:ascii="仿宋_GB2312" w:hAnsi="仿宋_GB2312" w:eastAsia="仿宋_GB2312" w:cs="仿宋_GB2312"/>
          <w:b/>
          <w:kern w:val="0"/>
          <w:sz w:val="32"/>
          <w:szCs w:val="32"/>
          <w:shd w:val="clear" w:color="auto" w:fill="FFFFFF"/>
        </w:rPr>
        <w:t>（一）部门财政资金收入情况。</w:t>
      </w:r>
    </w:p>
    <w:p>
      <w:pPr>
        <w:widowControl/>
        <w:shd w:val="clear" w:color="auto" w:fill="FFFFFF"/>
        <w:spacing w:line="540" w:lineRule="atLeast"/>
        <w:ind w:firstLine="720"/>
        <w:rPr>
          <w:rFonts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rPr>
        <w:t>2022年柳沟镇人民政府收入总额为</w:t>
      </w:r>
      <w:r>
        <w:rPr>
          <w:rFonts w:hint="eastAsia" w:ascii="仿宋_GB2312" w:hAnsi="仿宋_GB2312" w:eastAsia="仿宋_GB2312" w:cs="仿宋_GB2312"/>
          <w:sz w:val="32"/>
          <w:szCs w:val="32"/>
        </w:rPr>
        <w:t>1913.38</w:t>
      </w:r>
      <w:r>
        <w:rPr>
          <w:rFonts w:hint="eastAsia" w:ascii="仿宋_GB2312" w:hAnsi="仿宋_GB2312" w:eastAsia="仿宋_GB2312" w:cs="仿宋_GB2312"/>
          <w:kern w:val="0"/>
          <w:sz w:val="32"/>
          <w:szCs w:val="32"/>
          <w:shd w:val="clear" w:color="auto" w:fill="FFFFFF"/>
        </w:rPr>
        <w:t>万元，其中：当年财政基本支出拨款收入</w:t>
      </w:r>
      <w:r>
        <w:rPr>
          <w:rFonts w:hint="eastAsia" w:ascii="仿宋_GB2312" w:hAnsi="仿宋_GB2312" w:eastAsia="仿宋_GB2312" w:cs="仿宋_GB2312"/>
          <w:sz w:val="32"/>
          <w:szCs w:val="32"/>
        </w:rPr>
        <w:t>1520.85</w:t>
      </w:r>
      <w:r>
        <w:rPr>
          <w:rFonts w:hint="eastAsia" w:ascii="仿宋_GB2312" w:hAnsi="仿宋_GB2312" w:eastAsia="仿宋_GB2312" w:cs="仿宋_GB2312"/>
          <w:kern w:val="0"/>
          <w:sz w:val="32"/>
          <w:szCs w:val="32"/>
          <w:shd w:val="clear" w:color="auto" w:fill="FFFFFF"/>
        </w:rPr>
        <w:t>万元。项目支出拨款收入</w:t>
      </w:r>
      <w:r>
        <w:rPr>
          <w:rFonts w:hint="eastAsia" w:ascii="仿宋_GB2312" w:hAnsi="仿宋_GB2312" w:eastAsia="仿宋_GB2312" w:cs="仿宋_GB2312"/>
          <w:sz w:val="32"/>
          <w:szCs w:val="32"/>
        </w:rPr>
        <w:t>392.53</w:t>
      </w:r>
      <w:r>
        <w:rPr>
          <w:rFonts w:hint="eastAsia" w:ascii="仿宋_GB2312" w:hAnsi="仿宋_GB2312" w:eastAsia="仿宋_GB2312" w:cs="仿宋_GB2312"/>
          <w:kern w:val="0"/>
          <w:sz w:val="32"/>
          <w:szCs w:val="32"/>
          <w:shd w:val="clear" w:color="auto" w:fill="FFFFFF"/>
        </w:rPr>
        <w:t>万元</w:t>
      </w:r>
      <w:r>
        <w:rPr>
          <w:rFonts w:hint="eastAsia" w:ascii="仿宋_GB2312" w:hAnsi="仿宋_GB2312" w:eastAsia="仿宋_GB2312" w:cs="仿宋_GB2312"/>
          <w:bCs/>
          <w:kern w:val="0"/>
          <w:sz w:val="32"/>
          <w:szCs w:val="32"/>
          <w:shd w:val="clear" w:color="auto" w:fill="FFFFFF"/>
        </w:rPr>
        <w:t>。</w:t>
      </w:r>
    </w:p>
    <w:p>
      <w:pPr>
        <w:widowControl/>
        <w:shd w:val="clear" w:color="auto" w:fill="FFFFFF"/>
        <w:spacing w:line="540" w:lineRule="atLeast"/>
        <w:ind w:firstLine="643"/>
        <w:rPr>
          <w:rFonts w:ascii="仿宋_GB2312" w:hAnsi="仿宋_GB2312" w:eastAsia="仿宋_GB2312" w:cs="仿宋_GB2312"/>
          <w:bCs/>
          <w:sz w:val="32"/>
          <w:szCs w:val="32"/>
        </w:rPr>
      </w:pPr>
      <w:r>
        <w:rPr>
          <w:rFonts w:hint="eastAsia" w:ascii="仿宋_GB2312" w:hAnsi="仿宋_GB2312" w:eastAsia="仿宋_GB2312" w:cs="仿宋_GB2312"/>
          <w:b/>
          <w:kern w:val="0"/>
          <w:sz w:val="32"/>
          <w:szCs w:val="32"/>
          <w:shd w:val="clear" w:color="auto" w:fill="FFFFFF"/>
        </w:rPr>
        <w:t>（二）部门财政资金支出情况。</w:t>
      </w:r>
    </w:p>
    <w:p>
      <w:pPr>
        <w:widowControl/>
        <w:shd w:val="clear" w:color="auto" w:fill="FFFFFF"/>
        <w:spacing w:line="54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rPr>
        <w:t>2022年柳沟镇人民政府支出总额为</w:t>
      </w:r>
      <w:r>
        <w:rPr>
          <w:rFonts w:hint="eastAsia" w:ascii="仿宋_GB2312" w:hAnsi="仿宋_GB2312" w:eastAsia="仿宋_GB2312" w:cs="仿宋_GB2312"/>
          <w:sz w:val="32"/>
          <w:szCs w:val="32"/>
        </w:rPr>
        <w:t>1913.38</w:t>
      </w:r>
      <w:r>
        <w:rPr>
          <w:rFonts w:hint="eastAsia" w:ascii="仿宋_GB2312" w:hAnsi="仿宋_GB2312" w:eastAsia="仿宋_GB2312" w:cs="仿宋_GB2312"/>
          <w:kern w:val="0"/>
          <w:sz w:val="32"/>
          <w:szCs w:val="32"/>
          <w:shd w:val="clear" w:color="auto" w:fill="FFFFFF"/>
        </w:rPr>
        <w:t>万元，其中：当年财政基本支出</w:t>
      </w:r>
      <w:r>
        <w:rPr>
          <w:rFonts w:hint="eastAsia" w:ascii="仿宋_GB2312" w:hAnsi="仿宋_GB2312" w:eastAsia="仿宋_GB2312" w:cs="仿宋_GB2312"/>
          <w:sz w:val="32"/>
          <w:szCs w:val="32"/>
        </w:rPr>
        <w:t>1913.38</w:t>
      </w:r>
      <w:r>
        <w:rPr>
          <w:rFonts w:hint="eastAsia" w:ascii="仿宋_GB2312" w:hAnsi="仿宋_GB2312" w:eastAsia="仿宋_GB2312" w:cs="仿宋_GB2312"/>
          <w:kern w:val="0"/>
          <w:sz w:val="32"/>
          <w:szCs w:val="32"/>
          <w:shd w:val="clear" w:color="auto" w:fill="FFFFFF"/>
        </w:rPr>
        <w:t>万元，按功能分：</w:t>
      </w:r>
      <w:r>
        <w:rPr>
          <w:rFonts w:hint="eastAsia" w:ascii="仿宋_GB2312" w:hAnsi="仿宋_GB2312" w:eastAsia="仿宋_GB2312" w:cs="仿宋_GB2312"/>
          <w:sz w:val="32"/>
          <w:szCs w:val="32"/>
        </w:rPr>
        <w:t>201一般公共服务支出579.4万元，占30.28%；203国防支出0.5万元，占0.03%；204公共安全支出1万元，占0.05%；207文化体育与传媒支出120.96万元，占6.32%；208社会保障和就业支出347.3万元，占18.15%；210医疗卫生支出155.06万元，占8.1%；212城乡社区支出13万元，占0.68%；213农林水支出613.05万元，占32.04%； 221住房保障支出82.91万元，占4.33%；224灾害防治及应急管理支出0.2万元，占0.01%</w:t>
      </w:r>
      <w:r>
        <w:rPr>
          <w:rFonts w:hint="eastAsia" w:ascii="仿宋_GB2312" w:hAnsi="仿宋_GB2312" w:eastAsia="仿宋_GB2312" w:cs="仿宋_GB2312"/>
          <w:kern w:val="0"/>
          <w:sz w:val="32"/>
          <w:szCs w:val="32"/>
          <w:shd w:val="clear" w:color="auto" w:fill="FFFFFF"/>
        </w:rPr>
        <w:t>项目支出</w:t>
      </w:r>
      <w:r>
        <w:rPr>
          <w:rFonts w:hint="eastAsia" w:ascii="仿宋_GB2312" w:hAnsi="仿宋_GB2312" w:eastAsia="仿宋_GB2312" w:cs="仿宋_GB2312"/>
          <w:sz w:val="32"/>
          <w:szCs w:val="32"/>
        </w:rPr>
        <w:t>392.53</w:t>
      </w:r>
      <w:r>
        <w:rPr>
          <w:rFonts w:hint="eastAsia" w:ascii="仿宋_GB2312" w:hAnsi="仿宋_GB2312" w:eastAsia="仿宋_GB2312" w:cs="仿宋_GB2312"/>
          <w:kern w:val="0"/>
          <w:sz w:val="32"/>
          <w:szCs w:val="32"/>
          <w:shd w:val="clear" w:color="auto" w:fill="FFFFFF"/>
        </w:rPr>
        <w:t>万元，按用途分：</w:t>
      </w:r>
      <w:r>
        <w:rPr>
          <w:rFonts w:hint="eastAsia" w:ascii="仿宋_GB2312" w:hAnsi="仿宋_GB2312" w:eastAsia="仿宋_GB2312" w:cs="仿宋_GB2312"/>
          <w:sz w:val="32"/>
          <w:szCs w:val="32"/>
        </w:rPr>
        <w:t>一般公共服务支出38.63万元，占28.42%；文化体育与</w:t>
      </w:r>
      <w:r>
        <w:rPr>
          <w:rFonts w:hint="eastAsia" w:ascii="仿宋_GB2312" w:hAnsi="仿宋_GB2312" w:eastAsia="仿宋_GB2312" w:cs="仿宋_GB2312"/>
          <w:sz w:val="32"/>
          <w:szCs w:val="32"/>
          <w:lang w:eastAsia="zh-CN"/>
        </w:rPr>
        <w:t>传媒</w:t>
      </w:r>
      <w:r>
        <w:rPr>
          <w:rFonts w:hint="eastAsia" w:ascii="仿宋_GB2312" w:hAnsi="仿宋_GB2312" w:eastAsia="仿宋_GB2312" w:cs="仿宋_GB2312"/>
          <w:sz w:val="32"/>
          <w:szCs w:val="32"/>
        </w:rPr>
        <w:t>支出1.4万元，占1.03%；212城乡社区支出12.08万元，占8.89%；农林水支出83.32万元，占61.3%。</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2022</w:t>
      </w:r>
      <w:r>
        <w:rPr>
          <w:rFonts w:hint="eastAsia" w:ascii="仿宋_GB2312" w:hAnsi="仿宋_GB2312" w:eastAsia="仿宋_GB2312" w:cs="仿宋_GB2312"/>
          <w:sz w:val="32"/>
          <w:szCs w:val="32"/>
        </w:rPr>
        <w:t>年三公经费总额为</w:t>
      </w:r>
      <w:r>
        <w:rPr>
          <w:rFonts w:hint="eastAsia" w:ascii="仿宋_GB2312" w:hAnsi="仿宋_GB2312" w:eastAsia="仿宋_GB2312" w:cs="仿宋_GB2312"/>
          <w:sz w:val="32"/>
          <w:szCs w:val="32"/>
          <w:shd w:val="clear" w:color="auto" w:fill="FFFFFF"/>
        </w:rPr>
        <w:t>4.26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rPr>
        <w:t>其中：公务用车运行维护费</w:t>
      </w:r>
      <w:r>
        <w:rPr>
          <w:rFonts w:hint="eastAsia" w:ascii="仿宋_GB2312" w:hAnsi="仿宋_GB2312" w:eastAsia="仿宋_GB2312" w:cs="仿宋_GB2312"/>
          <w:sz w:val="32"/>
          <w:szCs w:val="32"/>
          <w:shd w:val="clear" w:color="auto" w:fill="FFFFFF"/>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rPr>
        <w:t>公务接待费</w:t>
      </w:r>
      <w:r>
        <w:rPr>
          <w:rFonts w:hint="eastAsia" w:ascii="仿宋_GB2312" w:hAnsi="仿宋_GB2312" w:eastAsia="仿宋_GB2312" w:cs="仿宋_GB2312"/>
          <w:sz w:val="32"/>
          <w:szCs w:val="32"/>
          <w:shd w:val="clear" w:color="auto" w:fill="FFFFFF"/>
        </w:rPr>
        <w:t>4.26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rPr>
        <w:t>主要用于执行公务、开展业务活动开支的交通费、住宿费、用餐费等。因公出国（境）费0.00万元。全年安排因公出国（境）团组0次，出国（境）0人。</w:t>
      </w:r>
    </w:p>
    <w:p>
      <w:pPr>
        <w:widowControl/>
        <w:shd w:val="clear" w:color="auto" w:fill="FFFFFF"/>
        <w:spacing w:line="540" w:lineRule="atLeast"/>
        <w:ind w:left="420"/>
        <w:rPr>
          <w:rFonts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rPr>
        <w:t>（三）预算编制及执行情况</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柳沟镇及时组织财务人员进行预决算的编制，对本年度相应用款进行及时清理和处理，做到账账相符、账实相符、账证相符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按先有预算再有支出的原则，及时处理相关事务；对绩效目标进行季度梳理和年度分析，及时上报相关报表；对专项预算提前细化，分科目上报，做到收支平衡。</w:t>
      </w:r>
    </w:p>
    <w:p>
      <w:pPr>
        <w:widowControl/>
        <w:shd w:val="clear" w:color="auto" w:fill="FFFFFF"/>
        <w:spacing w:line="540" w:lineRule="atLeast"/>
        <w:ind w:firstLine="64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预期编制：柳沟镇于2021年12月对2022年部门支出进行预算：支出合计1913.38万元。一、基本支出1520.85元。其中工资福利支出1372.23万元，对个人和家庭的补助191.4</w:t>
      </w:r>
      <w:r>
        <w:rPr>
          <w:rFonts w:hint="eastAsia" w:ascii="仿宋_GB2312" w:hAnsi="仿宋_GB2312" w:eastAsia="仿宋_GB2312" w:cs="仿宋_GB2312"/>
          <w:kern w:val="0"/>
          <w:sz w:val="32"/>
          <w:szCs w:val="32"/>
          <w:shd w:val="clear" w:color="auto" w:fill="FFFFFF"/>
          <w:lang w:eastAsia="zh-CN"/>
        </w:rPr>
        <w:t>万元</w:t>
      </w:r>
      <w:r>
        <w:rPr>
          <w:rFonts w:hint="eastAsia" w:ascii="仿宋_GB2312" w:hAnsi="仿宋_GB2312" w:eastAsia="仿宋_GB2312" w:cs="仿宋_GB2312"/>
          <w:kern w:val="0"/>
          <w:sz w:val="32"/>
          <w:szCs w:val="32"/>
          <w:shd w:val="clear" w:color="auto" w:fill="FFFFFF"/>
        </w:rPr>
        <w:t>，商品和服务支出349.74万元；二、项目支出392.53万元。</w:t>
      </w:r>
    </w:p>
    <w:p>
      <w:pPr>
        <w:widowControl/>
        <w:shd w:val="clear" w:color="auto" w:fill="FFFFFF"/>
        <w:spacing w:line="540" w:lineRule="atLeast"/>
        <w:ind w:firstLine="640"/>
        <w:rPr>
          <w:rFonts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rPr>
        <w:t>执行管理情况：</w:t>
      </w:r>
      <w:r>
        <w:rPr>
          <w:rFonts w:hint="eastAsia" w:ascii="仿宋_GB2312" w:hAnsi="仿宋_GB2312" w:eastAsia="仿宋_GB2312" w:cs="仿宋_GB2312"/>
          <w:sz w:val="32"/>
          <w:szCs w:val="32"/>
          <w:shd w:val="clear" w:color="auto" w:fill="FFFFFF"/>
        </w:rPr>
        <w:t>2022年人大会议支出3.88万元，主要用于主席团人员差旅费支出；行政运行536.84万元，主要用于机关干部基本工资、津补贴、绩效工资、工会、福利费支出，以及保证机关正常运转产生的其他工资、公务用车、办公费、水电费、差旅费、会议费、培训费、接待费等支出。一般行政管理事务15.33万元，主要用于机关办公维修费、办公设备购置费等支出。文化和旅游120.96万元，主要用于干部基本工资、津补贴、绩效工资、工会、福利费、办公费、水电费、差旅费、会议费支出.社会保障和就业347.3万元，主要用于机关事业单位基本养老保险费，医疗卫生与计划生育事务155.06万元，主要用于社会保障等支出。环境综合治理13万元，主要用于环境治理劳务费、垃圾清运费、维修、基础设施等支出。村民委员会及党支部补助613.05万元，主要用于村组、社区干部工资及村办公经费。住房保障经费82.91万元，主要用于机关工作人员住房公积金支出。</w:t>
      </w:r>
      <w:r>
        <w:rPr>
          <w:rFonts w:hint="eastAsia" w:ascii="仿宋_GB2312" w:hAnsi="仿宋_GB2312" w:eastAsia="仿宋_GB2312" w:cs="仿宋_GB2312"/>
          <w:sz w:val="32"/>
          <w:szCs w:val="32"/>
        </w:rPr>
        <w:t>对于项目资金</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rPr>
        <w:t>从立项、审批、设计、建设、验收、审计全程监管，并由专人具体负责项目实施</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rPr>
        <w:t>取得了较好的经济效益和社会效益。</w:t>
      </w:r>
    </w:p>
    <w:p>
      <w:pPr>
        <w:pStyle w:val="13"/>
        <w:widowControl/>
        <w:spacing w:before="0" w:beforeAutospacing="0" w:after="0" w:afterAutospacing="0" w:line="390" w:lineRule="atLeast"/>
        <w:rPr>
          <w:rFonts w:ascii="仿宋_GB2312" w:hAnsi="仿宋_GB2312" w:eastAsia="仿宋_GB2312" w:cs="仿宋_GB2312"/>
          <w:b/>
          <w:bCs/>
          <w:sz w:val="32"/>
          <w:szCs w:val="32"/>
        </w:rPr>
      </w:pPr>
      <w:r>
        <w:rPr>
          <w:rFonts w:hint="eastAsia" w:ascii="仿宋_GB2312" w:hAnsi="仿宋_GB2312" w:eastAsia="仿宋_GB2312" w:cs="仿宋_GB2312"/>
          <w:color w:val="FF0000"/>
          <w:sz w:val="32"/>
          <w:szCs w:val="32"/>
          <w:shd w:val="clear" w:color="auto" w:fill="FFFFFF"/>
        </w:rPr>
        <w:t>　　</w:t>
      </w:r>
      <w:r>
        <w:rPr>
          <w:rFonts w:hint="eastAsia" w:ascii="仿宋_GB2312" w:hAnsi="仿宋_GB2312" w:eastAsia="仿宋_GB2312" w:cs="仿宋_GB2312"/>
          <w:b/>
          <w:bCs/>
          <w:sz w:val="32"/>
          <w:szCs w:val="32"/>
          <w:shd w:val="clear" w:color="auto" w:fill="FFFFFF"/>
        </w:rPr>
        <w:t>三、绩效评价工作情况</w:t>
      </w:r>
    </w:p>
    <w:p>
      <w:pPr>
        <w:pStyle w:val="13"/>
        <w:widowControl/>
        <w:spacing w:before="0" w:beforeAutospacing="0" w:after="0" w:afterAutospacing="0" w:line="390" w:lineRule="atLeast"/>
        <w:rPr>
          <w:rFonts w:ascii="仿宋_GB2312" w:hAnsi="仿宋_GB2312" w:eastAsia="仿宋_GB2312" w:cs="仿宋_GB2312"/>
          <w:sz w:val="32"/>
          <w:szCs w:val="32"/>
        </w:rPr>
      </w:pPr>
      <w:r>
        <w:rPr>
          <w:rFonts w:hint="eastAsia" w:ascii="仿宋_GB2312" w:hAnsi="仿宋_GB2312" w:eastAsia="仿宋_GB2312" w:cs="仿宋_GB2312"/>
          <w:b/>
          <w:bCs/>
          <w:color w:val="FF0000"/>
          <w:sz w:val="32"/>
          <w:szCs w:val="32"/>
          <w:shd w:val="clear" w:color="auto" w:fill="FFFFFF"/>
        </w:rPr>
        <w:t xml:space="preserve">　 </w:t>
      </w:r>
      <w:r>
        <w:rPr>
          <w:rFonts w:hint="eastAsia" w:ascii="仿宋_GB2312" w:hAnsi="仿宋_GB2312" w:eastAsia="仿宋_GB2312" w:cs="仿宋_GB2312"/>
          <w:b/>
          <w:bCs/>
          <w:sz w:val="32"/>
          <w:szCs w:val="32"/>
          <w:shd w:val="clear" w:color="auto" w:fill="FFFFFF"/>
        </w:rPr>
        <w:t>(一）绩效评价目的</w:t>
      </w:r>
    </w:p>
    <w:p>
      <w:pPr>
        <w:pStyle w:val="13"/>
        <w:widowControl/>
        <w:spacing w:before="0" w:beforeAutospacing="0" w:after="0" w:afterAutospacing="0" w:line="58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w:t>
      </w:r>
      <w:r>
        <w:rPr>
          <w:rFonts w:hint="eastAsia" w:ascii="仿宋_GB2312" w:hAnsi="仿宋_GB2312" w:eastAsia="仿宋_GB2312" w:cs="仿宋_GB2312"/>
          <w:kern w:val="2"/>
          <w:sz w:val="32"/>
          <w:szCs w:val="32"/>
          <w:shd w:val="clear" w:color="auto" w:fill="FFFFFF"/>
        </w:rPr>
        <w:t>本次绩效评价的</w:t>
      </w:r>
      <w:r>
        <w:rPr>
          <w:rFonts w:hint="eastAsia" w:ascii="仿宋_GB2312" w:hAnsi="仿宋_GB2312" w:eastAsia="仿宋_GB2312" w:cs="仿宋_GB2312"/>
          <w:kern w:val="2"/>
          <w:sz w:val="32"/>
          <w:szCs w:val="32"/>
          <w:shd w:val="clear" w:color="auto" w:fill="FFFFFF"/>
          <w:lang w:eastAsia="zh-CN"/>
        </w:rPr>
        <w:t>目的是</w:t>
      </w:r>
      <w:r>
        <w:rPr>
          <w:rFonts w:hint="eastAsia" w:ascii="仿宋_GB2312" w:hAnsi="仿宋_GB2312" w:eastAsia="仿宋_GB2312" w:cs="仿宋_GB2312"/>
          <w:kern w:val="2"/>
          <w:sz w:val="32"/>
          <w:szCs w:val="32"/>
          <w:shd w:val="clear" w:color="auto" w:fill="FFFFFF"/>
        </w:rPr>
        <w:t>全面分析和综合评价我镇本级财政预算资金的使用管理情况，为切实提高财政资金使用效益，强化预算支出的责任和效率提供参考依据。</w:t>
      </w:r>
      <w:r>
        <w:rPr>
          <w:rFonts w:hint="eastAsia" w:ascii="仿宋_GB2312" w:hAnsi="仿宋_GB2312" w:eastAsia="仿宋_GB2312" w:cs="仿宋_GB2312"/>
          <w:sz w:val="32"/>
          <w:szCs w:val="32"/>
          <w:shd w:val="clear" w:color="auto" w:fill="FFFFFF"/>
        </w:rPr>
        <w:t>　　　</w:t>
      </w:r>
    </w:p>
    <w:p>
      <w:pPr>
        <w:pStyle w:val="13"/>
        <w:widowControl/>
        <w:spacing w:before="0" w:beforeAutospacing="0" w:after="0" w:afterAutospacing="0" w:line="580" w:lineRule="atLeast"/>
        <w:rPr>
          <w:rFonts w:ascii="仿宋_GB2312" w:hAnsi="仿宋_GB2312" w:eastAsia="仿宋_GB2312" w:cs="仿宋_GB2312"/>
          <w:b/>
          <w:bCs/>
          <w:sz w:val="32"/>
          <w:szCs w:val="32"/>
        </w:rPr>
      </w:pPr>
      <w:r>
        <w:rPr>
          <w:rFonts w:hint="eastAsia"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b/>
          <w:bCs/>
          <w:sz w:val="32"/>
          <w:szCs w:val="32"/>
          <w:shd w:val="clear" w:color="auto" w:fill="FFFFFF"/>
        </w:rPr>
        <w:t>(二）部门整体支出绩效评价</w:t>
      </w:r>
    </w:p>
    <w:p>
      <w:pPr>
        <w:pStyle w:val="13"/>
        <w:widowControl/>
        <w:spacing w:before="0" w:beforeAutospacing="0" w:after="0" w:afterAutospacing="0" w:line="580" w:lineRule="atLeast"/>
        <w:rPr>
          <w:rFonts w:ascii="仿宋_GB2312" w:hAnsi="仿宋_GB2312" w:eastAsia="仿宋_GB2312" w:cs="仿宋_GB2312"/>
          <w:sz w:val="32"/>
          <w:szCs w:val="32"/>
        </w:rPr>
      </w:pPr>
      <w:r>
        <w:rPr>
          <w:rFonts w:hint="eastAsia" w:ascii="仿宋_GB2312" w:hAnsi="仿宋_GB2312" w:eastAsia="仿宋_GB2312" w:cs="仿宋_GB2312"/>
          <w:color w:val="FF0000"/>
          <w:sz w:val="32"/>
          <w:szCs w:val="32"/>
          <w:shd w:val="clear" w:color="auto" w:fill="FFFFFF"/>
        </w:rPr>
        <w:t>　　</w:t>
      </w:r>
      <w:r>
        <w:rPr>
          <w:rFonts w:hint="eastAsia" w:ascii="仿宋_GB2312" w:hAnsi="仿宋_GB2312" w:eastAsia="仿宋_GB2312" w:cs="仿宋_GB2312"/>
          <w:sz w:val="32"/>
          <w:szCs w:val="32"/>
          <w:shd w:val="clear" w:color="auto" w:fill="FFFFFF"/>
        </w:rPr>
        <w:t>2022年，根据镇年初工作规划和重点性工作，围绕县政府全面建成小康社会的发展蓝图，积极履职，强化管理，较好</w:t>
      </w:r>
      <w:r>
        <w:rPr>
          <w:rFonts w:hint="eastAsia" w:ascii="仿宋_GB2312" w:hAnsi="仿宋_GB2312" w:eastAsia="仿宋_GB2312" w:cs="仿宋_GB2312"/>
          <w:sz w:val="32"/>
          <w:szCs w:val="32"/>
          <w:shd w:val="clear" w:color="auto" w:fill="FFFFFF"/>
          <w:lang w:eastAsia="zh-CN"/>
        </w:rPr>
        <w:t>地</w:t>
      </w:r>
      <w:r>
        <w:rPr>
          <w:rFonts w:hint="eastAsia" w:ascii="仿宋_GB2312" w:hAnsi="仿宋_GB2312" w:eastAsia="仿宋_GB2312" w:cs="仿宋_GB2312"/>
          <w:sz w:val="32"/>
          <w:szCs w:val="32"/>
          <w:shd w:val="clear" w:color="auto" w:fill="FFFFFF"/>
        </w:rPr>
        <w:t>完成了年度工作目标。通过加强预算收支管理，不断建立健全内部管理制度，梳理内部管理流程，部门整体支出管理情况得到提升。根据2022年度部门整体支出状况的概述和分析，部门整体支出绩效情况如下：</w:t>
      </w:r>
    </w:p>
    <w:p>
      <w:pPr>
        <w:pStyle w:val="13"/>
        <w:widowControl/>
        <w:spacing w:before="0" w:beforeAutospacing="0" w:after="0" w:afterAutospacing="0" w:line="580" w:lineRule="atLeast"/>
        <w:rPr>
          <w:rFonts w:ascii="仿宋_GB2312" w:hAnsi="仿宋_GB2312" w:eastAsia="仿宋_GB2312" w:cs="仿宋_GB2312"/>
          <w:sz w:val="32"/>
          <w:szCs w:val="32"/>
        </w:rPr>
      </w:pPr>
      <w:r>
        <w:rPr>
          <w:rFonts w:hint="eastAsia" w:ascii="仿宋_GB2312" w:hAnsi="仿宋_GB2312" w:eastAsia="仿宋_GB2312" w:cs="仿宋_GB2312"/>
          <w:color w:val="FF0000"/>
          <w:sz w:val="32"/>
          <w:szCs w:val="32"/>
          <w:shd w:val="clear" w:color="auto" w:fill="FFFFFF"/>
        </w:rPr>
        <w:t>　</w:t>
      </w:r>
      <w:r>
        <w:rPr>
          <w:rFonts w:hint="eastAsia" w:ascii="仿宋_GB2312" w:hAnsi="仿宋_GB2312" w:eastAsia="仿宋_GB2312" w:cs="仿宋_GB2312"/>
          <w:b/>
          <w:bCs/>
          <w:sz w:val="32"/>
          <w:szCs w:val="32"/>
          <w:shd w:val="clear" w:color="auto" w:fill="FFFFFF"/>
        </w:rPr>
        <w:t>（1）经济效益评价</w:t>
      </w:r>
    </w:p>
    <w:p>
      <w:pPr>
        <w:pStyle w:val="13"/>
        <w:widowControl/>
        <w:spacing w:before="0" w:beforeAutospacing="0" w:after="0" w:afterAutospacing="0" w:line="53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1. 本年预算配置控制较好。财政供养人员控制在预算编制以内，编制内在职人员控制率小于100%；“三公”经费预算总额较上年持平。</w:t>
      </w:r>
    </w:p>
    <w:p>
      <w:pPr>
        <w:pStyle w:val="13"/>
        <w:widowControl/>
        <w:spacing w:before="0" w:beforeAutospacing="0" w:after="0" w:afterAutospacing="0" w:line="53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2. 预算执行方面。支出总额控制在预算总额以内，预算管理方面，制度执行总体较为有效，仍需进一步强化；资金使用管理需进一步加强。</w:t>
      </w:r>
    </w:p>
    <w:p>
      <w:pPr>
        <w:pStyle w:val="13"/>
        <w:widowControl/>
        <w:spacing w:before="0" w:beforeAutospacing="0" w:after="0" w:afterAutospacing="0" w:line="53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资产管理方面，建立了资产管理制度，定期进行了盘点和资产清理，总体执行较好。</w:t>
      </w:r>
    </w:p>
    <w:p>
      <w:pPr>
        <w:pStyle w:val="13"/>
        <w:widowControl/>
        <w:spacing w:before="0" w:beforeAutospacing="0" w:after="0" w:afterAutospacing="0" w:line="530" w:lineRule="atLeast"/>
        <w:rPr>
          <w:rFonts w:ascii="仿宋_GB2312" w:hAnsi="仿宋_GB2312" w:eastAsia="仿宋_GB2312" w:cs="仿宋_GB2312"/>
          <w:sz w:val="32"/>
          <w:szCs w:val="32"/>
        </w:rPr>
      </w:pPr>
      <w:r>
        <w:rPr>
          <w:rFonts w:hint="eastAsia" w:ascii="仿宋_GB2312" w:hAnsi="仿宋_GB2312" w:eastAsia="仿宋_GB2312" w:cs="仿宋_GB2312"/>
          <w:color w:val="FF0000"/>
          <w:sz w:val="32"/>
          <w:szCs w:val="32"/>
          <w:shd w:val="clear" w:color="auto" w:fill="FFFFFF"/>
        </w:rPr>
        <w:t>　　</w:t>
      </w:r>
      <w:r>
        <w:rPr>
          <w:rFonts w:hint="eastAsia" w:ascii="仿宋_GB2312" w:hAnsi="仿宋_GB2312" w:eastAsia="仿宋_GB2312" w:cs="仿宋_GB2312"/>
          <w:sz w:val="32"/>
          <w:szCs w:val="32"/>
          <w:shd w:val="clear" w:color="auto" w:fill="FFFFFF"/>
        </w:rPr>
        <w:t>根据部门整体支出绩效评价指标体系，本镇2022年度评价得分为95分。</w:t>
      </w:r>
    </w:p>
    <w:p>
      <w:pPr>
        <w:pStyle w:val="13"/>
        <w:widowControl/>
        <w:spacing w:before="0" w:beforeAutospacing="0" w:after="0" w:afterAutospacing="0" w:line="530" w:lineRule="atLeast"/>
        <w:rPr>
          <w:rFonts w:ascii="仿宋_GB2312" w:hAnsi="仿宋_GB2312" w:eastAsia="仿宋_GB2312" w:cs="仿宋_GB2312"/>
          <w:b/>
          <w:bCs/>
          <w:sz w:val="32"/>
          <w:szCs w:val="32"/>
        </w:rPr>
      </w:pPr>
      <w:r>
        <w:rPr>
          <w:rFonts w:hint="eastAsia" w:ascii="仿宋_GB2312" w:hAnsi="仿宋_GB2312" w:eastAsia="仿宋_GB2312" w:cs="仿宋_GB2312"/>
          <w:color w:val="FF0000"/>
          <w:sz w:val="32"/>
          <w:szCs w:val="32"/>
          <w:shd w:val="clear" w:color="auto" w:fill="FFFFFF"/>
        </w:rPr>
        <w:t xml:space="preserve">　 </w:t>
      </w:r>
      <w:r>
        <w:rPr>
          <w:rFonts w:hint="eastAsia" w:ascii="仿宋_GB2312" w:hAnsi="仿宋_GB2312" w:eastAsia="仿宋_GB2312" w:cs="仿宋_GB2312"/>
          <w:b/>
          <w:bCs/>
          <w:sz w:val="32"/>
          <w:szCs w:val="32"/>
          <w:shd w:val="clear" w:color="auto" w:fill="FFFFFF"/>
        </w:rPr>
        <w:t>（2）效率性评价和有效性评价</w:t>
      </w:r>
    </w:p>
    <w:p>
      <w:pPr>
        <w:pStyle w:val="13"/>
        <w:widowControl/>
        <w:spacing w:before="0" w:beforeAutospacing="0" w:after="0" w:afterAutospacing="0" w:line="53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我镇预算安排的基本支出保障了我镇正常的工作运转，我镇在执行上是严格遵守各项财经纪律的。我镇在资金的管理和使用上，严守法律底线、纪律底线、道德底线。</w:t>
      </w:r>
    </w:p>
    <w:p>
      <w:pPr>
        <w:pStyle w:val="13"/>
        <w:widowControl/>
        <w:spacing w:before="0" w:beforeAutospacing="0" w:after="0" w:afterAutospacing="0" w:line="530" w:lineRule="atLeast"/>
        <w:ind w:left="640"/>
        <w:rPr>
          <w:rFonts w:ascii="仿宋_GB2312" w:hAnsi="仿宋_GB2312" w:eastAsia="仿宋_GB2312" w:cs="仿宋_GB2312"/>
          <w:sz w:val="32"/>
          <w:szCs w:val="32"/>
        </w:rPr>
      </w:pPr>
      <w:r>
        <w:rPr>
          <w:rFonts w:hint="eastAsia" w:ascii="仿宋_GB2312" w:hAnsi="仿宋_GB2312" w:eastAsia="仿宋_GB2312" w:cs="仿宋_GB2312"/>
          <w:b/>
          <w:bCs/>
          <w:sz w:val="32"/>
          <w:szCs w:val="32"/>
          <w:shd w:val="clear" w:color="auto" w:fill="FFFFFF"/>
        </w:rPr>
        <w:t>四、存在的问题</w:t>
      </w:r>
    </w:p>
    <w:p>
      <w:pPr>
        <w:pStyle w:val="13"/>
        <w:widowControl/>
        <w:spacing w:before="0" w:beforeAutospacing="0" w:after="0" w:afterAutospacing="0" w:line="53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绩效评价工作的逐步推进，各部门逐步树立了绩效理念，对预算计算评价工作的态度由“被动接受”变为“主动实施”，但了解还不够深入，对单位绩效不重视，认为绩效评价只是财务部门的事情，相关职责部门配合不够，往往只能提供有限的财经资料或简单的工作计划、工作总结，绩效评价工作资料非常有限，内容粗浅。</w:t>
      </w:r>
    </w:p>
    <w:p>
      <w:pPr>
        <w:pStyle w:val="13"/>
        <w:widowControl/>
        <w:spacing w:before="0" w:beforeAutospacing="0" w:after="0" w:afterAutospacing="0" w:line="530" w:lineRule="atLeas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shd w:val="clear" w:color="auto" w:fill="FFFFFF"/>
        </w:rPr>
        <w:t>五、有关建议</w:t>
      </w:r>
    </w:p>
    <w:p>
      <w:pPr>
        <w:pStyle w:val="13"/>
        <w:widowControl/>
        <w:spacing w:before="0" w:beforeAutospacing="0" w:after="0" w:afterAutospacing="0" w:line="530" w:lineRule="atLeas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 细化预算编制工作，认真做好预算的编制。进一步加强镇内部机构各部门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w:t>
      </w:r>
    </w:p>
    <w:p>
      <w:pPr>
        <w:pStyle w:val="13"/>
        <w:widowControl/>
        <w:spacing w:before="0" w:beforeAutospacing="0" w:after="0" w:afterAutospacing="0" w:line="53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(二)、加强财务管理，严格财务审核。在费用报账支付时，按照预算规定的费用项目和用途进行资金使用审核、列报支付、财务核算，杜绝超支现象的发生。</w:t>
      </w:r>
    </w:p>
    <w:p>
      <w:pPr>
        <w:pStyle w:val="13"/>
        <w:widowControl/>
        <w:spacing w:before="0" w:beforeAutospacing="0" w:after="0" w:afterAutospacing="0" w:line="53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三)、持续抓好“三公”经费控制管理。严格控制“三公”经费的规模和比例，把关“三公”经费支出的审核、审批，杜绝挪用和挤占其他预算资金行为；进一步细化“三公”经费的管理，合理压缩“三公”经费支出。</w:t>
      </w:r>
    </w:p>
    <w:p>
      <w:pPr>
        <w:pStyle w:val="13"/>
        <w:widowControl/>
        <w:spacing w:before="0" w:beforeAutospacing="0" w:after="0" w:afterAutospacing="0" w:line="530" w:lineRule="atLeas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(四)、加强项目开展进度的跟踪，开展项目绩效评价，确保项目绩效目标的完成。</w:t>
      </w:r>
    </w:p>
    <w:p>
      <w:pPr>
        <w:pStyle w:val="13"/>
        <w:widowControl/>
        <w:spacing w:before="0" w:beforeAutospacing="0" w:after="0" w:afterAutospacing="0" w:line="390" w:lineRule="atLeast"/>
        <w:rPr>
          <w:rFonts w:ascii="仿宋_GB2312" w:hAnsi="仿宋_GB2312" w:eastAsia="仿宋_GB2312" w:cs="仿宋_GB2312"/>
          <w:sz w:val="32"/>
          <w:szCs w:val="32"/>
          <w:shd w:val="clear" w:color="auto" w:fill="FFFFFF"/>
        </w:rPr>
      </w:pPr>
    </w:p>
    <w:p>
      <w:pPr>
        <w:pStyle w:val="13"/>
        <w:widowControl/>
        <w:spacing w:before="0" w:beforeAutospacing="0" w:after="0" w:afterAutospacing="0" w:line="390" w:lineRule="atLeast"/>
        <w:rPr>
          <w:rFonts w:ascii="仿宋_GB2312" w:hAnsi="仿宋_GB2312" w:eastAsia="仿宋_GB2312" w:cs="仿宋_GB2312"/>
          <w:sz w:val="32"/>
          <w:szCs w:val="32"/>
          <w:shd w:val="clear" w:color="auto" w:fill="FFFFFF"/>
        </w:rPr>
      </w:pPr>
    </w:p>
    <w:p>
      <w:pPr>
        <w:widowControl/>
        <w:jc w:val="left"/>
        <w:rPr>
          <w:rFonts w:ascii="仿宋" w:hAnsi="仿宋" w:eastAsia="仿宋" w:cs="仿宋"/>
          <w:color w:val="000000"/>
          <w:kern w:val="0"/>
          <w:sz w:val="31"/>
          <w:szCs w:val="31"/>
        </w:rPr>
      </w:pPr>
    </w:p>
    <w:p>
      <w:pPr>
        <w:widowControl/>
        <w:jc w:val="left"/>
        <w:rPr>
          <w:rFonts w:ascii="仿宋" w:hAnsi="仿宋" w:eastAsia="仿宋" w:cs="仿宋"/>
          <w:color w:val="000000"/>
          <w:kern w:val="0"/>
          <w:sz w:val="31"/>
          <w:szCs w:val="31"/>
        </w:rPr>
      </w:pPr>
    </w:p>
    <w:p>
      <w:pPr>
        <w:widowControl/>
        <w:jc w:val="left"/>
      </w:pPr>
      <w:r>
        <w:rPr>
          <w:rFonts w:ascii="仿宋" w:hAnsi="仿宋" w:eastAsia="仿宋" w:cs="仿宋"/>
          <w:color w:val="000000"/>
          <w:kern w:val="0"/>
          <w:sz w:val="31"/>
          <w:szCs w:val="31"/>
        </w:rPr>
        <w:t>附件</w:t>
      </w:r>
    </w:p>
    <w:p>
      <w:pPr>
        <w:spacing w:before="159" w:line="194" w:lineRule="auto"/>
        <w:ind w:right="1426"/>
        <w:jc w:val="center"/>
        <w:rPr>
          <w:rFonts w:ascii="微软雅黑" w:eastAsia="微软雅黑"/>
          <w:sz w:val="48"/>
          <w:szCs w:val="48"/>
        </w:rPr>
      </w:pPr>
    </w:p>
    <w:p>
      <w:pPr>
        <w:spacing w:before="159" w:line="194" w:lineRule="auto"/>
        <w:ind w:right="1426"/>
        <w:jc w:val="center"/>
        <w:rPr>
          <w:rFonts w:ascii="微软雅黑" w:eastAsia="微软雅黑"/>
          <w:sz w:val="48"/>
          <w:szCs w:val="48"/>
        </w:rPr>
      </w:pPr>
    </w:p>
    <w:p>
      <w:pPr>
        <w:spacing w:before="159" w:line="194" w:lineRule="auto"/>
        <w:ind w:right="1426"/>
        <w:jc w:val="center"/>
        <w:rPr>
          <w:rFonts w:ascii="微软雅黑" w:eastAsia="微软雅黑"/>
          <w:sz w:val="48"/>
          <w:szCs w:val="48"/>
        </w:rPr>
      </w:pPr>
    </w:p>
    <w:p>
      <w:pPr>
        <w:spacing w:before="159" w:line="194" w:lineRule="auto"/>
        <w:ind w:right="1426"/>
        <w:jc w:val="center"/>
        <w:rPr>
          <w:rFonts w:ascii="微软雅黑" w:eastAsia="微软雅黑"/>
          <w:sz w:val="48"/>
          <w:szCs w:val="48"/>
        </w:rPr>
      </w:pPr>
      <w:r>
        <w:rPr>
          <w:rFonts w:hint="eastAsia" w:ascii="微软雅黑" w:eastAsia="微软雅黑"/>
          <w:sz w:val="48"/>
          <w:szCs w:val="48"/>
        </w:rPr>
        <w:t>2022 年</w:t>
      </w:r>
      <w:r>
        <w:rPr>
          <w:rFonts w:hint="eastAsia" w:ascii="黑体" w:eastAsia="黑体"/>
          <w:sz w:val="48"/>
          <w:szCs w:val="48"/>
        </w:rPr>
        <w:t>垃圾清运及处置费</w:t>
      </w:r>
      <w:r>
        <w:rPr>
          <w:rFonts w:hint="eastAsia" w:ascii="微软雅黑" w:eastAsia="微软雅黑"/>
          <w:sz w:val="48"/>
          <w:szCs w:val="48"/>
        </w:rPr>
        <w:t>项目支出绩效自评报告</w:t>
      </w:r>
    </w:p>
    <w:p>
      <w:pPr>
        <w:pStyle w:val="2"/>
        <w:numPr>
          <w:ilvl w:val="0"/>
          <w:numId w:val="5"/>
        </w:numPr>
        <w:spacing w:before="72"/>
        <w:ind w:firstLine="643" w:firstLineChars="200"/>
        <w:rPr>
          <w:rFonts w:ascii="黑体" w:eastAsia="黑体"/>
          <w:b/>
          <w:bCs/>
          <w:sz w:val="32"/>
          <w:szCs w:val="32"/>
        </w:rPr>
      </w:pPr>
      <w:r>
        <w:rPr>
          <w:rFonts w:hint="eastAsia" w:ascii="黑体" w:eastAsia="黑体"/>
          <w:b/>
          <w:bCs/>
          <w:sz w:val="32"/>
          <w:szCs w:val="32"/>
        </w:rPr>
        <w:t>项目概况</w:t>
      </w:r>
    </w:p>
    <w:p>
      <w:pPr>
        <w:pStyle w:val="2"/>
        <w:numPr>
          <w:ilvl w:val="0"/>
          <w:numId w:val="6"/>
        </w:numPr>
        <w:spacing w:before="72"/>
        <w:ind w:firstLine="602" w:firstLineChars="200"/>
      </w:pPr>
      <w:r>
        <w:rPr>
          <w:b/>
          <w:bCs/>
          <w:sz w:val="30"/>
          <w:szCs w:val="30"/>
        </w:rPr>
        <w:t>项目基本情况</w:t>
      </w:r>
      <w:r>
        <w:t>。</w:t>
      </w:r>
    </w:p>
    <w:p>
      <w:pPr>
        <w:pStyle w:val="2"/>
        <w:spacing w:before="72" w:line="360" w:lineRule="auto"/>
        <w:ind w:firstLine="640" w:firstLineChars="200"/>
        <w:rPr>
          <w:rFonts w:hAnsi="仿宋_GB2312"/>
          <w:sz w:val="32"/>
          <w:szCs w:val="32"/>
          <w:shd w:val="clear" w:color="auto" w:fill="FFFFFF"/>
        </w:rPr>
      </w:pPr>
      <w:r>
        <w:rPr>
          <w:rFonts w:hint="eastAsia" w:hAnsi="仿宋_GB2312"/>
          <w:sz w:val="32"/>
          <w:szCs w:val="32"/>
          <w:shd w:val="clear" w:color="auto" w:fill="FFFFFF"/>
        </w:rPr>
        <w:t>为保障场镇及周边的环境干净整洁</w:t>
      </w:r>
      <w:r>
        <w:rPr>
          <w:rFonts w:hint="eastAsia" w:hAnsi="仿宋_GB2312"/>
          <w:sz w:val="32"/>
          <w:szCs w:val="32"/>
          <w:shd w:val="clear" w:color="auto" w:fill="FFFFFF"/>
          <w:lang w:eastAsia="zh-CN"/>
        </w:rPr>
        <w:t>，</w:t>
      </w:r>
      <w:r>
        <w:rPr>
          <w:rFonts w:hint="eastAsia" w:hAnsi="仿宋_GB2312"/>
          <w:sz w:val="32"/>
          <w:szCs w:val="32"/>
          <w:shd w:val="clear" w:color="auto" w:fill="FFFFFF"/>
        </w:rPr>
        <w:t>给百姓和居民有一个优美的工作和生活环境提升柳沟镇城乡环境卫生质量，完善市政环保、公用基础设施体系，加快城市环境保护基础设 施建设，促进环境保护与经济建设协调发展，加快建设两型 社会。根据住房和城乡建设部《关于加快市政公用行业市场 化进程的意见</w:t>
      </w:r>
      <w:r>
        <w:rPr>
          <w:rFonts w:hint="eastAsia" w:hAnsi="仿宋_GB2312"/>
          <w:sz w:val="32"/>
          <w:szCs w:val="32"/>
          <w:shd w:val="clear" w:color="auto" w:fill="FFFFFF"/>
          <w:lang w:eastAsia="zh-CN"/>
        </w:rPr>
        <w:t>》《</w:t>
      </w:r>
      <w:r>
        <w:rPr>
          <w:rFonts w:hint="eastAsia" w:hAnsi="仿宋_GB2312"/>
          <w:sz w:val="32"/>
          <w:szCs w:val="32"/>
          <w:shd w:val="clear" w:color="auto" w:fill="FFFFFF"/>
        </w:rPr>
        <w:t>关于加强市政公用事业监管的意见》等 有关文件精神，结</w:t>
      </w:r>
      <w:r>
        <w:rPr>
          <w:rFonts w:hint="eastAsia" w:hAnsi="仿宋_GB2312"/>
          <w:sz w:val="32"/>
          <w:szCs w:val="32"/>
          <w:shd w:val="clear" w:color="auto" w:fill="FFFFFF"/>
          <w:lang w:eastAsia="zh-CN"/>
        </w:rPr>
        <w:t>剑阁县委</w:t>
      </w:r>
      <w:r>
        <w:rPr>
          <w:rFonts w:hint="eastAsia" w:hAnsi="仿宋_GB2312"/>
          <w:sz w:val="32"/>
          <w:szCs w:val="32"/>
          <w:shd w:val="clear" w:color="auto" w:fill="FFFFFF"/>
        </w:rPr>
        <w:t>、县政府统筹城乡发展的整体 思路要求，柳沟镇人民政府与颜刚</w:t>
      </w:r>
      <w:r>
        <w:rPr>
          <w:rFonts w:hint="eastAsia" w:hAnsi="仿宋_GB2312"/>
          <w:sz w:val="32"/>
          <w:szCs w:val="32"/>
          <w:shd w:val="clear" w:color="auto" w:fill="FFFFFF"/>
          <w:lang w:eastAsia="zh-CN"/>
        </w:rPr>
        <w:t>签订了</w:t>
      </w:r>
      <w:r>
        <w:rPr>
          <w:rFonts w:hint="eastAsia" w:hAnsi="仿宋_GB2312"/>
          <w:sz w:val="32"/>
          <w:szCs w:val="32"/>
          <w:shd w:val="clear" w:color="auto" w:fill="FFFFFF"/>
        </w:rPr>
        <w:t>柳沟镇城乡生活垃圾转运及处置合同，由杨朝直、崔光泽将城区生活垃圾以 300 元/车价格收集转运至普安垃圾填埋场进行垃圾处理。</w:t>
      </w:r>
    </w:p>
    <w:p>
      <w:pPr>
        <w:pStyle w:val="2"/>
        <w:numPr>
          <w:ilvl w:val="0"/>
          <w:numId w:val="7"/>
        </w:numPr>
        <w:spacing w:before="72"/>
        <w:ind w:firstLine="602" w:firstLineChars="200"/>
        <w:rPr>
          <w:b/>
          <w:bCs/>
          <w:sz w:val="30"/>
          <w:szCs w:val="30"/>
        </w:rPr>
      </w:pPr>
      <w:r>
        <w:rPr>
          <w:rFonts w:hint="eastAsia"/>
          <w:b/>
          <w:bCs/>
          <w:sz w:val="30"/>
          <w:szCs w:val="30"/>
        </w:rPr>
        <w:t>项目绩效目标。</w:t>
      </w:r>
    </w:p>
    <w:p>
      <w:pPr>
        <w:pStyle w:val="2"/>
        <w:numPr>
          <w:ilvl w:val="0"/>
          <w:numId w:val="8"/>
        </w:numPr>
        <w:spacing w:before="72" w:line="360" w:lineRule="auto"/>
        <w:ind w:firstLine="640" w:firstLineChars="200"/>
        <w:rPr>
          <w:rFonts w:hAnsi="仿宋_GB2312"/>
          <w:sz w:val="32"/>
          <w:szCs w:val="32"/>
          <w:shd w:val="clear" w:color="auto" w:fill="FFFFFF"/>
        </w:rPr>
      </w:pPr>
      <w:r>
        <w:rPr>
          <w:rFonts w:hint="eastAsia" w:hAnsi="仿宋_GB2312"/>
          <w:sz w:val="32"/>
          <w:szCs w:val="32"/>
          <w:shd w:val="clear" w:color="auto" w:fill="FFFFFF"/>
        </w:rPr>
        <w:t>项目主要内容：保障场镇及周边的优美环境，完成场镇垃圾清运，配备专职人员，对垃圾收集、清运实施日常监督和考核。柳沟镇人民政府生活垃圾无害化处理场配备专 职人员，对垃圾处理实施日常监督和考核。</w:t>
      </w:r>
    </w:p>
    <w:p>
      <w:pPr>
        <w:pStyle w:val="2"/>
        <w:numPr>
          <w:ilvl w:val="0"/>
          <w:numId w:val="8"/>
        </w:numPr>
        <w:spacing w:before="72" w:line="360" w:lineRule="auto"/>
        <w:ind w:firstLine="640" w:firstLineChars="200"/>
        <w:rPr>
          <w:rFonts w:hAnsi="仿宋_GB2312"/>
          <w:sz w:val="32"/>
          <w:szCs w:val="32"/>
          <w:shd w:val="clear" w:color="auto" w:fill="FFFFFF"/>
        </w:rPr>
      </w:pPr>
      <w:r>
        <w:rPr>
          <w:rFonts w:hint="eastAsia" w:hAnsi="仿宋_GB2312"/>
          <w:sz w:val="32"/>
          <w:szCs w:val="32"/>
          <w:shd w:val="clear" w:color="auto" w:fill="FFFFFF"/>
        </w:rPr>
        <w:t>项目应实现的具体绩效目标：产出指标：完成场镇及周边垃圾清运（车）不少于430 车；环境卫生质量达到优；项目成果时效为 2022 年度；转运成本（元/车）小于等于300元/车。</w:t>
      </w:r>
      <w:r>
        <w:rPr>
          <w:rFonts w:hint="eastAsia" w:hAnsi="仿宋_GB2312"/>
          <w:sz w:val="32"/>
          <w:szCs w:val="32"/>
          <w:shd w:val="clear" w:color="auto" w:fill="FFFFFF"/>
          <w:lang w:eastAsia="zh-CN"/>
        </w:rPr>
        <w:t>绩效</w:t>
      </w:r>
      <w:r>
        <w:rPr>
          <w:rFonts w:hint="eastAsia" w:hAnsi="仿宋_GB2312"/>
          <w:sz w:val="32"/>
          <w:szCs w:val="32"/>
          <w:shd w:val="clear" w:color="auto" w:fill="FFFFFF"/>
        </w:rPr>
        <w:t>指标：城乡环境，有效改善城乡环境，提升群 众生活幸福指数。满意度指标：群众满意度大于等于 95%。</w:t>
      </w:r>
    </w:p>
    <w:p>
      <w:pPr>
        <w:pStyle w:val="2"/>
        <w:spacing w:before="72" w:line="556" w:lineRule="exact"/>
        <w:ind w:firstLine="640" w:firstLineChars="200"/>
        <w:rPr>
          <w:rFonts w:hAnsi="仿宋_GB2312"/>
          <w:sz w:val="32"/>
          <w:szCs w:val="32"/>
          <w:shd w:val="clear" w:color="auto" w:fill="FFFFFF"/>
        </w:rPr>
      </w:pPr>
      <w:r>
        <w:rPr>
          <w:rFonts w:hint="eastAsia" w:hAnsi="仿宋_GB2312"/>
          <w:sz w:val="32"/>
          <w:szCs w:val="32"/>
          <w:shd w:val="clear" w:color="auto" w:fill="FFFFFF"/>
        </w:rPr>
        <w:t>3．本项目是一项环境综合治理的公益性工程，项目实施后社会效益经济效益、环境效益凸显，具有可持续性。申 报目标设定合理。</w:t>
      </w:r>
    </w:p>
    <w:p>
      <w:pPr>
        <w:pStyle w:val="2"/>
        <w:spacing w:before="72" w:line="556" w:lineRule="exact"/>
        <w:ind w:firstLine="640" w:firstLineChars="200"/>
      </w:pPr>
      <w:r>
        <w:rPr>
          <w:rFonts w:hint="eastAsia" w:ascii="黑体" w:hAnsi="黑体" w:eastAsia="黑体" w:cs="黑体"/>
          <w:sz w:val="32"/>
          <w:szCs w:val="32"/>
          <w:shd w:val="clear" w:color="auto" w:fill="FFFFFF"/>
        </w:rPr>
        <w:t>(四）</w:t>
      </w:r>
      <w:r>
        <w:rPr>
          <w:rFonts w:hint="eastAsia" w:ascii="黑体" w:hAnsi="黑体" w:eastAsia="黑体" w:cs="黑体"/>
          <w:sz w:val="32"/>
          <w:szCs w:val="32"/>
        </w:rPr>
        <w:t>项目自评步骤及方法。</w:t>
      </w:r>
    </w:p>
    <w:p>
      <w:pPr>
        <w:pStyle w:val="2"/>
        <w:spacing w:before="72" w:line="556" w:lineRule="exact"/>
        <w:ind w:firstLine="640" w:firstLineChars="200"/>
        <w:rPr>
          <w:rFonts w:hAnsi="仿宋_GB2312"/>
          <w:sz w:val="32"/>
          <w:szCs w:val="32"/>
          <w:shd w:val="clear" w:color="auto" w:fill="FFFFFF"/>
        </w:rPr>
      </w:pPr>
      <w:r>
        <w:rPr>
          <w:rFonts w:hint="eastAsia" w:hAnsi="仿宋_GB2312"/>
          <w:sz w:val="32"/>
          <w:szCs w:val="32"/>
          <w:shd w:val="clear" w:color="auto" w:fill="FFFFFF"/>
        </w:rPr>
        <w:t>部门对垃圾收集、清运、处理的监督考核建立了考核监督制度，考核细则健全，扣分项目、处罚措施明确。根据综合得分，组织分管领导及部门负责人对本年度垃圾清运及处置费项目进行评估，评价项目效益，并提出改进措施。</w:t>
      </w:r>
    </w:p>
    <w:p>
      <w:pPr>
        <w:pStyle w:val="2"/>
        <w:spacing w:before="72"/>
        <w:ind w:firstLine="643" w:firstLineChars="200"/>
        <w:rPr>
          <w:rFonts w:ascii="黑体" w:eastAsia="黑体"/>
          <w:b/>
          <w:bCs/>
          <w:sz w:val="32"/>
          <w:szCs w:val="32"/>
        </w:rPr>
      </w:pPr>
      <w:r>
        <w:rPr>
          <w:rFonts w:hint="eastAsia" w:ascii="黑体" w:eastAsia="黑体"/>
          <w:b/>
          <w:bCs/>
          <w:sz w:val="32"/>
          <w:szCs w:val="32"/>
        </w:rPr>
        <w:t>二、项目资金申报及使用情况</w:t>
      </w:r>
    </w:p>
    <w:p>
      <w:pPr>
        <w:pStyle w:val="5"/>
      </w:pPr>
      <w:r>
        <w:t>（一）项目资金申报及批复情况。</w:t>
      </w:r>
    </w:p>
    <w:p>
      <w:pPr>
        <w:pStyle w:val="2"/>
        <w:spacing w:before="72"/>
        <w:ind w:firstLine="640" w:firstLineChars="200"/>
        <w:rPr>
          <w:rFonts w:ascii="宋体" w:hAnsi="宋体" w:eastAsia="宋体" w:cs="宋体"/>
          <w:kern w:val="2"/>
          <w:szCs w:val="21"/>
        </w:rPr>
      </w:pPr>
      <w:r>
        <w:rPr>
          <w:rFonts w:hint="eastAsia" w:hAnsi="仿宋_GB2312"/>
          <w:sz w:val="32"/>
          <w:szCs w:val="32"/>
          <w:shd w:val="clear" w:color="auto" w:fill="FFFFFF"/>
        </w:rPr>
        <w:t>在规定时间内，由部门进行申报，财政局统一批复</w:t>
      </w:r>
      <w:r>
        <w:rPr>
          <w:rFonts w:hint="eastAsia" w:ascii="宋体" w:hAnsi="宋体" w:eastAsia="宋体" w:cs="宋体"/>
          <w:kern w:val="2"/>
          <w:szCs w:val="21"/>
        </w:rPr>
        <w:t>。</w:t>
      </w:r>
    </w:p>
    <w:p>
      <w:pPr>
        <w:pStyle w:val="5"/>
        <w:spacing w:after="31"/>
      </w:pPr>
      <w:r>
        <w:t>（二</w:t>
      </w:r>
      <w:r>
        <w:rPr>
          <w:spacing w:val="-147"/>
        </w:rPr>
        <w:t>）</w:t>
      </w:r>
      <w:r>
        <w:rPr>
          <w:spacing w:val="-27"/>
        </w:rPr>
        <w:t>资金计划、到位及使用情况</w:t>
      </w:r>
      <w:r>
        <w:t>（可用表格形式反映</w:t>
      </w:r>
      <w:r>
        <w:rPr>
          <w:spacing w:val="-159"/>
        </w:rPr>
        <w:t>）</w:t>
      </w:r>
      <w:r>
        <w:t>。</w:t>
      </w:r>
    </w:p>
    <w:tbl>
      <w:tblPr>
        <w:tblStyle w:val="14"/>
        <w:tblW w:w="0" w:type="auto"/>
        <w:tblInd w:w="7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34"/>
        <w:gridCol w:w="2793"/>
        <w:gridCol w:w="1123"/>
        <w:gridCol w:w="1656"/>
        <w:gridCol w:w="533"/>
        <w:gridCol w:w="1080"/>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334" w:type="dxa"/>
          </w:tcPr>
          <w:p>
            <w:pPr>
              <w:pStyle w:val="32"/>
              <w:spacing w:before="4"/>
              <w:rPr>
                <w:rFonts w:ascii="仿宋_GB2312" w:hAnsi="仿宋_GB2312" w:eastAsia="仿宋_GB2312" w:cs="仿宋_GB2312"/>
                <w:kern w:val="0"/>
                <w:sz w:val="32"/>
                <w:szCs w:val="32"/>
                <w:shd w:val="clear" w:color="auto" w:fill="FFFFFF"/>
              </w:rPr>
            </w:pPr>
          </w:p>
          <w:p>
            <w:pPr>
              <w:pStyle w:val="32"/>
              <w:ind w:right="256"/>
              <w:jc w:val="righ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项目名称</w:t>
            </w:r>
          </w:p>
        </w:tc>
        <w:tc>
          <w:tcPr>
            <w:tcW w:w="3916" w:type="dxa"/>
            <w:gridSpan w:val="2"/>
          </w:tcPr>
          <w:p>
            <w:pPr>
              <w:pStyle w:val="32"/>
              <w:spacing w:before="4"/>
              <w:rPr>
                <w:rFonts w:ascii="仿宋_GB2312" w:hAnsi="仿宋_GB2312" w:eastAsia="仿宋_GB2312" w:cs="仿宋_GB2312"/>
                <w:kern w:val="0"/>
                <w:sz w:val="32"/>
                <w:szCs w:val="32"/>
                <w:shd w:val="clear" w:color="auto" w:fill="FFFFFF"/>
              </w:rPr>
            </w:pPr>
          </w:p>
          <w:p>
            <w:pPr>
              <w:pStyle w:val="32"/>
              <w:ind w:left="1156"/>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垃圾清运及处置费</w:t>
            </w:r>
          </w:p>
        </w:tc>
        <w:tc>
          <w:tcPr>
            <w:tcW w:w="1656" w:type="dxa"/>
          </w:tcPr>
          <w:p>
            <w:pPr>
              <w:pStyle w:val="32"/>
              <w:spacing w:before="28"/>
              <w:ind w:left="28" w:right="19"/>
              <w:jc w:val="center"/>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项目负责人及电</w:t>
            </w:r>
          </w:p>
          <w:p>
            <w:pPr>
              <w:pStyle w:val="32"/>
              <w:spacing w:before="55"/>
              <w:ind w:left="9"/>
              <w:jc w:val="center"/>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话</w:t>
            </w:r>
          </w:p>
        </w:tc>
        <w:tc>
          <w:tcPr>
            <w:tcW w:w="2693" w:type="dxa"/>
            <w:gridSpan w:val="3"/>
          </w:tcPr>
          <w:p>
            <w:pPr>
              <w:pStyle w:val="32"/>
              <w:spacing w:before="4"/>
              <w:rPr>
                <w:rFonts w:ascii="仿宋_GB2312" w:hAnsi="仿宋_GB2312" w:eastAsia="仿宋_GB2312" w:cs="仿宋_GB2312"/>
                <w:kern w:val="0"/>
                <w:sz w:val="32"/>
                <w:szCs w:val="32"/>
                <w:shd w:val="clear" w:color="auto" w:fill="FFFFFF"/>
              </w:rPr>
            </w:pPr>
          </w:p>
          <w:p>
            <w:pPr>
              <w:pStyle w:val="32"/>
              <w:ind w:left="471"/>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高飞</w:t>
            </w:r>
          </w:p>
          <w:p>
            <w:pPr>
              <w:pStyle w:val="32"/>
              <w:ind w:left="471"/>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1598404333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334" w:type="dxa"/>
          </w:tcPr>
          <w:p>
            <w:pPr>
              <w:pStyle w:val="32"/>
              <w:spacing w:before="25"/>
              <w:ind w:right="256"/>
              <w:jc w:val="righ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主管部门</w:t>
            </w:r>
          </w:p>
        </w:tc>
        <w:tc>
          <w:tcPr>
            <w:tcW w:w="3916" w:type="dxa"/>
            <w:gridSpan w:val="2"/>
          </w:tcPr>
          <w:p>
            <w:pPr>
              <w:pStyle w:val="32"/>
              <w:spacing w:before="25"/>
              <w:ind w:left="1336" w:right="1330"/>
              <w:jc w:val="center"/>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剑阁县财政局</w:t>
            </w:r>
          </w:p>
        </w:tc>
        <w:tc>
          <w:tcPr>
            <w:tcW w:w="1656" w:type="dxa"/>
          </w:tcPr>
          <w:p>
            <w:pPr>
              <w:pStyle w:val="32"/>
              <w:spacing w:before="25"/>
              <w:ind w:left="28" w:right="19"/>
              <w:jc w:val="center"/>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实施单位</w:t>
            </w:r>
          </w:p>
        </w:tc>
        <w:tc>
          <w:tcPr>
            <w:tcW w:w="2693" w:type="dxa"/>
            <w:gridSpan w:val="3"/>
          </w:tcPr>
          <w:p>
            <w:pPr>
              <w:pStyle w:val="32"/>
              <w:spacing w:before="25"/>
              <w:ind w:left="346"/>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剑阁县柳沟镇人民政府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334" w:type="dxa"/>
          </w:tcPr>
          <w:p>
            <w:pPr>
              <w:pStyle w:val="32"/>
              <w:spacing w:before="2"/>
              <w:rPr>
                <w:rFonts w:ascii="仿宋_GB2312" w:hAnsi="仿宋_GB2312" w:eastAsia="仿宋_GB2312" w:cs="仿宋_GB2312"/>
                <w:kern w:val="0"/>
                <w:sz w:val="32"/>
                <w:szCs w:val="32"/>
                <w:shd w:val="clear" w:color="auto" w:fill="FFFFFF"/>
              </w:rPr>
            </w:pPr>
          </w:p>
          <w:p>
            <w:pPr>
              <w:pStyle w:val="32"/>
              <w:ind w:right="256"/>
              <w:jc w:val="righ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资金情况</w:t>
            </w:r>
          </w:p>
        </w:tc>
        <w:tc>
          <w:tcPr>
            <w:tcW w:w="2793" w:type="dxa"/>
          </w:tcPr>
          <w:p>
            <w:pPr>
              <w:pStyle w:val="32"/>
              <w:rPr>
                <w:rFonts w:ascii="仿宋_GB2312" w:hAnsi="仿宋_GB2312" w:eastAsia="仿宋_GB2312" w:cs="仿宋_GB2312"/>
                <w:kern w:val="0"/>
                <w:sz w:val="32"/>
                <w:szCs w:val="32"/>
                <w:shd w:val="clear" w:color="auto" w:fill="FFFFFF"/>
              </w:rPr>
            </w:pPr>
          </w:p>
        </w:tc>
        <w:tc>
          <w:tcPr>
            <w:tcW w:w="1123" w:type="dxa"/>
          </w:tcPr>
          <w:p>
            <w:pPr>
              <w:pStyle w:val="32"/>
              <w:spacing w:before="25"/>
              <w:ind w:left="159"/>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全年预算</w:t>
            </w:r>
          </w:p>
          <w:p>
            <w:pPr>
              <w:pStyle w:val="32"/>
              <w:spacing w:before="56"/>
              <w:ind w:left="209"/>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数（A）</w:t>
            </w:r>
          </w:p>
        </w:tc>
        <w:tc>
          <w:tcPr>
            <w:tcW w:w="1656" w:type="dxa"/>
          </w:tcPr>
          <w:p>
            <w:pPr>
              <w:pStyle w:val="32"/>
              <w:spacing w:before="2"/>
              <w:rPr>
                <w:rFonts w:ascii="仿宋_GB2312" w:hAnsi="仿宋_GB2312" w:eastAsia="仿宋_GB2312" w:cs="仿宋_GB2312"/>
                <w:kern w:val="0"/>
                <w:sz w:val="32"/>
                <w:szCs w:val="32"/>
                <w:shd w:val="clear" w:color="auto" w:fill="FFFFFF"/>
              </w:rPr>
            </w:pPr>
          </w:p>
          <w:p>
            <w:pPr>
              <w:pStyle w:val="32"/>
              <w:ind w:left="86" w:right="19"/>
              <w:jc w:val="center"/>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全年执行数（B）</w:t>
            </w:r>
          </w:p>
        </w:tc>
        <w:tc>
          <w:tcPr>
            <w:tcW w:w="533" w:type="dxa"/>
          </w:tcPr>
          <w:p>
            <w:pPr>
              <w:pStyle w:val="32"/>
              <w:spacing w:before="25"/>
              <w:ind w:left="166"/>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分</w:t>
            </w:r>
          </w:p>
          <w:p>
            <w:pPr>
              <w:pStyle w:val="32"/>
              <w:spacing w:before="56"/>
              <w:ind w:left="166"/>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值</w:t>
            </w:r>
          </w:p>
        </w:tc>
        <w:tc>
          <w:tcPr>
            <w:tcW w:w="1080" w:type="dxa"/>
          </w:tcPr>
          <w:p>
            <w:pPr>
              <w:pStyle w:val="32"/>
              <w:spacing w:before="25"/>
              <w:ind w:left="24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执行率</w:t>
            </w:r>
          </w:p>
          <w:p>
            <w:pPr>
              <w:pStyle w:val="32"/>
              <w:spacing w:before="56"/>
              <w:ind w:left="24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eastAsia="zh-CN"/>
              </w:rPr>
              <w:t>(</w:t>
            </w:r>
            <w:r>
              <w:rPr>
                <w:rFonts w:hint="eastAsia" w:ascii="仿宋_GB2312" w:hAnsi="仿宋_GB2312" w:eastAsia="仿宋_GB2312" w:cs="仿宋_GB2312"/>
                <w:kern w:val="0"/>
                <w:sz w:val="32"/>
                <w:szCs w:val="32"/>
                <w:shd w:val="clear" w:color="auto" w:fill="FFFFFF"/>
              </w:rPr>
              <w:t>B/A)</w:t>
            </w:r>
          </w:p>
        </w:tc>
        <w:tc>
          <w:tcPr>
            <w:tcW w:w="1080" w:type="dxa"/>
          </w:tcPr>
          <w:p>
            <w:pPr>
              <w:pStyle w:val="32"/>
              <w:spacing w:before="2"/>
              <w:rPr>
                <w:rFonts w:ascii="仿宋_GB2312" w:hAnsi="仿宋_GB2312" w:eastAsia="仿宋_GB2312" w:cs="仿宋_GB2312"/>
                <w:kern w:val="0"/>
                <w:sz w:val="32"/>
                <w:szCs w:val="32"/>
                <w:shd w:val="clear" w:color="auto" w:fill="FFFFFF"/>
              </w:rPr>
            </w:pPr>
          </w:p>
          <w:p>
            <w:pPr>
              <w:pStyle w:val="32"/>
              <w:ind w:left="318" w:right="312"/>
              <w:jc w:val="center"/>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334" w:type="dxa"/>
          </w:tcPr>
          <w:p>
            <w:pPr>
              <w:pStyle w:val="32"/>
              <w:spacing w:before="28"/>
              <w:ind w:right="256"/>
              <w:jc w:val="righ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（万元）</w:t>
            </w:r>
          </w:p>
        </w:tc>
        <w:tc>
          <w:tcPr>
            <w:tcW w:w="2793" w:type="dxa"/>
          </w:tcPr>
          <w:p>
            <w:pPr>
              <w:pStyle w:val="32"/>
              <w:spacing w:before="28"/>
              <w:ind w:left="696"/>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年度资金总额：</w:t>
            </w:r>
          </w:p>
        </w:tc>
        <w:tc>
          <w:tcPr>
            <w:tcW w:w="1123" w:type="dxa"/>
          </w:tcPr>
          <w:p>
            <w:pPr>
              <w:pStyle w:val="32"/>
              <w:spacing w:before="28"/>
              <w:ind w:left="340" w:right="332"/>
              <w:jc w:val="center"/>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10</w:t>
            </w:r>
          </w:p>
        </w:tc>
        <w:tc>
          <w:tcPr>
            <w:tcW w:w="1656" w:type="dxa"/>
          </w:tcPr>
          <w:p>
            <w:pPr>
              <w:pStyle w:val="32"/>
              <w:spacing w:before="28"/>
              <w:ind w:left="27" w:right="19"/>
              <w:jc w:val="center"/>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10</w:t>
            </w:r>
          </w:p>
        </w:tc>
        <w:tc>
          <w:tcPr>
            <w:tcW w:w="533" w:type="dxa"/>
          </w:tcPr>
          <w:p>
            <w:pPr>
              <w:pStyle w:val="32"/>
              <w:spacing w:before="28"/>
              <w:ind w:left="166"/>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10</w:t>
            </w:r>
          </w:p>
        </w:tc>
        <w:tc>
          <w:tcPr>
            <w:tcW w:w="1080" w:type="dxa"/>
          </w:tcPr>
          <w:p>
            <w:pPr>
              <w:pStyle w:val="32"/>
              <w:spacing w:before="28"/>
              <w:ind w:left="339"/>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100%</w:t>
            </w:r>
          </w:p>
        </w:tc>
        <w:tc>
          <w:tcPr>
            <w:tcW w:w="1080" w:type="dxa"/>
          </w:tcPr>
          <w:p>
            <w:pPr>
              <w:pStyle w:val="32"/>
              <w:spacing w:before="28"/>
              <w:ind w:left="318" w:right="308"/>
              <w:jc w:val="center"/>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334" w:type="dxa"/>
          </w:tcPr>
          <w:p>
            <w:pPr>
              <w:pStyle w:val="32"/>
              <w:rPr>
                <w:rFonts w:ascii="仿宋_GB2312" w:hAnsi="仿宋_GB2312" w:eastAsia="仿宋_GB2312" w:cs="仿宋_GB2312"/>
                <w:kern w:val="0"/>
                <w:sz w:val="32"/>
                <w:szCs w:val="32"/>
                <w:shd w:val="clear" w:color="auto" w:fill="FFFFFF"/>
              </w:rPr>
            </w:pPr>
          </w:p>
        </w:tc>
        <w:tc>
          <w:tcPr>
            <w:tcW w:w="2793" w:type="dxa"/>
          </w:tcPr>
          <w:p>
            <w:pPr>
              <w:pStyle w:val="32"/>
              <w:spacing w:before="27"/>
              <w:ind w:left="224" w:right="118"/>
              <w:jc w:val="center"/>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其中：中央、省、市财政资</w:t>
            </w:r>
          </w:p>
          <w:p>
            <w:pPr>
              <w:pStyle w:val="32"/>
              <w:spacing w:before="56"/>
              <w:ind w:left="8"/>
              <w:jc w:val="center"/>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金</w:t>
            </w:r>
          </w:p>
        </w:tc>
        <w:tc>
          <w:tcPr>
            <w:tcW w:w="1123" w:type="dxa"/>
          </w:tcPr>
          <w:p>
            <w:pPr>
              <w:pStyle w:val="32"/>
              <w:rPr>
                <w:rFonts w:ascii="仿宋_GB2312" w:hAnsi="仿宋_GB2312" w:eastAsia="仿宋_GB2312" w:cs="仿宋_GB2312"/>
                <w:kern w:val="0"/>
                <w:sz w:val="32"/>
                <w:szCs w:val="32"/>
                <w:shd w:val="clear" w:color="auto" w:fill="FFFFFF"/>
              </w:rPr>
            </w:pPr>
          </w:p>
        </w:tc>
        <w:tc>
          <w:tcPr>
            <w:tcW w:w="1656" w:type="dxa"/>
          </w:tcPr>
          <w:p>
            <w:pPr>
              <w:pStyle w:val="32"/>
              <w:rPr>
                <w:rFonts w:ascii="仿宋_GB2312" w:hAnsi="仿宋_GB2312" w:eastAsia="仿宋_GB2312" w:cs="仿宋_GB2312"/>
                <w:kern w:val="0"/>
                <w:sz w:val="32"/>
                <w:szCs w:val="32"/>
                <w:shd w:val="clear" w:color="auto" w:fill="FFFFFF"/>
              </w:rPr>
            </w:pPr>
          </w:p>
        </w:tc>
        <w:tc>
          <w:tcPr>
            <w:tcW w:w="533" w:type="dxa"/>
          </w:tcPr>
          <w:p>
            <w:pPr>
              <w:pStyle w:val="32"/>
              <w:rPr>
                <w:rFonts w:ascii="仿宋_GB2312" w:hAnsi="仿宋_GB2312" w:eastAsia="仿宋_GB2312" w:cs="仿宋_GB2312"/>
                <w:kern w:val="0"/>
                <w:sz w:val="32"/>
                <w:szCs w:val="32"/>
                <w:shd w:val="clear" w:color="auto" w:fill="FFFFFF"/>
              </w:rPr>
            </w:pPr>
          </w:p>
        </w:tc>
        <w:tc>
          <w:tcPr>
            <w:tcW w:w="1080" w:type="dxa"/>
          </w:tcPr>
          <w:p>
            <w:pPr>
              <w:pStyle w:val="32"/>
              <w:rPr>
                <w:rFonts w:ascii="仿宋_GB2312" w:hAnsi="仿宋_GB2312" w:eastAsia="仿宋_GB2312" w:cs="仿宋_GB2312"/>
                <w:kern w:val="0"/>
                <w:sz w:val="32"/>
                <w:szCs w:val="32"/>
                <w:shd w:val="clear" w:color="auto" w:fill="FFFFFF"/>
              </w:rPr>
            </w:pPr>
          </w:p>
        </w:tc>
        <w:tc>
          <w:tcPr>
            <w:tcW w:w="1080" w:type="dxa"/>
          </w:tcPr>
          <w:p>
            <w:pPr>
              <w:pStyle w:val="32"/>
              <w:rPr>
                <w:rFonts w:ascii="仿宋_GB2312" w:hAnsi="仿宋_GB2312" w:eastAsia="仿宋_GB2312" w:cs="仿宋_GB2312"/>
                <w:kern w:val="0"/>
                <w:sz w:val="32"/>
                <w:szCs w:val="32"/>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334" w:type="dxa"/>
          </w:tcPr>
          <w:p>
            <w:pPr>
              <w:pStyle w:val="32"/>
              <w:rPr>
                <w:rFonts w:ascii="仿宋_GB2312" w:hAnsi="仿宋_GB2312" w:eastAsia="仿宋_GB2312" w:cs="仿宋_GB2312"/>
                <w:kern w:val="0"/>
                <w:sz w:val="32"/>
                <w:szCs w:val="32"/>
                <w:shd w:val="clear" w:color="auto" w:fill="FFFFFF"/>
              </w:rPr>
            </w:pPr>
          </w:p>
        </w:tc>
        <w:tc>
          <w:tcPr>
            <w:tcW w:w="2793" w:type="dxa"/>
          </w:tcPr>
          <w:p>
            <w:pPr>
              <w:pStyle w:val="32"/>
              <w:spacing w:before="28"/>
              <w:ind w:left="1145"/>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县级财政资金</w:t>
            </w:r>
          </w:p>
        </w:tc>
        <w:tc>
          <w:tcPr>
            <w:tcW w:w="1123" w:type="dxa"/>
          </w:tcPr>
          <w:p>
            <w:pPr>
              <w:pStyle w:val="32"/>
              <w:spacing w:before="28"/>
              <w:ind w:left="340" w:right="332"/>
              <w:jc w:val="center"/>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10</w:t>
            </w:r>
          </w:p>
        </w:tc>
        <w:tc>
          <w:tcPr>
            <w:tcW w:w="1656" w:type="dxa"/>
          </w:tcPr>
          <w:p>
            <w:pPr>
              <w:pStyle w:val="32"/>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10</w:t>
            </w:r>
          </w:p>
        </w:tc>
        <w:tc>
          <w:tcPr>
            <w:tcW w:w="533" w:type="dxa"/>
          </w:tcPr>
          <w:p>
            <w:pPr>
              <w:pStyle w:val="32"/>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10</w:t>
            </w:r>
          </w:p>
        </w:tc>
        <w:tc>
          <w:tcPr>
            <w:tcW w:w="1080" w:type="dxa"/>
          </w:tcPr>
          <w:p>
            <w:pPr>
              <w:pStyle w:val="32"/>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100%</w:t>
            </w:r>
          </w:p>
        </w:tc>
        <w:tc>
          <w:tcPr>
            <w:tcW w:w="1080" w:type="dxa"/>
          </w:tcPr>
          <w:p>
            <w:pPr>
              <w:pStyle w:val="32"/>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334" w:type="dxa"/>
          </w:tcPr>
          <w:p>
            <w:pPr>
              <w:pStyle w:val="32"/>
              <w:rPr>
                <w:rFonts w:ascii="仿宋_GB2312" w:hAnsi="仿宋_GB2312" w:eastAsia="仿宋_GB2312" w:cs="仿宋_GB2312"/>
                <w:kern w:val="0"/>
                <w:sz w:val="32"/>
                <w:szCs w:val="32"/>
                <w:shd w:val="clear" w:color="auto" w:fill="FFFFFF"/>
              </w:rPr>
            </w:pPr>
          </w:p>
        </w:tc>
        <w:tc>
          <w:tcPr>
            <w:tcW w:w="2793" w:type="dxa"/>
          </w:tcPr>
          <w:p>
            <w:pPr>
              <w:pStyle w:val="32"/>
              <w:spacing w:before="28"/>
              <w:ind w:left="1344"/>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其他资金</w:t>
            </w:r>
          </w:p>
        </w:tc>
        <w:tc>
          <w:tcPr>
            <w:tcW w:w="1123" w:type="dxa"/>
          </w:tcPr>
          <w:p>
            <w:pPr>
              <w:pStyle w:val="32"/>
              <w:spacing w:before="28"/>
              <w:ind w:left="5"/>
              <w:jc w:val="center"/>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0</w:t>
            </w:r>
          </w:p>
        </w:tc>
        <w:tc>
          <w:tcPr>
            <w:tcW w:w="1656" w:type="dxa"/>
          </w:tcPr>
          <w:p>
            <w:pPr>
              <w:pStyle w:val="32"/>
              <w:rPr>
                <w:rFonts w:ascii="仿宋_GB2312" w:hAnsi="仿宋_GB2312" w:eastAsia="仿宋_GB2312" w:cs="仿宋_GB2312"/>
                <w:kern w:val="0"/>
                <w:sz w:val="32"/>
                <w:szCs w:val="32"/>
                <w:shd w:val="clear" w:color="auto" w:fill="FFFFFF"/>
              </w:rPr>
            </w:pPr>
          </w:p>
        </w:tc>
        <w:tc>
          <w:tcPr>
            <w:tcW w:w="533" w:type="dxa"/>
          </w:tcPr>
          <w:p>
            <w:pPr>
              <w:pStyle w:val="32"/>
              <w:rPr>
                <w:rFonts w:ascii="仿宋_GB2312" w:hAnsi="仿宋_GB2312" w:eastAsia="仿宋_GB2312" w:cs="仿宋_GB2312"/>
                <w:kern w:val="0"/>
                <w:sz w:val="32"/>
                <w:szCs w:val="32"/>
                <w:shd w:val="clear" w:color="auto" w:fill="FFFFFF"/>
              </w:rPr>
            </w:pPr>
          </w:p>
        </w:tc>
        <w:tc>
          <w:tcPr>
            <w:tcW w:w="1080" w:type="dxa"/>
          </w:tcPr>
          <w:p>
            <w:pPr>
              <w:pStyle w:val="32"/>
              <w:rPr>
                <w:rFonts w:ascii="仿宋_GB2312" w:hAnsi="仿宋_GB2312" w:eastAsia="仿宋_GB2312" w:cs="仿宋_GB2312"/>
                <w:kern w:val="0"/>
                <w:sz w:val="32"/>
                <w:szCs w:val="32"/>
                <w:shd w:val="clear" w:color="auto" w:fill="FFFFFF"/>
              </w:rPr>
            </w:pPr>
          </w:p>
        </w:tc>
        <w:tc>
          <w:tcPr>
            <w:tcW w:w="1080" w:type="dxa"/>
          </w:tcPr>
          <w:p>
            <w:pPr>
              <w:pStyle w:val="32"/>
              <w:rPr>
                <w:rFonts w:ascii="仿宋_GB2312" w:hAnsi="仿宋_GB2312" w:eastAsia="仿宋_GB2312" w:cs="仿宋_GB2312"/>
                <w:kern w:val="0"/>
                <w:sz w:val="32"/>
                <w:szCs w:val="32"/>
                <w:shd w:val="clear" w:color="auto" w:fill="FFFFFF"/>
              </w:rPr>
            </w:pPr>
          </w:p>
        </w:tc>
      </w:tr>
    </w:tbl>
    <w:p>
      <w:pPr>
        <w:pStyle w:val="2"/>
        <w:spacing w:before="72"/>
        <w:rPr>
          <w:rFonts w:hAnsi="仿宋_GB2312"/>
          <w:sz w:val="32"/>
          <w:szCs w:val="32"/>
          <w:shd w:val="clear" w:color="auto" w:fill="FFFFFF"/>
        </w:rPr>
      </w:pPr>
    </w:p>
    <w:p>
      <w:pPr>
        <w:pStyle w:val="2"/>
        <w:spacing w:before="72"/>
        <w:rPr>
          <w:rFonts w:ascii="楷体"/>
          <w:b/>
        </w:rPr>
      </w:pPr>
    </w:p>
    <w:p>
      <w:pPr>
        <w:spacing w:before="273"/>
        <w:jc w:val="left"/>
        <w:rPr>
          <w:rFonts w:ascii="楷体" w:eastAsia="楷体"/>
          <w:b/>
          <w:sz w:val="32"/>
        </w:rPr>
      </w:pPr>
      <w:r>
        <w:rPr>
          <w:rFonts w:hint="eastAsia" w:ascii="楷体" w:eastAsia="楷体"/>
          <w:b/>
          <w:sz w:val="32"/>
        </w:rPr>
        <w:t>（三）项目财务管理情况。</w:t>
      </w:r>
    </w:p>
    <w:p>
      <w:pPr>
        <w:pStyle w:val="2"/>
        <w:spacing w:before="72" w:line="360" w:lineRule="auto"/>
        <w:ind w:firstLine="640" w:firstLineChars="200"/>
        <w:rPr>
          <w:rFonts w:ascii="宋体" w:hAnsi="宋体" w:eastAsia="宋体" w:cs="宋体"/>
          <w:kern w:val="2"/>
          <w:szCs w:val="21"/>
        </w:rPr>
      </w:pPr>
      <w:r>
        <w:rPr>
          <w:rFonts w:hint="eastAsia" w:hAnsi="仿宋_GB2312"/>
          <w:sz w:val="32"/>
          <w:szCs w:val="32"/>
          <w:shd w:val="clear" w:color="auto" w:fill="FFFFFF"/>
        </w:rPr>
        <w:t>各项目实施单位财务管理制度健全，严格执行财务管理制度，账务处理及时，会计核算规范</w:t>
      </w:r>
      <w:r>
        <w:rPr>
          <w:rFonts w:hint="eastAsia" w:ascii="宋体" w:hAnsi="宋体" w:eastAsia="宋体" w:cs="宋体"/>
          <w:kern w:val="2"/>
          <w:szCs w:val="21"/>
        </w:rPr>
        <w:t>。</w:t>
      </w:r>
    </w:p>
    <w:p>
      <w:pPr>
        <w:pStyle w:val="2"/>
        <w:spacing w:before="72"/>
        <w:ind w:firstLine="643" w:firstLineChars="200"/>
        <w:rPr>
          <w:rFonts w:ascii="黑体" w:eastAsia="黑体"/>
          <w:b/>
          <w:bCs/>
          <w:sz w:val="32"/>
          <w:szCs w:val="32"/>
        </w:rPr>
      </w:pPr>
      <w:r>
        <w:rPr>
          <w:rFonts w:hint="eastAsia" w:ascii="黑体" w:eastAsia="黑体"/>
          <w:b/>
          <w:bCs/>
          <w:sz w:val="32"/>
          <w:szCs w:val="32"/>
        </w:rPr>
        <w:t>三、项目实施及管理情况</w:t>
      </w:r>
    </w:p>
    <w:p>
      <w:pPr>
        <w:pStyle w:val="5"/>
        <w:spacing w:line="240" w:lineRule="auto"/>
      </w:pPr>
      <w:r>
        <w:t>（一）项目组织架构及实施流程。</w:t>
      </w:r>
    </w:p>
    <w:p>
      <w:pPr>
        <w:pStyle w:val="5"/>
        <w:spacing w:line="240" w:lineRule="auto"/>
        <w:ind w:firstLine="640" w:firstLineChars="200"/>
        <w:rPr>
          <w:rFonts w:ascii="仿宋_GB2312" w:hAnsi="仿宋_GB2312" w:eastAsia="仿宋_GB2312" w:cs="仿宋_GB2312"/>
          <w:b w:val="0"/>
          <w:bCs w:val="0"/>
          <w:kern w:val="0"/>
          <w:shd w:val="clear" w:color="auto" w:fill="FFFFFF"/>
        </w:rPr>
      </w:pPr>
      <w:r>
        <w:rPr>
          <w:rFonts w:hint="eastAsia" w:ascii="仿宋_GB2312" w:hAnsi="仿宋_GB2312" w:eastAsia="仿宋_GB2312" w:cs="仿宋_GB2312"/>
          <w:b w:val="0"/>
          <w:bCs w:val="0"/>
          <w:kern w:val="0"/>
          <w:shd w:val="clear" w:color="auto" w:fill="FFFFFF"/>
        </w:rPr>
        <w:t>申报项目</w:t>
      </w:r>
      <w:r>
        <w:rPr>
          <w:rFonts w:hint="eastAsia" w:ascii="仿宋_GB2312" w:hAnsi="仿宋_GB2312" w:eastAsia="仿宋_GB2312" w:cs="仿宋_GB2312"/>
          <w:b w:val="0"/>
          <w:bCs w:val="0"/>
          <w:kern w:val="0"/>
          <w:shd w:val="clear" w:color="auto" w:fill="FFFFFF"/>
          <w:lang w:eastAsia="zh-CN"/>
        </w:rPr>
        <w:t>－</w:t>
      </w:r>
      <w:r>
        <w:rPr>
          <w:rFonts w:hint="eastAsia" w:ascii="仿宋_GB2312" w:hAnsi="仿宋_GB2312" w:eastAsia="仿宋_GB2312" w:cs="仿宋_GB2312"/>
          <w:b w:val="0"/>
          <w:bCs w:val="0"/>
          <w:kern w:val="0"/>
          <w:shd w:val="clear" w:color="auto" w:fill="FFFFFF"/>
        </w:rPr>
        <w:t>项目执行</w:t>
      </w:r>
      <w:r>
        <w:rPr>
          <w:rFonts w:hint="eastAsia" w:ascii="仿宋_GB2312" w:hAnsi="仿宋_GB2312" w:eastAsia="仿宋_GB2312" w:cs="仿宋_GB2312"/>
          <w:b w:val="0"/>
          <w:bCs w:val="0"/>
          <w:kern w:val="0"/>
          <w:shd w:val="clear" w:color="auto" w:fill="FFFFFF"/>
          <w:lang w:eastAsia="zh-CN"/>
        </w:rPr>
        <w:t>－</w:t>
      </w:r>
      <w:r>
        <w:rPr>
          <w:rFonts w:hint="eastAsia" w:ascii="仿宋_GB2312" w:hAnsi="仿宋_GB2312" w:eastAsia="仿宋_GB2312" w:cs="仿宋_GB2312"/>
          <w:b w:val="0"/>
          <w:bCs w:val="0"/>
          <w:kern w:val="0"/>
          <w:shd w:val="clear" w:color="auto" w:fill="FFFFFF"/>
        </w:rPr>
        <w:t>项目监督</w:t>
      </w:r>
      <w:r>
        <w:rPr>
          <w:rFonts w:hint="eastAsia" w:ascii="仿宋_GB2312" w:hAnsi="仿宋_GB2312" w:eastAsia="仿宋_GB2312" w:cs="仿宋_GB2312"/>
          <w:b w:val="0"/>
          <w:bCs w:val="0"/>
          <w:kern w:val="0"/>
          <w:shd w:val="clear" w:color="auto" w:fill="FFFFFF"/>
          <w:lang w:eastAsia="zh-CN"/>
        </w:rPr>
        <w:t>－</w:t>
      </w:r>
      <w:r>
        <w:rPr>
          <w:rFonts w:hint="eastAsia" w:ascii="仿宋_GB2312" w:hAnsi="仿宋_GB2312" w:eastAsia="仿宋_GB2312" w:cs="仿宋_GB2312"/>
          <w:b w:val="0"/>
          <w:bCs w:val="0"/>
          <w:kern w:val="0"/>
          <w:shd w:val="clear" w:color="auto" w:fill="FFFFFF"/>
        </w:rPr>
        <w:t>项目评价</w:t>
      </w:r>
    </w:p>
    <w:p>
      <w:pPr>
        <w:pStyle w:val="5"/>
        <w:numPr>
          <w:ilvl w:val="0"/>
          <w:numId w:val="9"/>
        </w:numPr>
        <w:spacing w:line="240" w:lineRule="auto"/>
        <w:rPr>
          <w:rFonts w:ascii="楷体" w:eastAsia="楷体"/>
          <w:spacing w:val="-5"/>
          <w:w w:val="95"/>
        </w:rPr>
      </w:pPr>
      <w:r>
        <w:rPr>
          <w:rFonts w:hint="eastAsia" w:ascii="楷体" w:eastAsia="楷体"/>
          <w:spacing w:val="-5"/>
          <w:w w:val="95"/>
        </w:rPr>
        <w:t>项目管理情况。</w:t>
      </w:r>
    </w:p>
    <w:p>
      <w:pPr>
        <w:pStyle w:val="5"/>
        <w:spacing w:line="360" w:lineRule="auto"/>
        <w:ind w:firstLine="640" w:firstLineChars="200"/>
        <w:rPr>
          <w:rFonts w:ascii="仿宋_GB2312" w:hAnsi="仿宋_GB2312" w:eastAsia="仿宋_GB2312" w:cs="仿宋_GB2312"/>
          <w:b w:val="0"/>
          <w:bCs w:val="0"/>
          <w:kern w:val="0"/>
          <w:shd w:val="clear" w:color="auto" w:fill="FFFFFF"/>
        </w:rPr>
      </w:pPr>
      <w:r>
        <w:rPr>
          <w:rFonts w:hint="eastAsia" w:ascii="仿宋_GB2312" w:hAnsi="仿宋_GB2312" w:eastAsia="仿宋_GB2312" w:cs="仿宋_GB2312"/>
          <w:b w:val="0"/>
          <w:bCs w:val="0"/>
          <w:kern w:val="0"/>
          <w:shd w:val="clear" w:color="auto" w:fill="FFFFFF"/>
        </w:rPr>
        <w:t>结合项目特点，总体评价各项目 实施单位执行相关法律法规及项目管理制度等情况，如招投标、政府采购、项目公示制等相关规定。</w:t>
      </w:r>
    </w:p>
    <w:p>
      <w:pPr>
        <w:pStyle w:val="5"/>
        <w:numPr>
          <w:ilvl w:val="0"/>
          <w:numId w:val="9"/>
        </w:numPr>
        <w:spacing w:line="240" w:lineRule="auto"/>
        <w:rPr>
          <w:rFonts w:ascii="楷体" w:eastAsia="楷体"/>
        </w:rPr>
      </w:pPr>
      <w:r>
        <w:rPr>
          <w:rFonts w:hint="eastAsia" w:ascii="楷体" w:eastAsia="楷体"/>
        </w:rPr>
        <w:t>项目监管情况。</w:t>
      </w:r>
    </w:p>
    <w:p>
      <w:pPr>
        <w:pStyle w:val="5"/>
        <w:spacing w:line="360" w:lineRule="auto"/>
        <w:ind w:firstLine="640" w:firstLineChars="200"/>
        <w:rPr>
          <w:rFonts w:ascii="仿宋_GB2312" w:hAnsi="仿宋_GB2312" w:eastAsia="仿宋_GB2312" w:cs="仿宋_GB2312"/>
          <w:b w:val="0"/>
          <w:bCs w:val="0"/>
          <w:kern w:val="0"/>
          <w:shd w:val="clear" w:color="auto" w:fill="FFFFFF"/>
        </w:rPr>
      </w:pPr>
      <w:r>
        <w:rPr>
          <w:rFonts w:hint="eastAsia" w:ascii="仿宋_GB2312" w:hAnsi="仿宋_GB2312" w:eastAsia="仿宋_GB2312" w:cs="仿宋_GB2312"/>
          <w:b w:val="0"/>
          <w:bCs w:val="0"/>
          <w:kern w:val="0"/>
          <w:shd w:val="clear" w:color="auto" w:fill="FFFFFF"/>
        </w:rPr>
        <w:t>柳沟镇人民政府的清运项目的实施，确保了城乡垃圾的日产日清，改善了城乡卫生环境，同时项目实施监督到位，产生了良好的社会环境效益。</w:t>
      </w:r>
    </w:p>
    <w:p>
      <w:pPr>
        <w:pStyle w:val="5"/>
        <w:spacing w:line="240" w:lineRule="auto"/>
        <w:ind w:firstLine="643" w:firstLineChars="200"/>
        <w:rPr>
          <w:rFonts w:ascii="黑体" w:eastAsia="黑体"/>
        </w:rPr>
      </w:pPr>
      <w:r>
        <w:rPr>
          <w:rFonts w:hint="eastAsia" w:ascii="黑体" w:eastAsia="黑体"/>
        </w:rPr>
        <w:t>四、项目绩效情况</w:t>
      </w:r>
    </w:p>
    <w:p>
      <w:pPr>
        <w:pStyle w:val="5"/>
        <w:spacing w:line="240" w:lineRule="auto"/>
      </w:pPr>
      <w:r>
        <w:t>（一）项目完成情况。</w:t>
      </w:r>
    </w:p>
    <w:p>
      <w:pPr>
        <w:pStyle w:val="5"/>
        <w:spacing w:line="360" w:lineRule="auto"/>
        <w:ind w:firstLine="640" w:firstLineChars="200"/>
        <w:rPr>
          <w:rFonts w:ascii="宋体" w:hAnsi="宋体" w:cs="宋体"/>
          <w:sz w:val="24"/>
          <w:szCs w:val="21"/>
        </w:rPr>
      </w:pPr>
      <w:r>
        <w:rPr>
          <w:rFonts w:hint="eastAsia" w:ascii="仿宋_GB2312" w:hAnsi="仿宋_GB2312" w:eastAsia="仿宋_GB2312" w:cs="仿宋_GB2312"/>
          <w:b w:val="0"/>
          <w:bCs w:val="0"/>
          <w:kern w:val="0"/>
          <w:shd w:val="clear" w:color="auto" w:fill="FFFFFF"/>
        </w:rPr>
        <w:t>本项目实施组织严密，管理规范有序，资金使用管理到位，实施后社会经济效益凸显。县环卫处成立专门机构考核办，配备专职人员，对垃圾收集、清运实施日常监督和考核。</w:t>
      </w:r>
      <w:r>
        <w:rPr>
          <w:rFonts w:hint="eastAsia" w:hAnsi="仿宋_GB2312" w:cs="仿宋_GB2312"/>
          <w:b w:val="0"/>
          <w:bCs w:val="0"/>
          <w:kern w:val="0"/>
          <w:shd w:val="clear" w:color="auto" w:fill="FFFFFF"/>
        </w:rPr>
        <w:t>柳沟镇</w:t>
      </w:r>
      <w:r>
        <w:rPr>
          <w:rFonts w:hint="eastAsia" w:ascii="仿宋_GB2312" w:hAnsi="仿宋_GB2312" w:eastAsia="仿宋_GB2312" w:cs="仿宋_GB2312"/>
          <w:b w:val="0"/>
          <w:bCs w:val="0"/>
          <w:kern w:val="0"/>
          <w:shd w:val="clear" w:color="auto" w:fill="FFFFFF"/>
        </w:rPr>
        <w:t>人民政府生活垃圾无害化处理场配备专职人员，对垃圾处理实施日常监督和考核。为了加强项目的资金管理，我镇制定了重点工程项目建设管理和财务管理制度，并将该项目纳入县级重点工程财务核算，实行集中支付和报账制，确保资金封闭运行，项目实施中县财政、县审计以及监察部门定期或不定期</w:t>
      </w:r>
      <w:r>
        <w:rPr>
          <w:rFonts w:hint="eastAsia" w:ascii="仿宋_GB2312" w:hAnsi="仿宋_GB2312" w:eastAsia="仿宋_GB2312" w:cs="仿宋_GB2312"/>
          <w:b w:val="0"/>
          <w:bCs w:val="0"/>
          <w:kern w:val="0"/>
          <w:shd w:val="clear" w:color="auto" w:fill="FFFFFF"/>
          <w:lang w:eastAsia="zh-CN"/>
        </w:rPr>
        <w:t>地</w:t>
      </w:r>
      <w:r>
        <w:rPr>
          <w:rFonts w:hint="eastAsia" w:ascii="仿宋_GB2312" w:hAnsi="仿宋_GB2312" w:eastAsia="仿宋_GB2312" w:cs="仿宋_GB2312"/>
          <w:b w:val="0"/>
          <w:bCs w:val="0"/>
          <w:kern w:val="0"/>
          <w:shd w:val="clear" w:color="auto" w:fill="FFFFFF"/>
        </w:rPr>
        <w:t>实行检查、督察，确保项目资金的安全运行。资金使用过程中，严把监督审核关，建立健全内部审批制度。对每笔用款申请，在所附资料齐备的情况下，经审核确认后再报县财政局审批后付款。确保了城乡垃圾的日产日 清，改善了城乡卫生环境，项目实施到位，产生了良好的社 会环境效益。</w:t>
      </w:r>
    </w:p>
    <w:p>
      <w:pPr>
        <w:pStyle w:val="5"/>
        <w:numPr>
          <w:ilvl w:val="0"/>
          <w:numId w:val="6"/>
        </w:numPr>
        <w:spacing w:before="10"/>
        <w:ind w:firstLine="643" w:firstLineChars="200"/>
        <w:rPr>
          <w:rFonts w:ascii="仿宋_GB2312" w:hAnsi="仿宋_GB2312" w:eastAsia="仿宋_GB2312" w:cs="仿宋_GB2312"/>
          <w:b w:val="0"/>
          <w:bCs w:val="0"/>
          <w:kern w:val="0"/>
          <w:shd w:val="clear" w:color="auto" w:fill="FFFFFF"/>
        </w:rPr>
      </w:pPr>
      <w:r>
        <w:t>项目效益情况。</w:t>
      </w:r>
    </w:p>
    <w:p>
      <w:pPr>
        <w:pStyle w:val="5"/>
        <w:numPr>
          <w:ilvl w:val="0"/>
          <w:numId w:val="10"/>
        </w:numPr>
        <w:spacing w:before="10" w:line="360" w:lineRule="auto"/>
        <w:ind w:firstLine="640" w:firstLineChars="200"/>
        <w:rPr>
          <w:rFonts w:ascii="仿宋_GB2312" w:hAnsi="仿宋_GB2312" w:eastAsia="仿宋_GB2312" w:cs="仿宋_GB2312"/>
          <w:b w:val="0"/>
          <w:bCs w:val="0"/>
          <w:kern w:val="0"/>
          <w:shd w:val="clear" w:color="auto" w:fill="FFFFFF"/>
        </w:rPr>
      </w:pPr>
      <w:r>
        <w:rPr>
          <w:rFonts w:hint="eastAsia" w:ascii="仿宋_GB2312" w:hAnsi="仿宋_GB2312" w:eastAsia="仿宋_GB2312" w:cs="仿宋_GB2312"/>
          <w:b w:val="0"/>
          <w:bCs w:val="0"/>
          <w:kern w:val="0"/>
          <w:shd w:val="clear" w:color="auto" w:fill="FFFFFF"/>
        </w:rPr>
        <w:t>社会效益：通过项目的实施，可改善居民的生活和生态环境，进而提高居民的生活水平和健康水平，保护</w:t>
      </w:r>
      <w:r>
        <w:rPr>
          <w:rFonts w:hint="eastAsia" w:hAnsi="仿宋_GB2312" w:cs="仿宋_GB2312"/>
          <w:b w:val="0"/>
          <w:bCs w:val="0"/>
          <w:kern w:val="0"/>
          <w:shd w:val="clear" w:color="auto" w:fill="FFFFFF"/>
        </w:rPr>
        <w:t>柳沟</w:t>
      </w:r>
      <w:r>
        <w:rPr>
          <w:rFonts w:hint="eastAsia" w:ascii="仿宋_GB2312" w:hAnsi="仿宋_GB2312" w:eastAsia="仿宋_GB2312" w:cs="仿宋_GB2312"/>
          <w:b w:val="0"/>
          <w:bCs w:val="0"/>
          <w:kern w:val="0"/>
          <w:shd w:val="clear" w:color="auto" w:fill="FFFFFF"/>
        </w:rPr>
        <w:t xml:space="preserve"> 镇整体环境和恢复生态平衡，从而保证整个剑阁县社会经济又好又快发展。</w:t>
      </w:r>
    </w:p>
    <w:p>
      <w:pPr>
        <w:pStyle w:val="5"/>
        <w:numPr>
          <w:ilvl w:val="0"/>
          <w:numId w:val="10"/>
        </w:numPr>
        <w:spacing w:before="10" w:line="360" w:lineRule="auto"/>
        <w:ind w:firstLine="640" w:firstLineChars="200"/>
        <w:rPr>
          <w:rFonts w:ascii="仿宋_GB2312" w:hAnsi="仿宋_GB2312" w:eastAsia="仿宋_GB2312" w:cs="仿宋_GB2312"/>
          <w:b w:val="0"/>
          <w:bCs w:val="0"/>
          <w:kern w:val="0"/>
          <w:shd w:val="clear" w:color="auto" w:fill="FFFFFF"/>
        </w:rPr>
      </w:pPr>
      <w:r>
        <w:rPr>
          <w:rFonts w:hint="eastAsia" w:ascii="仿宋_GB2312" w:hAnsi="仿宋_GB2312" w:eastAsia="仿宋_GB2312" w:cs="仿宋_GB2312"/>
          <w:b w:val="0"/>
          <w:bCs w:val="0"/>
          <w:kern w:val="0"/>
          <w:shd w:val="clear" w:color="auto" w:fill="FFFFFF"/>
        </w:rPr>
        <w:t>环境效益：通过项目的实施，将</w:t>
      </w:r>
      <w:r>
        <w:rPr>
          <w:rFonts w:hint="eastAsia" w:ascii="仿宋_GB2312" w:hAnsi="仿宋_GB2312" w:eastAsia="仿宋_GB2312" w:cs="仿宋_GB2312"/>
          <w:b w:val="0"/>
          <w:bCs w:val="0"/>
          <w:kern w:val="0"/>
          <w:shd w:val="clear" w:color="auto" w:fill="FFFFFF"/>
          <w:lang w:eastAsia="zh-CN"/>
        </w:rPr>
        <w:t>能够有力地的</w:t>
      </w:r>
      <w:r>
        <w:rPr>
          <w:rFonts w:hint="eastAsia" w:ascii="仿宋_GB2312" w:hAnsi="仿宋_GB2312" w:eastAsia="仿宋_GB2312" w:cs="仿宋_GB2312"/>
          <w:b w:val="0"/>
          <w:bCs w:val="0"/>
          <w:kern w:val="0"/>
          <w:shd w:val="clear" w:color="auto" w:fill="FFFFFF"/>
        </w:rPr>
        <w:t>缓解整个攸县生活垃圾带来的环境污染和各种社会、经济问题，改善攸县大气环境质量，消除和减少疾病传播，从而改善剑阁县城市容貌和环境卫生条件，提高剑阁县的招商引资能力。</w:t>
      </w:r>
    </w:p>
    <w:p>
      <w:pPr>
        <w:pStyle w:val="5"/>
        <w:numPr>
          <w:ilvl w:val="0"/>
          <w:numId w:val="10"/>
        </w:numPr>
        <w:spacing w:before="10" w:line="360" w:lineRule="auto"/>
        <w:ind w:firstLine="640" w:firstLineChars="200"/>
        <w:rPr>
          <w:rFonts w:ascii="仿宋_GB2312" w:hAnsi="仿宋_GB2312" w:eastAsia="仿宋_GB2312" w:cs="仿宋_GB2312"/>
          <w:b w:val="0"/>
          <w:bCs w:val="0"/>
          <w:kern w:val="0"/>
          <w:shd w:val="clear" w:color="auto" w:fill="FFFFFF"/>
        </w:rPr>
      </w:pPr>
      <w:r>
        <w:rPr>
          <w:rFonts w:hint="eastAsia" w:ascii="仿宋_GB2312" w:hAnsi="仿宋_GB2312" w:eastAsia="仿宋_GB2312" w:cs="仿宋_GB2312"/>
          <w:b w:val="0"/>
          <w:bCs w:val="0"/>
          <w:kern w:val="0"/>
          <w:shd w:val="clear" w:color="auto" w:fill="FFFFFF"/>
        </w:rPr>
        <w:t>经济效益：每吨生活垃圾可以分选出 48.8%的 RDF， 替代煤作为水泥窑燃料。按照 RDF 的低位热值 1800Kcal/吨， 通过项目的实施可以年节约一定数量标煤，具有显著的经济效益。及处理效率，加强再生资源利用、垃圾分类回收仓 储，可持续提高。</w:t>
      </w:r>
    </w:p>
    <w:p>
      <w:pPr>
        <w:pStyle w:val="5"/>
        <w:spacing w:before="10" w:line="360" w:lineRule="auto"/>
        <w:ind w:firstLine="640" w:firstLineChars="200"/>
        <w:rPr>
          <w:rFonts w:ascii="仿宋_GB2312" w:hAnsi="仿宋_GB2312" w:eastAsia="仿宋_GB2312" w:cs="仿宋_GB2312"/>
          <w:b w:val="0"/>
          <w:bCs w:val="0"/>
          <w:kern w:val="0"/>
          <w:shd w:val="clear" w:color="auto" w:fill="FFFFFF"/>
        </w:rPr>
      </w:pPr>
      <w:r>
        <w:rPr>
          <w:rFonts w:hint="eastAsia" w:ascii="仿宋_GB2312" w:hAnsi="仿宋_GB2312" w:eastAsia="仿宋_GB2312" w:cs="仿宋_GB2312"/>
          <w:b w:val="0"/>
          <w:bCs w:val="0"/>
          <w:kern w:val="0"/>
          <w:shd w:val="clear" w:color="auto" w:fill="FFFFFF"/>
        </w:rPr>
        <w:t>4、可持续影响：通过项目的实施，可持续地改善垃圾收集转运人民生活质量，并可取得良好的社会、经济 和环境效益，具有可持续影响。</w:t>
      </w:r>
    </w:p>
    <w:p>
      <w:pPr>
        <w:pStyle w:val="2"/>
        <w:spacing w:before="72"/>
        <w:ind w:firstLine="643" w:firstLineChars="200"/>
        <w:rPr>
          <w:rFonts w:ascii="黑体" w:eastAsia="黑体"/>
          <w:b/>
          <w:bCs/>
          <w:sz w:val="32"/>
          <w:szCs w:val="32"/>
        </w:rPr>
      </w:pPr>
      <w:r>
        <w:rPr>
          <w:rFonts w:hint="eastAsia" w:ascii="黑体" w:eastAsia="黑体"/>
          <w:b/>
          <w:bCs/>
          <w:sz w:val="32"/>
          <w:szCs w:val="32"/>
        </w:rPr>
        <w:t>五、评价结论及建议</w:t>
      </w:r>
    </w:p>
    <w:p>
      <w:pPr>
        <w:pStyle w:val="5"/>
        <w:spacing w:before="187"/>
        <w:ind w:firstLine="643" w:firstLineChars="200"/>
      </w:pPr>
      <w:r>
        <w:t>（一）评价结论。</w:t>
      </w:r>
    </w:p>
    <w:p>
      <w:pPr>
        <w:pStyle w:val="2"/>
        <w:spacing w:before="72" w:line="360" w:lineRule="auto"/>
        <w:ind w:firstLine="640" w:firstLineChars="200"/>
        <w:rPr>
          <w:rFonts w:hAnsi="仿宋_GB2312"/>
          <w:sz w:val="32"/>
          <w:szCs w:val="32"/>
          <w:shd w:val="clear" w:color="auto" w:fill="FFFFFF"/>
        </w:rPr>
      </w:pPr>
      <w:r>
        <w:rPr>
          <w:rFonts w:hint="eastAsia" w:hAnsi="仿宋_GB2312"/>
          <w:sz w:val="32"/>
          <w:szCs w:val="32"/>
          <w:shd w:val="clear" w:color="auto" w:fill="FFFFFF"/>
        </w:rPr>
        <w:t>我们认为：柳沟镇人民政府的清运项目的实施，确保了城乡垃圾的日产日清，改善了城乡卫生环境，项目实施到位， 产生了良好的社会环境效益。根据柳沟镇人民政府清运项目绩效评价指标表考评，此次评价指标总分值 98 分，综合得分为 90 分，其中：产出指标总分值 50 分，评价得分 50 分，效益指标总分值 30 分，评价得分 30 分，满意度指标分值 10 分，评价得分 10 分，财务指标分值 10 分，评价得分 8 分。评价等次：优。</w:t>
      </w:r>
    </w:p>
    <w:p>
      <w:pPr>
        <w:pStyle w:val="5"/>
        <w:spacing w:before="5"/>
        <w:ind w:firstLine="643" w:firstLineChars="200"/>
      </w:pPr>
      <w:r>
        <w:rPr>
          <w:rFonts w:hint="eastAsia"/>
        </w:rPr>
        <w:t>（二）</w:t>
      </w:r>
      <w:r>
        <w:t>存在的问题。</w:t>
      </w:r>
    </w:p>
    <w:p>
      <w:pPr>
        <w:pStyle w:val="2"/>
        <w:spacing w:before="72" w:line="360" w:lineRule="auto"/>
        <w:ind w:firstLine="640" w:firstLineChars="200"/>
        <w:rPr>
          <w:rFonts w:hAnsi="仿宋_GB2312"/>
          <w:sz w:val="32"/>
          <w:szCs w:val="32"/>
          <w:shd w:val="clear" w:color="auto" w:fill="FFFFFF"/>
        </w:rPr>
      </w:pPr>
      <w:r>
        <w:rPr>
          <w:rFonts w:hint="eastAsia" w:hAnsi="仿宋_GB2312"/>
          <w:sz w:val="32"/>
          <w:szCs w:val="32"/>
          <w:shd w:val="clear" w:color="auto" w:fill="FFFFFF"/>
        </w:rPr>
        <w:t>未严格执行考核制度。垃圾收集、清运、处理的监督考核部门虽然建立了对项目实施单位垃圾收集、清运、处理的考核监督制度，考核细则健全，扣分项目、处罚措施明确。 但是，剑阁县生活垃圾无害化处理场未执行考核制度，即未对项目实施方的垃圾处理过程和结果进行考核。</w:t>
      </w:r>
    </w:p>
    <w:p>
      <w:pPr>
        <w:pStyle w:val="5"/>
        <w:numPr>
          <w:ilvl w:val="0"/>
          <w:numId w:val="6"/>
        </w:numPr>
        <w:spacing w:before="5"/>
        <w:ind w:firstLine="643" w:firstLineChars="200"/>
      </w:pPr>
      <w:r>
        <w:t>相关建议。</w:t>
      </w:r>
    </w:p>
    <w:p>
      <w:pPr>
        <w:pStyle w:val="5"/>
        <w:spacing w:before="5"/>
        <w:ind w:firstLine="640" w:firstLineChars="200"/>
        <w:rPr>
          <w:rFonts w:ascii="仿宋_GB2312" w:hAnsi="仿宋_GB2312" w:eastAsia="仿宋_GB2312" w:cs="仿宋_GB2312"/>
          <w:b w:val="0"/>
          <w:bCs w:val="0"/>
          <w:kern w:val="0"/>
          <w:shd w:val="clear" w:color="auto" w:fill="FFFFFF"/>
        </w:rPr>
      </w:pPr>
      <w:r>
        <w:rPr>
          <w:rFonts w:hint="eastAsia" w:ascii="仿宋_GB2312" w:hAnsi="仿宋_GB2312" w:eastAsia="仿宋_GB2312" w:cs="仿宋_GB2312"/>
          <w:b w:val="0"/>
          <w:bCs w:val="0"/>
          <w:kern w:val="0"/>
          <w:shd w:val="clear" w:color="auto" w:fill="FFFFFF"/>
        </w:rPr>
        <w:t>环境卫生项目建设完成后，要经常监督检查其使用情况， 并做好后期维护和保养工作；</w:t>
      </w:r>
      <w:r>
        <w:rPr>
          <w:rFonts w:hint="eastAsia" w:ascii="仿宋_GB2312" w:hAnsi="仿宋_GB2312" w:eastAsia="仿宋_GB2312" w:cs="仿宋_GB2312"/>
          <w:b w:val="0"/>
          <w:bCs w:val="0"/>
          <w:kern w:val="0"/>
          <w:shd w:val="clear" w:color="auto" w:fill="FFFFFF"/>
          <w:lang w:eastAsia="zh-CN"/>
        </w:rPr>
        <w:t>重视</w:t>
      </w:r>
      <w:r>
        <w:rPr>
          <w:rFonts w:hint="eastAsia" w:ascii="仿宋_GB2312" w:hAnsi="仿宋_GB2312" w:eastAsia="仿宋_GB2312" w:cs="仿宋_GB2312"/>
          <w:b w:val="0"/>
          <w:bCs w:val="0"/>
          <w:kern w:val="0"/>
          <w:shd w:val="clear" w:color="auto" w:fill="FFFFFF"/>
        </w:rPr>
        <w:t>环卫设施的保洁除味工作</w:t>
      </w:r>
      <w:r>
        <w:rPr>
          <w:rFonts w:hint="eastAsia" w:ascii="仿宋_GB2312" w:hAnsi="仿宋_GB2312" w:eastAsia="仿宋_GB2312" w:cs="仿宋_GB2312"/>
          <w:b w:val="0"/>
          <w:bCs w:val="0"/>
          <w:kern w:val="0"/>
          <w:shd w:val="clear" w:color="auto" w:fill="FFFFFF"/>
          <w:lang w:eastAsia="zh-CN"/>
        </w:rPr>
        <w:t>，</w:t>
      </w:r>
      <w:r>
        <w:rPr>
          <w:rFonts w:hint="eastAsia" w:ascii="仿宋_GB2312" w:hAnsi="仿宋_GB2312" w:eastAsia="仿宋_GB2312" w:cs="仿宋_GB2312"/>
          <w:b w:val="0"/>
          <w:bCs w:val="0"/>
          <w:kern w:val="0"/>
          <w:shd w:val="clear" w:color="auto" w:fill="FFFFFF"/>
        </w:rPr>
        <w:t xml:space="preserve"> 及时清理垃圾，多清洁垃圾桶；及时维修环卫设备，尽量避 免垃圾车漏水污染环境；加强垃圾中转站、垃圾压缩站的管 理，防止“跑、冒、滴、臭”，改善周边环境，防止二次污染。</w:t>
      </w:r>
    </w:p>
    <w:p>
      <w:pPr>
        <w:pStyle w:val="2"/>
        <w:spacing w:before="72" w:line="340" w:lineRule="auto"/>
        <w:ind w:right="1080" w:firstLine="638"/>
        <w:rPr>
          <w:rFonts w:hAnsi="仿宋_GB2312"/>
          <w:sz w:val="32"/>
          <w:szCs w:val="32"/>
          <w:shd w:val="clear" w:color="auto" w:fill="FFFFFF"/>
        </w:rPr>
        <w:sectPr>
          <w:footerReference r:id="rId3" w:type="default"/>
          <w:pgSz w:w="11910" w:h="16840"/>
          <w:pgMar w:top="1540" w:right="400" w:bottom="1380" w:left="1060" w:header="0" w:footer="1197" w:gutter="0"/>
          <w:cols w:space="720" w:num="1"/>
        </w:sectPr>
      </w:pPr>
    </w:p>
    <w:p>
      <w:pPr>
        <w:pStyle w:val="2"/>
        <w:spacing w:before="72"/>
      </w:pPr>
      <w:r>
        <w:t>附表：</w:t>
      </w:r>
    </w:p>
    <w:p>
      <w:pPr>
        <w:pStyle w:val="5"/>
        <w:spacing w:before="238"/>
        <w:ind w:left="1805"/>
        <w:rPr>
          <w:rFonts w:ascii="宋体"/>
        </w:rPr>
      </w:pPr>
      <w:r>
        <w:rPr>
          <w:rFonts w:hint="eastAsia" w:ascii="宋体"/>
        </w:rPr>
        <w:t>2022 年垃圾清运及处置费项目绩效目标自评</w:t>
      </w:r>
    </w:p>
    <w:p>
      <w:pPr>
        <w:pStyle w:val="2"/>
        <w:spacing w:before="72" w:after="1"/>
        <w:rPr>
          <w:rFonts w:ascii="宋体"/>
          <w:b/>
          <w:sz w:val="10"/>
        </w:rPr>
      </w:pPr>
    </w:p>
    <w:tbl>
      <w:tblPr>
        <w:tblStyle w:val="14"/>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78"/>
        <w:gridCol w:w="1143"/>
        <w:gridCol w:w="1635"/>
        <w:gridCol w:w="1189"/>
        <w:gridCol w:w="1225"/>
        <w:gridCol w:w="24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3121" w:type="dxa"/>
            <w:gridSpan w:val="2"/>
          </w:tcPr>
          <w:p>
            <w:pPr>
              <w:pStyle w:val="32"/>
              <w:spacing w:before="165"/>
              <w:ind w:left="717"/>
              <w:rPr>
                <w:sz w:val="24"/>
              </w:rPr>
            </w:pPr>
            <w:r>
              <w:rPr>
                <w:sz w:val="24"/>
              </w:rPr>
              <w:t>主管部门及代码</w:t>
            </w:r>
          </w:p>
        </w:tc>
        <w:tc>
          <w:tcPr>
            <w:tcW w:w="2824" w:type="dxa"/>
            <w:gridSpan w:val="2"/>
          </w:tcPr>
          <w:p>
            <w:pPr>
              <w:pStyle w:val="32"/>
              <w:spacing w:before="165"/>
              <w:ind w:left="104"/>
              <w:rPr>
                <w:sz w:val="24"/>
              </w:rPr>
            </w:pPr>
            <w:r>
              <w:rPr>
                <w:sz w:val="24"/>
              </w:rPr>
              <w:t>剑阁县财政局</w:t>
            </w:r>
          </w:p>
        </w:tc>
        <w:tc>
          <w:tcPr>
            <w:tcW w:w="1225" w:type="dxa"/>
          </w:tcPr>
          <w:p>
            <w:pPr>
              <w:pStyle w:val="32"/>
              <w:spacing w:before="165"/>
              <w:ind w:left="129"/>
              <w:rPr>
                <w:sz w:val="24"/>
              </w:rPr>
            </w:pPr>
            <w:r>
              <w:rPr>
                <w:sz w:val="24"/>
              </w:rPr>
              <w:t>实施单位</w:t>
            </w:r>
          </w:p>
        </w:tc>
        <w:tc>
          <w:tcPr>
            <w:tcW w:w="2411" w:type="dxa"/>
          </w:tcPr>
          <w:p>
            <w:pPr>
              <w:pStyle w:val="32"/>
              <w:spacing w:before="4"/>
              <w:ind w:left="100" w:right="101"/>
              <w:jc w:val="center"/>
              <w:rPr>
                <w:sz w:val="24"/>
              </w:rPr>
            </w:pPr>
            <w:r>
              <w:rPr>
                <w:sz w:val="24"/>
              </w:rPr>
              <w:t>剑阁县</w:t>
            </w:r>
            <w:r>
              <w:rPr>
                <w:rFonts w:hint="eastAsia"/>
                <w:sz w:val="24"/>
              </w:rPr>
              <w:t>柳沟镇</w:t>
            </w:r>
            <w:r>
              <w:rPr>
                <w:sz w:val="24"/>
              </w:rPr>
              <w:t>人民政</w:t>
            </w:r>
          </w:p>
          <w:p>
            <w:pPr>
              <w:pStyle w:val="32"/>
              <w:spacing w:before="12" w:line="297" w:lineRule="exact"/>
              <w:ind w:right="1"/>
              <w:jc w:val="center"/>
              <w:rPr>
                <w:sz w:val="24"/>
              </w:rPr>
            </w:pPr>
            <w:r>
              <w:rPr>
                <w:sz w:val="24"/>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121" w:type="dxa"/>
            <w:gridSpan w:val="2"/>
            <w:vMerge w:val="restart"/>
          </w:tcPr>
          <w:p>
            <w:pPr>
              <w:pStyle w:val="32"/>
              <w:spacing w:before="194" w:line="252" w:lineRule="auto"/>
              <w:ind w:left="1077" w:right="1071"/>
              <w:jc w:val="center"/>
              <w:rPr>
                <w:sz w:val="24"/>
              </w:rPr>
            </w:pPr>
            <w:r>
              <w:rPr>
                <w:sz w:val="24"/>
              </w:rPr>
              <w:t>项目预算执行情况</w:t>
            </w:r>
          </w:p>
          <w:p>
            <w:pPr>
              <w:pStyle w:val="32"/>
              <w:spacing w:line="303" w:lineRule="exact"/>
              <w:ind w:left="1057" w:right="1054"/>
              <w:jc w:val="center"/>
              <w:rPr>
                <w:sz w:val="24"/>
              </w:rPr>
            </w:pPr>
            <w:r>
              <w:rPr>
                <w:sz w:val="24"/>
              </w:rPr>
              <w:t>（万元）</w:t>
            </w:r>
          </w:p>
        </w:tc>
        <w:tc>
          <w:tcPr>
            <w:tcW w:w="1635" w:type="dxa"/>
          </w:tcPr>
          <w:p>
            <w:pPr>
              <w:pStyle w:val="32"/>
              <w:spacing w:before="14" w:line="306" w:lineRule="exact"/>
              <w:ind w:left="224"/>
              <w:rPr>
                <w:sz w:val="24"/>
              </w:rPr>
            </w:pPr>
            <w:r>
              <w:rPr>
                <w:sz w:val="24"/>
              </w:rPr>
              <w:t>预算数：</w:t>
            </w:r>
          </w:p>
        </w:tc>
        <w:tc>
          <w:tcPr>
            <w:tcW w:w="1189" w:type="dxa"/>
          </w:tcPr>
          <w:p>
            <w:pPr>
              <w:pStyle w:val="32"/>
              <w:spacing w:before="14" w:line="306" w:lineRule="exact"/>
              <w:ind w:left="103"/>
              <w:rPr>
                <w:sz w:val="24"/>
              </w:rPr>
            </w:pPr>
            <w:r>
              <w:rPr>
                <w:rFonts w:hint="eastAsia"/>
                <w:sz w:val="24"/>
              </w:rPr>
              <w:t>10</w:t>
            </w:r>
          </w:p>
        </w:tc>
        <w:tc>
          <w:tcPr>
            <w:tcW w:w="1225" w:type="dxa"/>
          </w:tcPr>
          <w:p>
            <w:pPr>
              <w:pStyle w:val="32"/>
              <w:spacing w:before="14" w:line="306" w:lineRule="exact"/>
              <w:ind w:left="225"/>
              <w:rPr>
                <w:sz w:val="24"/>
              </w:rPr>
            </w:pPr>
            <w:r>
              <w:rPr>
                <w:sz w:val="24"/>
              </w:rPr>
              <w:t>执行数：</w:t>
            </w:r>
          </w:p>
        </w:tc>
        <w:tc>
          <w:tcPr>
            <w:tcW w:w="2411" w:type="dxa"/>
          </w:tcPr>
          <w:p>
            <w:pPr>
              <w:pStyle w:val="32"/>
              <w:spacing w:before="14" w:line="306" w:lineRule="exact"/>
              <w:ind w:right="103"/>
              <w:jc w:val="right"/>
              <w:rPr>
                <w:sz w:val="24"/>
              </w:rPr>
            </w:pPr>
            <w:r>
              <w:rPr>
                <w:rFonts w:hint="eastAsia"/>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3121" w:type="dxa"/>
            <w:gridSpan w:val="2"/>
            <w:vMerge w:val="continue"/>
            <w:tcBorders>
              <w:top w:val="nil"/>
            </w:tcBorders>
          </w:tcPr>
          <w:p>
            <w:pPr>
              <w:rPr>
                <w:sz w:val="2"/>
                <w:szCs w:val="2"/>
              </w:rPr>
            </w:pPr>
          </w:p>
        </w:tc>
        <w:tc>
          <w:tcPr>
            <w:tcW w:w="1635" w:type="dxa"/>
          </w:tcPr>
          <w:p>
            <w:pPr>
              <w:pStyle w:val="32"/>
              <w:spacing w:before="4"/>
              <w:ind w:left="104"/>
              <w:rPr>
                <w:sz w:val="24"/>
              </w:rPr>
            </w:pPr>
            <w:r>
              <w:rPr>
                <w:sz w:val="24"/>
              </w:rPr>
              <w:t>其中：</w:t>
            </w:r>
          </w:p>
          <w:p>
            <w:pPr>
              <w:pStyle w:val="32"/>
              <w:spacing w:before="12" w:line="297" w:lineRule="exact"/>
              <w:ind w:left="104"/>
              <w:rPr>
                <w:sz w:val="24"/>
              </w:rPr>
            </w:pPr>
            <w:r>
              <w:rPr>
                <w:sz w:val="24"/>
              </w:rPr>
              <w:t>财政拨款</w:t>
            </w:r>
          </w:p>
        </w:tc>
        <w:tc>
          <w:tcPr>
            <w:tcW w:w="1189" w:type="dxa"/>
          </w:tcPr>
          <w:p>
            <w:pPr>
              <w:pStyle w:val="32"/>
              <w:spacing w:before="165"/>
              <w:ind w:left="103"/>
              <w:rPr>
                <w:sz w:val="24"/>
              </w:rPr>
            </w:pPr>
            <w:r>
              <w:rPr>
                <w:rFonts w:hint="eastAsia"/>
                <w:sz w:val="24"/>
              </w:rPr>
              <w:t>10</w:t>
            </w:r>
          </w:p>
        </w:tc>
        <w:tc>
          <w:tcPr>
            <w:tcW w:w="1225" w:type="dxa"/>
          </w:tcPr>
          <w:p>
            <w:pPr>
              <w:pStyle w:val="32"/>
              <w:spacing w:before="4"/>
              <w:ind w:left="105"/>
              <w:rPr>
                <w:sz w:val="24"/>
              </w:rPr>
            </w:pPr>
            <w:r>
              <w:rPr>
                <w:sz w:val="24"/>
              </w:rPr>
              <w:t>其中：</w:t>
            </w:r>
          </w:p>
          <w:p>
            <w:pPr>
              <w:pStyle w:val="32"/>
              <w:spacing w:before="12" w:line="297" w:lineRule="exact"/>
              <w:ind w:left="105"/>
              <w:rPr>
                <w:sz w:val="24"/>
              </w:rPr>
            </w:pPr>
            <w:r>
              <w:rPr>
                <w:sz w:val="24"/>
              </w:rPr>
              <w:t>财政拨款</w:t>
            </w:r>
          </w:p>
        </w:tc>
        <w:tc>
          <w:tcPr>
            <w:tcW w:w="2411" w:type="dxa"/>
          </w:tcPr>
          <w:p>
            <w:pPr>
              <w:pStyle w:val="32"/>
              <w:spacing w:before="165"/>
              <w:ind w:left="104"/>
              <w:rPr>
                <w:sz w:val="24"/>
              </w:rPr>
            </w:pPr>
            <w:r>
              <w:rPr>
                <w:rFonts w:hint="eastAsia"/>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121" w:type="dxa"/>
            <w:gridSpan w:val="2"/>
            <w:vMerge w:val="continue"/>
            <w:tcBorders>
              <w:top w:val="nil"/>
            </w:tcBorders>
          </w:tcPr>
          <w:p>
            <w:pPr>
              <w:rPr>
                <w:sz w:val="2"/>
                <w:szCs w:val="2"/>
              </w:rPr>
            </w:pPr>
          </w:p>
        </w:tc>
        <w:tc>
          <w:tcPr>
            <w:tcW w:w="1635" w:type="dxa"/>
          </w:tcPr>
          <w:p>
            <w:pPr>
              <w:pStyle w:val="32"/>
              <w:spacing w:before="14" w:line="306" w:lineRule="exact"/>
              <w:ind w:left="104"/>
              <w:rPr>
                <w:sz w:val="24"/>
              </w:rPr>
            </w:pPr>
            <w:r>
              <w:rPr>
                <w:sz w:val="24"/>
              </w:rPr>
              <w:t>其他资金</w:t>
            </w:r>
          </w:p>
        </w:tc>
        <w:tc>
          <w:tcPr>
            <w:tcW w:w="1189" w:type="dxa"/>
          </w:tcPr>
          <w:p>
            <w:pPr>
              <w:pStyle w:val="32"/>
              <w:spacing w:before="14" w:line="306" w:lineRule="exact"/>
              <w:ind w:left="103"/>
              <w:rPr>
                <w:sz w:val="24"/>
              </w:rPr>
            </w:pPr>
            <w:r>
              <w:rPr>
                <w:sz w:val="24"/>
              </w:rPr>
              <w:t>0</w:t>
            </w:r>
          </w:p>
        </w:tc>
        <w:tc>
          <w:tcPr>
            <w:tcW w:w="1225" w:type="dxa"/>
          </w:tcPr>
          <w:p>
            <w:pPr>
              <w:pStyle w:val="32"/>
              <w:spacing w:before="14" w:line="306" w:lineRule="exact"/>
              <w:ind w:left="105"/>
              <w:rPr>
                <w:sz w:val="24"/>
              </w:rPr>
            </w:pPr>
            <w:r>
              <w:rPr>
                <w:sz w:val="24"/>
              </w:rPr>
              <w:t>其他资金</w:t>
            </w:r>
          </w:p>
        </w:tc>
        <w:tc>
          <w:tcPr>
            <w:tcW w:w="2411" w:type="dxa"/>
          </w:tcPr>
          <w:p>
            <w:pPr>
              <w:pStyle w:val="32"/>
              <w:spacing w:before="14" w:line="306" w:lineRule="exact"/>
              <w:ind w:right="1"/>
              <w:jc w:val="center"/>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978" w:type="dxa"/>
            <w:vMerge w:val="restart"/>
          </w:tcPr>
          <w:p>
            <w:pPr>
              <w:pStyle w:val="32"/>
              <w:spacing w:before="3"/>
              <w:rPr>
                <w:b/>
                <w:sz w:val="19"/>
              </w:rPr>
            </w:pPr>
          </w:p>
          <w:p>
            <w:pPr>
              <w:pStyle w:val="32"/>
              <w:spacing w:line="252" w:lineRule="auto"/>
              <w:ind w:left="508" w:right="257" w:hanging="240"/>
              <w:rPr>
                <w:sz w:val="24"/>
              </w:rPr>
            </w:pPr>
            <w:r>
              <w:rPr>
                <w:sz w:val="24"/>
              </w:rPr>
              <w:t>年度总体目标完成情况</w:t>
            </w:r>
          </w:p>
        </w:tc>
        <w:tc>
          <w:tcPr>
            <w:tcW w:w="3967" w:type="dxa"/>
            <w:gridSpan w:val="3"/>
          </w:tcPr>
          <w:p>
            <w:pPr>
              <w:pStyle w:val="32"/>
              <w:spacing w:before="4" w:line="294" w:lineRule="exact"/>
              <w:ind w:left="1479" w:right="1478"/>
              <w:jc w:val="center"/>
              <w:rPr>
                <w:sz w:val="24"/>
              </w:rPr>
            </w:pPr>
            <w:r>
              <w:rPr>
                <w:sz w:val="24"/>
              </w:rPr>
              <w:t>预期目标</w:t>
            </w:r>
          </w:p>
        </w:tc>
        <w:tc>
          <w:tcPr>
            <w:tcW w:w="3636" w:type="dxa"/>
            <w:gridSpan w:val="2"/>
          </w:tcPr>
          <w:p>
            <w:pPr>
              <w:pStyle w:val="32"/>
              <w:spacing w:before="4" w:line="294" w:lineRule="exact"/>
              <w:ind w:left="851"/>
              <w:rPr>
                <w:sz w:val="24"/>
              </w:rPr>
            </w:pPr>
            <w:r>
              <w:rPr>
                <w:sz w:val="24"/>
              </w:rPr>
              <w:t>目标实际完成情况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3" w:hRule="atLeast"/>
        </w:trPr>
        <w:tc>
          <w:tcPr>
            <w:tcW w:w="1978" w:type="dxa"/>
            <w:vMerge w:val="continue"/>
            <w:tcBorders>
              <w:top w:val="nil"/>
            </w:tcBorders>
          </w:tcPr>
          <w:p>
            <w:pPr>
              <w:rPr>
                <w:sz w:val="2"/>
                <w:szCs w:val="2"/>
              </w:rPr>
            </w:pPr>
          </w:p>
        </w:tc>
        <w:tc>
          <w:tcPr>
            <w:tcW w:w="3967" w:type="dxa"/>
            <w:gridSpan w:val="3"/>
          </w:tcPr>
          <w:p>
            <w:pPr>
              <w:pStyle w:val="32"/>
              <w:spacing w:before="31" w:line="249" w:lineRule="auto"/>
              <w:ind w:left="105" w:right="98"/>
              <w:rPr>
                <w:sz w:val="24"/>
              </w:rPr>
            </w:pPr>
            <w:r>
              <w:rPr>
                <w:spacing w:val="-7"/>
                <w:sz w:val="24"/>
              </w:rPr>
              <w:t>保障场镇及周边的优美环境，清运垃圾。</w:t>
            </w:r>
          </w:p>
        </w:tc>
        <w:tc>
          <w:tcPr>
            <w:tcW w:w="3636" w:type="dxa"/>
            <w:gridSpan w:val="2"/>
          </w:tcPr>
          <w:p>
            <w:pPr>
              <w:pStyle w:val="32"/>
              <w:spacing w:before="31" w:line="249" w:lineRule="auto"/>
              <w:ind w:left="105" w:right="158"/>
              <w:rPr>
                <w:sz w:val="24"/>
              </w:rPr>
            </w:pPr>
            <w:r>
              <w:rPr>
                <w:sz w:val="24"/>
              </w:rPr>
              <w:t>做到场镇及周边的优美环境，清运垃圾及时到位。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1978" w:type="dxa"/>
            <w:vMerge w:val="restart"/>
          </w:tcPr>
          <w:p>
            <w:pPr>
              <w:pStyle w:val="32"/>
              <w:rPr>
                <w:b/>
                <w:sz w:val="28"/>
              </w:rPr>
            </w:pPr>
          </w:p>
          <w:p>
            <w:pPr>
              <w:pStyle w:val="32"/>
              <w:rPr>
                <w:b/>
                <w:sz w:val="28"/>
              </w:rPr>
            </w:pPr>
          </w:p>
          <w:p>
            <w:pPr>
              <w:pStyle w:val="32"/>
              <w:rPr>
                <w:b/>
                <w:sz w:val="28"/>
              </w:rPr>
            </w:pPr>
          </w:p>
          <w:p>
            <w:pPr>
              <w:pStyle w:val="32"/>
              <w:rPr>
                <w:b/>
                <w:sz w:val="28"/>
              </w:rPr>
            </w:pPr>
          </w:p>
          <w:p>
            <w:pPr>
              <w:pStyle w:val="32"/>
              <w:rPr>
                <w:b/>
                <w:sz w:val="28"/>
              </w:rPr>
            </w:pPr>
          </w:p>
          <w:p>
            <w:pPr>
              <w:pStyle w:val="32"/>
              <w:rPr>
                <w:b/>
                <w:sz w:val="28"/>
              </w:rPr>
            </w:pPr>
          </w:p>
          <w:p>
            <w:pPr>
              <w:pStyle w:val="32"/>
              <w:rPr>
                <w:b/>
                <w:sz w:val="28"/>
              </w:rPr>
            </w:pPr>
          </w:p>
          <w:p>
            <w:pPr>
              <w:pStyle w:val="32"/>
              <w:rPr>
                <w:b/>
                <w:sz w:val="28"/>
              </w:rPr>
            </w:pPr>
          </w:p>
          <w:p>
            <w:pPr>
              <w:pStyle w:val="32"/>
              <w:rPr>
                <w:b/>
                <w:sz w:val="28"/>
              </w:rPr>
            </w:pPr>
          </w:p>
          <w:p>
            <w:pPr>
              <w:pStyle w:val="32"/>
              <w:rPr>
                <w:b/>
                <w:sz w:val="28"/>
              </w:rPr>
            </w:pPr>
          </w:p>
          <w:p>
            <w:pPr>
              <w:pStyle w:val="32"/>
              <w:rPr>
                <w:b/>
                <w:sz w:val="28"/>
              </w:rPr>
            </w:pPr>
          </w:p>
          <w:p>
            <w:pPr>
              <w:pStyle w:val="32"/>
              <w:rPr>
                <w:b/>
                <w:sz w:val="23"/>
              </w:rPr>
            </w:pPr>
          </w:p>
          <w:p>
            <w:pPr>
              <w:pStyle w:val="32"/>
              <w:spacing w:line="213" w:lineRule="auto"/>
              <w:ind w:left="427" w:right="137" w:hanging="279"/>
              <w:rPr>
                <w:rFonts w:ascii="仿宋" w:eastAsia="仿宋"/>
                <w:sz w:val="28"/>
              </w:rPr>
            </w:pPr>
            <w:r>
              <w:rPr>
                <w:rFonts w:hint="eastAsia" w:ascii="仿宋" w:eastAsia="仿宋"/>
                <w:sz w:val="28"/>
              </w:rPr>
              <w:t>年度绩效指标完成情况</w:t>
            </w:r>
          </w:p>
        </w:tc>
        <w:tc>
          <w:tcPr>
            <w:tcW w:w="1143" w:type="dxa"/>
          </w:tcPr>
          <w:p>
            <w:pPr>
              <w:pStyle w:val="32"/>
              <w:spacing w:before="29" w:line="320" w:lineRule="exact"/>
              <w:ind w:left="287" w:right="281"/>
              <w:rPr>
                <w:rFonts w:ascii="仿宋" w:eastAsia="仿宋"/>
                <w:sz w:val="28"/>
              </w:rPr>
            </w:pPr>
            <w:r>
              <w:rPr>
                <w:rFonts w:hint="eastAsia" w:ascii="仿宋" w:eastAsia="仿宋"/>
                <w:sz w:val="28"/>
              </w:rPr>
              <w:t>一级指标</w:t>
            </w:r>
          </w:p>
        </w:tc>
        <w:tc>
          <w:tcPr>
            <w:tcW w:w="1635" w:type="dxa"/>
          </w:tcPr>
          <w:p>
            <w:pPr>
              <w:pStyle w:val="32"/>
              <w:spacing w:before="29" w:line="320" w:lineRule="exact"/>
              <w:ind w:left="533" w:right="527"/>
              <w:rPr>
                <w:rFonts w:ascii="仿宋" w:eastAsia="仿宋"/>
                <w:sz w:val="28"/>
              </w:rPr>
            </w:pPr>
            <w:r>
              <w:rPr>
                <w:rFonts w:hint="eastAsia" w:ascii="仿宋" w:eastAsia="仿宋"/>
                <w:sz w:val="28"/>
              </w:rPr>
              <w:t>二级指标</w:t>
            </w:r>
          </w:p>
        </w:tc>
        <w:tc>
          <w:tcPr>
            <w:tcW w:w="1189" w:type="dxa"/>
          </w:tcPr>
          <w:p>
            <w:pPr>
              <w:pStyle w:val="32"/>
              <w:spacing w:before="29" w:line="320" w:lineRule="exact"/>
              <w:ind w:left="310" w:right="306"/>
              <w:rPr>
                <w:rFonts w:ascii="仿宋" w:eastAsia="仿宋"/>
                <w:sz w:val="28"/>
              </w:rPr>
            </w:pPr>
            <w:r>
              <w:rPr>
                <w:rFonts w:hint="eastAsia" w:ascii="仿宋" w:eastAsia="仿宋"/>
                <w:sz w:val="28"/>
              </w:rPr>
              <w:t>三级指标</w:t>
            </w:r>
          </w:p>
        </w:tc>
        <w:tc>
          <w:tcPr>
            <w:tcW w:w="1225" w:type="dxa"/>
          </w:tcPr>
          <w:p>
            <w:pPr>
              <w:pStyle w:val="32"/>
              <w:spacing w:before="29" w:line="320" w:lineRule="exact"/>
              <w:ind w:left="328" w:right="183" w:hanging="140"/>
              <w:rPr>
                <w:rFonts w:ascii="仿宋" w:eastAsia="仿宋"/>
                <w:sz w:val="28"/>
              </w:rPr>
            </w:pPr>
            <w:r>
              <w:rPr>
                <w:rFonts w:hint="eastAsia" w:ascii="仿宋" w:eastAsia="仿宋"/>
                <w:sz w:val="28"/>
              </w:rPr>
              <w:t>预期指标值</w:t>
            </w:r>
          </w:p>
        </w:tc>
        <w:tc>
          <w:tcPr>
            <w:tcW w:w="2411" w:type="dxa"/>
          </w:tcPr>
          <w:p>
            <w:pPr>
              <w:pStyle w:val="32"/>
              <w:spacing w:before="166"/>
              <w:ind w:left="219"/>
              <w:rPr>
                <w:rFonts w:ascii="仿宋" w:eastAsia="仿宋"/>
                <w:sz w:val="28"/>
              </w:rPr>
            </w:pPr>
            <w:r>
              <w:rPr>
                <w:rFonts w:hint="eastAsia" w:ascii="仿宋" w:eastAsia="仿宋"/>
                <w:sz w:val="28"/>
              </w:rPr>
              <w:t>实际完成指标值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trPr>
        <w:tc>
          <w:tcPr>
            <w:tcW w:w="1978" w:type="dxa"/>
            <w:vMerge w:val="continue"/>
            <w:tcBorders>
              <w:top w:val="nil"/>
            </w:tcBorders>
          </w:tcPr>
          <w:p>
            <w:pPr>
              <w:rPr>
                <w:sz w:val="2"/>
                <w:szCs w:val="2"/>
              </w:rPr>
            </w:pPr>
          </w:p>
        </w:tc>
        <w:tc>
          <w:tcPr>
            <w:tcW w:w="1143" w:type="dxa"/>
            <w:vMerge w:val="restart"/>
          </w:tcPr>
          <w:p>
            <w:pPr>
              <w:pStyle w:val="32"/>
              <w:rPr>
                <w:b/>
                <w:sz w:val="28"/>
              </w:rPr>
            </w:pPr>
          </w:p>
          <w:p>
            <w:pPr>
              <w:pStyle w:val="32"/>
              <w:rPr>
                <w:b/>
                <w:sz w:val="28"/>
              </w:rPr>
            </w:pPr>
          </w:p>
          <w:p>
            <w:pPr>
              <w:pStyle w:val="32"/>
              <w:rPr>
                <w:b/>
                <w:sz w:val="28"/>
              </w:rPr>
            </w:pPr>
          </w:p>
          <w:p>
            <w:pPr>
              <w:pStyle w:val="32"/>
              <w:spacing w:before="8"/>
              <w:rPr>
                <w:b/>
                <w:sz w:val="27"/>
              </w:rPr>
            </w:pPr>
          </w:p>
          <w:p>
            <w:pPr>
              <w:pStyle w:val="32"/>
              <w:spacing w:line="213" w:lineRule="auto"/>
              <w:ind w:left="287" w:right="281"/>
              <w:rPr>
                <w:rFonts w:ascii="仿宋" w:eastAsia="仿宋"/>
                <w:sz w:val="28"/>
              </w:rPr>
            </w:pPr>
            <w:r>
              <w:rPr>
                <w:rFonts w:hint="eastAsia" w:ascii="仿宋" w:eastAsia="仿宋"/>
                <w:sz w:val="28"/>
              </w:rPr>
              <w:t>完成指标</w:t>
            </w:r>
          </w:p>
        </w:tc>
        <w:tc>
          <w:tcPr>
            <w:tcW w:w="1635" w:type="dxa"/>
          </w:tcPr>
          <w:p>
            <w:pPr>
              <w:pStyle w:val="32"/>
              <w:spacing w:before="2"/>
              <w:rPr>
                <w:b/>
                <w:sz w:val="33"/>
              </w:rPr>
            </w:pPr>
          </w:p>
          <w:p>
            <w:pPr>
              <w:pStyle w:val="32"/>
              <w:ind w:right="248"/>
              <w:jc w:val="right"/>
              <w:rPr>
                <w:rFonts w:ascii="仿宋" w:eastAsia="仿宋"/>
                <w:sz w:val="28"/>
              </w:rPr>
            </w:pPr>
            <w:r>
              <w:rPr>
                <w:rFonts w:hint="eastAsia" w:ascii="仿宋" w:eastAsia="仿宋"/>
                <w:sz w:val="28"/>
              </w:rPr>
              <w:t>数量指标</w:t>
            </w:r>
          </w:p>
        </w:tc>
        <w:tc>
          <w:tcPr>
            <w:tcW w:w="1189" w:type="dxa"/>
          </w:tcPr>
          <w:p>
            <w:pPr>
              <w:pStyle w:val="32"/>
              <w:spacing w:line="284" w:lineRule="exact"/>
              <w:ind w:left="171"/>
              <w:rPr>
                <w:rFonts w:ascii="仿宋" w:eastAsia="仿宋"/>
                <w:sz w:val="28"/>
              </w:rPr>
            </w:pPr>
            <w:r>
              <w:rPr>
                <w:rFonts w:hint="eastAsia" w:ascii="仿宋" w:eastAsia="仿宋"/>
                <w:sz w:val="28"/>
              </w:rPr>
              <w:t>场镇及</w:t>
            </w:r>
          </w:p>
          <w:p>
            <w:pPr>
              <w:pStyle w:val="32"/>
              <w:spacing w:before="11" w:line="213" w:lineRule="auto"/>
              <w:ind w:left="171" w:right="165"/>
              <w:rPr>
                <w:rFonts w:ascii="仿宋" w:eastAsia="仿宋"/>
                <w:sz w:val="28"/>
              </w:rPr>
            </w:pPr>
            <w:r>
              <w:rPr>
                <w:rFonts w:hint="eastAsia" w:ascii="仿宋" w:eastAsia="仿宋"/>
                <w:sz w:val="28"/>
              </w:rPr>
              <w:t>周边垃圾清运</w:t>
            </w:r>
          </w:p>
          <w:p>
            <w:pPr>
              <w:pStyle w:val="32"/>
              <w:spacing w:line="325" w:lineRule="exact"/>
              <w:ind w:left="171"/>
              <w:rPr>
                <w:rFonts w:ascii="仿宋" w:eastAsia="仿宋"/>
                <w:sz w:val="28"/>
              </w:rPr>
            </w:pPr>
            <w:r>
              <w:rPr>
                <w:rFonts w:hint="eastAsia" w:ascii="仿宋" w:eastAsia="仿宋"/>
                <w:sz w:val="28"/>
              </w:rPr>
              <w:t>（车）</w:t>
            </w:r>
          </w:p>
        </w:tc>
        <w:tc>
          <w:tcPr>
            <w:tcW w:w="1225" w:type="dxa"/>
          </w:tcPr>
          <w:p>
            <w:pPr>
              <w:pStyle w:val="32"/>
              <w:spacing w:before="2"/>
              <w:rPr>
                <w:b/>
                <w:sz w:val="33"/>
              </w:rPr>
            </w:pPr>
          </w:p>
          <w:p>
            <w:pPr>
              <w:pStyle w:val="32"/>
              <w:ind w:left="328"/>
              <w:rPr>
                <w:rFonts w:ascii="仿宋" w:hAnsi="仿宋"/>
                <w:sz w:val="28"/>
              </w:rPr>
            </w:pPr>
            <w:r>
              <w:rPr>
                <w:rFonts w:ascii="仿宋" w:hAnsi="仿宋"/>
                <w:sz w:val="28"/>
              </w:rPr>
              <w:t>≥</w:t>
            </w:r>
            <w:r>
              <w:rPr>
                <w:rFonts w:hint="eastAsia" w:ascii="仿宋" w:hAnsi="仿宋"/>
                <w:sz w:val="28"/>
              </w:rPr>
              <w:t>430</w:t>
            </w:r>
          </w:p>
        </w:tc>
        <w:tc>
          <w:tcPr>
            <w:tcW w:w="2411" w:type="dxa"/>
          </w:tcPr>
          <w:p>
            <w:pPr>
              <w:pStyle w:val="32"/>
              <w:spacing w:before="2"/>
              <w:rPr>
                <w:b/>
                <w:sz w:val="33"/>
              </w:rPr>
            </w:pPr>
          </w:p>
          <w:p>
            <w:pPr>
              <w:pStyle w:val="32"/>
              <w:ind w:left="100" w:right="100"/>
              <w:jc w:val="center"/>
              <w:rPr>
                <w:rFonts w:ascii="仿宋" w:hAnsi="仿宋"/>
                <w:sz w:val="28"/>
              </w:rPr>
            </w:pPr>
            <w:r>
              <w:rPr>
                <w:rFonts w:ascii="仿宋" w:hAnsi="仿宋"/>
                <w:sz w:val="28"/>
              </w:rPr>
              <w:t>≥</w:t>
            </w:r>
            <w:r>
              <w:rPr>
                <w:rFonts w:hint="eastAsia" w:ascii="仿宋" w:hAnsi="仿宋"/>
                <w:sz w:val="28"/>
              </w:rPr>
              <w:t>430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1978" w:type="dxa"/>
            <w:vMerge w:val="continue"/>
            <w:tcBorders>
              <w:top w:val="nil"/>
            </w:tcBorders>
          </w:tcPr>
          <w:p>
            <w:pPr>
              <w:rPr>
                <w:sz w:val="2"/>
                <w:szCs w:val="2"/>
              </w:rPr>
            </w:pPr>
          </w:p>
        </w:tc>
        <w:tc>
          <w:tcPr>
            <w:tcW w:w="1143" w:type="dxa"/>
            <w:vMerge w:val="continue"/>
            <w:tcBorders>
              <w:top w:val="nil"/>
            </w:tcBorders>
          </w:tcPr>
          <w:p>
            <w:pPr>
              <w:rPr>
                <w:sz w:val="2"/>
                <w:szCs w:val="2"/>
              </w:rPr>
            </w:pPr>
          </w:p>
        </w:tc>
        <w:tc>
          <w:tcPr>
            <w:tcW w:w="1635" w:type="dxa"/>
          </w:tcPr>
          <w:p>
            <w:pPr>
              <w:pStyle w:val="32"/>
              <w:spacing w:before="106"/>
              <w:ind w:right="248"/>
              <w:jc w:val="right"/>
              <w:rPr>
                <w:rFonts w:ascii="仿宋" w:eastAsia="仿宋"/>
                <w:sz w:val="28"/>
              </w:rPr>
            </w:pPr>
            <w:r>
              <w:rPr>
                <w:rFonts w:hint="eastAsia" w:ascii="仿宋" w:eastAsia="仿宋"/>
                <w:sz w:val="28"/>
              </w:rPr>
              <w:t>质量指标</w:t>
            </w:r>
          </w:p>
        </w:tc>
        <w:tc>
          <w:tcPr>
            <w:tcW w:w="1189" w:type="dxa"/>
          </w:tcPr>
          <w:p>
            <w:pPr>
              <w:pStyle w:val="32"/>
              <w:spacing w:line="286" w:lineRule="exact"/>
              <w:ind w:left="171"/>
              <w:rPr>
                <w:rFonts w:ascii="仿宋" w:eastAsia="仿宋"/>
                <w:sz w:val="28"/>
              </w:rPr>
            </w:pPr>
            <w:r>
              <w:rPr>
                <w:rFonts w:hint="eastAsia" w:ascii="仿宋" w:eastAsia="仿宋"/>
                <w:sz w:val="28"/>
              </w:rPr>
              <w:t>环境卫</w:t>
            </w:r>
          </w:p>
          <w:p>
            <w:pPr>
              <w:pStyle w:val="32"/>
              <w:spacing w:line="335" w:lineRule="exact"/>
              <w:ind w:left="171"/>
              <w:rPr>
                <w:rFonts w:ascii="仿宋" w:eastAsia="仿宋"/>
                <w:sz w:val="28"/>
              </w:rPr>
            </w:pPr>
            <w:r>
              <w:rPr>
                <w:rFonts w:hint="eastAsia" w:ascii="仿宋" w:eastAsia="仿宋"/>
                <w:sz w:val="28"/>
              </w:rPr>
              <w:t>生质量</w:t>
            </w:r>
          </w:p>
        </w:tc>
        <w:tc>
          <w:tcPr>
            <w:tcW w:w="1225" w:type="dxa"/>
          </w:tcPr>
          <w:p>
            <w:pPr>
              <w:pStyle w:val="32"/>
              <w:spacing w:before="106"/>
              <w:ind w:left="1"/>
              <w:jc w:val="center"/>
              <w:rPr>
                <w:rFonts w:ascii="仿宋" w:eastAsia="仿宋"/>
                <w:sz w:val="28"/>
              </w:rPr>
            </w:pPr>
            <w:r>
              <w:rPr>
                <w:rFonts w:hint="eastAsia" w:ascii="仿宋" w:eastAsia="仿宋"/>
                <w:sz w:val="28"/>
              </w:rPr>
              <w:t>优</w:t>
            </w:r>
          </w:p>
        </w:tc>
        <w:tc>
          <w:tcPr>
            <w:tcW w:w="2411" w:type="dxa"/>
          </w:tcPr>
          <w:p>
            <w:pPr>
              <w:pStyle w:val="32"/>
              <w:spacing w:before="106"/>
              <w:ind w:right="1"/>
              <w:jc w:val="center"/>
              <w:rPr>
                <w:rFonts w:ascii="仿宋" w:eastAsia="仿宋"/>
                <w:sz w:val="28"/>
              </w:rPr>
            </w:pPr>
            <w:r>
              <w:rPr>
                <w:rFonts w:hint="eastAsia" w:ascii="仿宋" w:eastAsia="仿宋"/>
                <w:sz w:val="28"/>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1978" w:type="dxa"/>
            <w:vMerge w:val="continue"/>
            <w:tcBorders>
              <w:top w:val="nil"/>
            </w:tcBorders>
          </w:tcPr>
          <w:p>
            <w:pPr>
              <w:rPr>
                <w:sz w:val="2"/>
                <w:szCs w:val="2"/>
              </w:rPr>
            </w:pPr>
          </w:p>
        </w:tc>
        <w:tc>
          <w:tcPr>
            <w:tcW w:w="1143" w:type="dxa"/>
            <w:vMerge w:val="continue"/>
            <w:tcBorders>
              <w:top w:val="nil"/>
            </w:tcBorders>
          </w:tcPr>
          <w:p>
            <w:pPr>
              <w:rPr>
                <w:sz w:val="2"/>
                <w:szCs w:val="2"/>
              </w:rPr>
            </w:pPr>
          </w:p>
        </w:tc>
        <w:tc>
          <w:tcPr>
            <w:tcW w:w="1635" w:type="dxa"/>
          </w:tcPr>
          <w:p>
            <w:pPr>
              <w:pStyle w:val="32"/>
              <w:spacing w:before="106"/>
              <w:ind w:right="248"/>
              <w:jc w:val="right"/>
              <w:rPr>
                <w:rFonts w:ascii="仿宋" w:eastAsia="仿宋"/>
                <w:sz w:val="28"/>
              </w:rPr>
            </w:pPr>
            <w:r>
              <w:rPr>
                <w:rFonts w:hint="eastAsia" w:ascii="仿宋" w:eastAsia="仿宋"/>
                <w:sz w:val="28"/>
              </w:rPr>
              <w:t>时效指标</w:t>
            </w:r>
          </w:p>
        </w:tc>
        <w:tc>
          <w:tcPr>
            <w:tcW w:w="1189" w:type="dxa"/>
          </w:tcPr>
          <w:p>
            <w:pPr>
              <w:pStyle w:val="32"/>
              <w:spacing w:line="284" w:lineRule="exact"/>
              <w:ind w:left="171"/>
              <w:rPr>
                <w:rFonts w:ascii="仿宋" w:eastAsia="仿宋"/>
                <w:sz w:val="28"/>
              </w:rPr>
            </w:pPr>
            <w:r>
              <w:rPr>
                <w:rFonts w:hint="eastAsia" w:ascii="仿宋" w:eastAsia="仿宋"/>
                <w:sz w:val="28"/>
              </w:rPr>
              <w:t>项目成</w:t>
            </w:r>
          </w:p>
          <w:p>
            <w:pPr>
              <w:pStyle w:val="32"/>
              <w:spacing w:line="336" w:lineRule="exact"/>
              <w:ind w:left="171"/>
              <w:rPr>
                <w:rFonts w:ascii="仿宋" w:eastAsia="仿宋"/>
                <w:sz w:val="28"/>
              </w:rPr>
            </w:pPr>
            <w:r>
              <w:rPr>
                <w:rFonts w:hint="eastAsia" w:ascii="仿宋" w:eastAsia="仿宋"/>
                <w:sz w:val="28"/>
              </w:rPr>
              <w:t>果时效</w:t>
            </w:r>
          </w:p>
        </w:tc>
        <w:tc>
          <w:tcPr>
            <w:tcW w:w="1225" w:type="dxa"/>
          </w:tcPr>
          <w:p>
            <w:pPr>
              <w:pStyle w:val="32"/>
              <w:spacing w:line="284" w:lineRule="exact"/>
              <w:ind w:left="99" w:right="96"/>
              <w:jc w:val="center"/>
              <w:rPr>
                <w:rFonts w:ascii="仿宋" w:eastAsia="仿宋"/>
                <w:sz w:val="28"/>
              </w:rPr>
            </w:pPr>
            <w:r>
              <w:rPr>
                <w:rFonts w:hint="eastAsia" w:ascii="仿宋" w:eastAsia="仿宋"/>
                <w:sz w:val="28"/>
              </w:rPr>
              <w:t>2022 年</w:t>
            </w:r>
          </w:p>
          <w:p>
            <w:pPr>
              <w:pStyle w:val="32"/>
              <w:spacing w:line="336" w:lineRule="exact"/>
              <w:ind w:left="1"/>
              <w:jc w:val="center"/>
              <w:rPr>
                <w:rFonts w:ascii="仿宋" w:eastAsia="仿宋"/>
                <w:sz w:val="28"/>
              </w:rPr>
            </w:pPr>
            <w:r>
              <w:rPr>
                <w:rFonts w:hint="eastAsia" w:ascii="仿宋" w:eastAsia="仿宋"/>
                <w:sz w:val="28"/>
              </w:rPr>
              <w:t>度</w:t>
            </w:r>
          </w:p>
        </w:tc>
        <w:tc>
          <w:tcPr>
            <w:tcW w:w="2411" w:type="dxa"/>
          </w:tcPr>
          <w:p>
            <w:pPr>
              <w:pStyle w:val="32"/>
              <w:spacing w:before="106"/>
              <w:ind w:left="603"/>
              <w:rPr>
                <w:rFonts w:ascii="仿宋" w:eastAsia="仿宋"/>
                <w:sz w:val="28"/>
              </w:rPr>
            </w:pPr>
            <w:r>
              <w:rPr>
                <w:rFonts w:hint="eastAsia" w:ascii="仿宋" w:eastAsia="仿宋"/>
                <w:sz w:val="28"/>
              </w:rPr>
              <w:t>2022 年度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1978" w:type="dxa"/>
            <w:vMerge w:val="continue"/>
            <w:tcBorders>
              <w:top w:val="nil"/>
            </w:tcBorders>
          </w:tcPr>
          <w:p>
            <w:pPr>
              <w:rPr>
                <w:sz w:val="2"/>
                <w:szCs w:val="2"/>
              </w:rPr>
            </w:pPr>
          </w:p>
        </w:tc>
        <w:tc>
          <w:tcPr>
            <w:tcW w:w="1143" w:type="dxa"/>
            <w:vMerge w:val="continue"/>
            <w:tcBorders>
              <w:top w:val="nil"/>
            </w:tcBorders>
          </w:tcPr>
          <w:p>
            <w:pPr>
              <w:rPr>
                <w:sz w:val="2"/>
                <w:szCs w:val="2"/>
              </w:rPr>
            </w:pPr>
          </w:p>
        </w:tc>
        <w:tc>
          <w:tcPr>
            <w:tcW w:w="1635" w:type="dxa"/>
          </w:tcPr>
          <w:p>
            <w:pPr>
              <w:pStyle w:val="32"/>
              <w:spacing w:before="8"/>
              <w:rPr>
                <w:b/>
                <w:sz w:val="20"/>
              </w:rPr>
            </w:pPr>
          </w:p>
          <w:p>
            <w:pPr>
              <w:pStyle w:val="32"/>
              <w:ind w:right="248"/>
              <w:jc w:val="right"/>
              <w:rPr>
                <w:rFonts w:ascii="仿宋" w:eastAsia="仿宋"/>
                <w:sz w:val="28"/>
              </w:rPr>
            </w:pPr>
            <w:r>
              <w:rPr>
                <w:rFonts w:hint="eastAsia" w:ascii="仿宋" w:eastAsia="仿宋"/>
                <w:sz w:val="28"/>
              </w:rPr>
              <w:t>成本指标</w:t>
            </w:r>
          </w:p>
        </w:tc>
        <w:tc>
          <w:tcPr>
            <w:tcW w:w="1189" w:type="dxa"/>
          </w:tcPr>
          <w:p>
            <w:pPr>
              <w:pStyle w:val="32"/>
              <w:spacing w:line="284" w:lineRule="exact"/>
              <w:ind w:left="171"/>
              <w:rPr>
                <w:rFonts w:ascii="仿宋" w:eastAsia="仿宋"/>
                <w:sz w:val="28"/>
              </w:rPr>
            </w:pPr>
            <w:r>
              <w:rPr>
                <w:rFonts w:hint="eastAsia" w:ascii="仿宋" w:eastAsia="仿宋"/>
                <w:sz w:val="28"/>
              </w:rPr>
              <w:t>转运成</w:t>
            </w:r>
          </w:p>
          <w:p>
            <w:pPr>
              <w:pStyle w:val="32"/>
              <w:spacing w:before="8" w:line="216" w:lineRule="auto"/>
              <w:ind w:left="310" w:right="57" w:hanging="207"/>
              <w:rPr>
                <w:rFonts w:ascii="仿宋" w:eastAsia="仿宋"/>
                <w:sz w:val="28"/>
              </w:rPr>
            </w:pPr>
            <w:r>
              <w:rPr>
                <w:rFonts w:hint="eastAsia" w:ascii="仿宋" w:eastAsia="仿宋"/>
                <w:sz w:val="28"/>
              </w:rPr>
              <w:t>本（元/ 车）</w:t>
            </w:r>
          </w:p>
        </w:tc>
        <w:tc>
          <w:tcPr>
            <w:tcW w:w="1225" w:type="dxa"/>
          </w:tcPr>
          <w:p>
            <w:pPr>
              <w:pStyle w:val="32"/>
              <w:spacing w:before="8"/>
              <w:rPr>
                <w:b/>
                <w:sz w:val="20"/>
              </w:rPr>
            </w:pPr>
          </w:p>
          <w:p>
            <w:pPr>
              <w:pStyle w:val="32"/>
              <w:ind w:left="258"/>
              <w:rPr>
                <w:rFonts w:ascii="仿宋" w:hAnsi="仿宋"/>
                <w:sz w:val="28"/>
              </w:rPr>
            </w:pPr>
            <w:r>
              <w:rPr>
                <w:rFonts w:ascii="仿宋" w:hAnsi="仿宋"/>
                <w:sz w:val="28"/>
              </w:rPr>
              <w:t>≤</w:t>
            </w:r>
            <w:r>
              <w:rPr>
                <w:rFonts w:hint="eastAsia" w:ascii="仿宋" w:hAnsi="仿宋"/>
                <w:sz w:val="28"/>
              </w:rPr>
              <w:t>300</w:t>
            </w:r>
          </w:p>
        </w:tc>
        <w:tc>
          <w:tcPr>
            <w:tcW w:w="2411" w:type="dxa"/>
          </w:tcPr>
          <w:p>
            <w:pPr>
              <w:pStyle w:val="32"/>
              <w:spacing w:before="8"/>
              <w:rPr>
                <w:b/>
                <w:sz w:val="20"/>
              </w:rPr>
            </w:pPr>
          </w:p>
          <w:p>
            <w:pPr>
              <w:pStyle w:val="32"/>
              <w:ind w:left="100" w:right="100"/>
              <w:jc w:val="center"/>
              <w:rPr>
                <w:rFonts w:ascii="仿宋" w:hAnsi="仿宋"/>
                <w:sz w:val="28"/>
              </w:rPr>
            </w:pPr>
            <w:r>
              <w:rPr>
                <w:rFonts w:ascii="仿宋" w:hAnsi="仿宋"/>
                <w:sz w:val="28"/>
              </w:rPr>
              <w:t>≤</w:t>
            </w:r>
            <w:r>
              <w:rPr>
                <w:rFonts w:hint="eastAsia" w:ascii="仿宋" w:hAnsi="仿宋"/>
                <w:sz w:val="28"/>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1978" w:type="dxa"/>
            <w:vMerge w:val="continue"/>
            <w:tcBorders>
              <w:top w:val="nil"/>
            </w:tcBorders>
          </w:tcPr>
          <w:p>
            <w:pPr>
              <w:rPr>
                <w:sz w:val="2"/>
                <w:szCs w:val="2"/>
              </w:rPr>
            </w:pPr>
          </w:p>
        </w:tc>
        <w:tc>
          <w:tcPr>
            <w:tcW w:w="1143" w:type="dxa"/>
            <w:vMerge w:val="restart"/>
          </w:tcPr>
          <w:p>
            <w:pPr>
              <w:pStyle w:val="32"/>
              <w:rPr>
                <w:b/>
                <w:sz w:val="28"/>
              </w:rPr>
            </w:pPr>
          </w:p>
          <w:p>
            <w:pPr>
              <w:pStyle w:val="32"/>
              <w:rPr>
                <w:b/>
                <w:sz w:val="28"/>
              </w:rPr>
            </w:pPr>
          </w:p>
          <w:p>
            <w:pPr>
              <w:pStyle w:val="32"/>
              <w:rPr>
                <w:b/>
                <w:sz w:val="28"/>
              </w:rPr>
            </w:pPr>
          </w:p>
          <w:p>
            <w:pPr>
              <w:pStyle w:val="32"/>
              <w:spacing w:before="2"/>
              <w:rPr>
                <w:b/>
                <w:sz w:val="40"/>
              </w:rPr>
            </w:pPr>
          </w:p>
          <w:p>
            <w:pPr>
              <w:pStyle w:val="32"/>
              <w:spacing w:line="213" w:lineRule="auto"/>
              <w:ind w:left="287" w:right="281"/>
              <w:rPr>
                <w:rFonts w:ascii="仿宋" w:eastAsia="仿宋"/>
                <w:sz w:val="28"/>
              </w:rPr>
            </w:pPr>
            <w:r>
              <w:rPr>
                <w:rFonts w:hint="eastAsia" w:ascii="仿宋" w:eastAsia="仿宋"/>
                <w:sz w:val="28"/>
              </w:rPr>
              <w:t>效益指标</w:t>
            </w:r>
          </w:p>
        </w:tc>
        <w:tc>
          <w:tcPr>
            <w:tcW w:w="1635" w:type="dxa"/>
          </w:tcPr>
          <w:p>
            <w:pPr>
              <w:pStyle w:val="32"/>
              <w:spacing w:line="284" w:lineRule="exact"/>
              <w:ind w:left="92" w:right="90"/>
              <w:jc w:val="center"/>
              <w:rPr>
                <w:rFonts w:ascii="仿宋" w:eastAsia="仿宋"/>
                <w:sz w:val="28"/>
              </w:rPr>
            </w:pPr>
            <w:r>
              <w:rPr>
                <w:rFonts w:hint="eastAsia" w:ascii="仿宋" w:eastAsia="仿宋"/>
                <w:sz w:val="28"/>
              </w:rPr>
              <w:t>经济效益</w:t>
            </w:r>
          </w:p>
          <w:p>
            <w:pPr>
              <w:pStyle w:val="32"/>
              <w:spacing w:line="336" w:lineRule="exact"/>
              <w:ind w:left="94" w:right="90"/>
              <w:jc w:val="center"/>
              <w:rPr>
                <w:rFonts w:ascii="仿宋" w:eastAsia="仿宋"/>
                <w:sz w:val="28"/>
              </w:rPr>
            </w:pPr>
            <w:r>
              <w:rPr>
                <w:rFonts w:hint="eastAsia" w:ascii="仿宋" w:eastAsia="仿宋"/>
                <w:sz w:val="28"/>
              </w:rPr>
              <w:t>指标</w:t>
            </w:r>
          </w:p>
        </w:tc>
        <w:tc>
          <w:tcPr>
            <w:tcW w:w="1189" w:type="dxa"/>
          </w:tcPr>
          <w:p>
            <w:pPr>
              <w:pStyle w:val="32"/>
              <w:rPr>
                <w:rFonts w:ascii="Times New Roman"/>
                <w:sz w:val="26"/>
              </w:rPr>
            </w:pPr>
          </w:p>
        </w:tc>
        <w:tc>
          <w:tcPr>
            <w:tcW w:w="1225" w:type="dxa"/>
          </w:tcPr>
          <w:p>
            <w:pPr>
              <w:pStyle w:val="32"/>
              <w:rPr>
                <w:rFonts w:ascii="Times New Roman"/>
                <w:sz w:val="26"/>
              </w:rPr>
            </w:pPr>
          </w:p>
        </w:tc>
        <w:tc>
          <w:tcPr>
            <w:tcW w:w="2411" w:type="dxa"/>
          </w:tcPr>
          <w:p>
            <w:pPr>
              <w:pStyle w:val="3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9" w:hRule="atLeast"/>
        </w:trPr>
        <w:tc>
          <w:tcPr>
            <w:tcW w:w="1978" w:type="dxa"/>
            <w:vMerge w:val="continue"/>
            <w:tcBorders>
              <w:top w:val="nil"/>
            </w:tcBorders>
          </w:tcPr>
          <w:p>
            <w:pPr>
              <w:rPr>
                <w:sz w:val="2"/>
                <w:szCs w:val="2"/>
              </w:rPr>
            </w:pPr>
          </w:p>
        </w:tc>
        <w:tc>
          <w:tcPr>
            <w:tcW w:w="1143" w:type="dxa"/>
            <w:vMerge w:val="continue"/>
            <w:tcBorders>
              <w:top w:val="nil"/>
            </w:tcBorders>
          </w:tcPr>
          <w:p>
            <w:pPr>
              <w:rPr>
                <w:sz w:val="2"/>
                <w:szCs w:val="2"/>
              </w:rPr>
            </w:pPr>
          </w:p>
        </w:tc>
        <w:tc>
          <w:tcPr>
            <w:tcW w:w="1635" w:type="dxa"/>
          </w:tcPr>
          <w:p>
            <w:pPr>
              <w:pStyle w:val="32"/>
              <w:rPr>
                <w:b/>
                <w:sz w:val="28"/>
              </w:rPr>
            </w:pPr>
          </w:p>
          <w:p>
            <w:pPr>
              <w:pStyle w:val="32"/>
              <w:spacing w:before="2"/>
              <w:rPr>
                <w:b/>
                <w:sz w:val="20"/>
              </w:rPr>
            </w:pPr>
          </w:p>
          <w:p>
            <w:pPr>
              <w:pStyle w:val="32"/>
              <w:spacing w:line="213" w:lineRule="auto"/>
              <w:ind w:left="533" w:right="248" w:hanging="281"/>
              <w:rPr>
                <w:rFonts w:ascii="仿宋" w:eastAsia="仿宋"/>
                <w:sz w:val="28"/>
              </w:rPr>
            </w:pPr>
            <w:r>
              <w:rPr>
                <w:rFonts w:hint="eastAsia" w:ascii="仿宋" w:eastAsia="仿宋"/>
                <w:sz w:val="28"/>
              </w:rPr>
              <w:t>社会效益指标</w:t>
            </w:r>
          </w:p>
        </w:tc>
        <w:tc>
          <w:tcPr>
            <w:tcW w:w="1189" w:type="dxa"/>
          </w:tcPr>
          <w:p>
            <w:pPr>
              <w:pStyle w:val="32"/>
              <w:rPr>
                <w:b/>
                <w:sz w:val="28"/>
              </w:rPr>
            </w:pPr>
          </w:p>
          <w:p>
            <w:pPr>
              <w:pStyle w:val="32"/>
              <w:spacing w:before="2"/>
              <w:rPr>
                <w:b/>
                <w:sz w:val="20"/>
              </w:rPr>
            </w:pPr>
          </w:p>
          <w:p>
            <w:pPr>
              <w:pStyle w:val="32"/>
              <w:spacing w:line="213" w:lineRule="auto"/>
              <w:ind w:left="449" w:right="165" w:hanging="279"/>
              <w:rPr>
                <w:rFonts w:ascii="仿宋" w:eastAsia="仿宋"/>
                <w:sz w:val="28"/>
              </w:rPr>
            </w:pPr>
            <w:r>
              <w:rPr>
                <w:rFonts w:hint="eastAsia" w:ascii="仿宋" w:eastAsia="仿宋"/>
                <w:sz w:val="28"/>
              </w:rPr>
              <w:t>城乡环境</w:t>
            </w:r>
          </w:p>
        </w:tc>
        <w:tc>
          <w:tcPr>
            <w:tcW w:w="1225" w:type="dxa"/>
          </w:tcPr>
          <w:p>
            <w:pPr>
              <w:pStyle w:val="32"/>
              <w:spacing w:line="284" w:lineRule="exact"/>
              <w:ind w:left="189"/>
              <w:rPr>
                <w:rFonts w:ascii="仿宋" w:eastAsia="仿宋"/>
                <w:sz w:val="28"/>
              </w:rPr>
            </w:pPr>
            <w:r>
              <w:rPr>
                <w:rFonts w:hint="eastAsia" w:ascii="仿宋" w:eastAsia="仿宋"/>
                <w:sz w:val="28"/>
              </w:rPr>
              <w:t>有效改</w:t>
            </w:r>
          </w:p>
          <w:p>
            <w:pPr>
              <w:pStyle w:val="32"/>
              <w:spacing w:before="11" w:line="213" w:lineRule="auto"/>
              <w:ind w:left="105" w:right="99" w:firstLine="84"/>
              <w:rPr>
                <w:rFonts w:ascii="仿宋" w:eastAsia="仿宋"/>
                <w:sz w:val="28"/>
              </w:rPr>
            </w:pPr>
            <w:r>
              <w:rPr>
                <w:rFonts w:hint="eastAsia" w:ascii="仿宋" w:eastAsia="仿宋"/>
                <w:spacing w:val="-2"/>
                <w:sz w:val="28"/>
              </w:rPr>
              <w:t>善城乡</w:t>
            </w:r>
            <w:r>
              <w:rPr>
                <w:rFonts w:hint="eastAsia" w:ascii="仿宋" w:eastAsia="仿宋"/>
                <w:spacing w:val="-30"/>
                <w:sz w:val="28"/>
              </w:rPr>
              <w:t>环境，提</w:t>
            </w:r>
            <w:r>
              <w:rPr>
                <w:rFonts w:hint="eastAsia" w:ascii="仿宋" w:eastAsia="仿宋"/>
                <w:spacing w:val="-12"/>
                <w:sz w:val="28"/>
              </w:rPr>
              <w:t>升群众</w:t>
            </w:r>
            <w:r>
              <w:rPr>
                <w:rFonts w:hint="eastAsia" w:ascii="仿宋" w:eastAsia="仿宋"/>
                <w:spacing w:val="-6"/>
                <w:sz w:val="28"/>
              </w:rPr>
              <w:t>生活幸</w:t>
            </w:r>
            <w:r>
              <w:rPr>
                <w:rFonts w:hint="eastAsia" w:ascii="仿宋" w:eastAsia="仿宋"/>
                <w:spacing w:val="-4"/>
                <w:sz w:val="28"/>
              </w:rPr>
              <w:t>福指数</w:t>
            </w:r>
          </w:p>
        </w:tc>
        <w:tc>
          <w:tcPr>
            <w:tcW w:w="2411" w:type="dxa"/>
          </w:tcPr>
          <w:p>
            <w:pPr>
              <w:pStyle w:val="32"/>
              <w:spacing w:before="7"/>
              <w:rPr>
                <w:b/>
                <w:sz w:val="35"/>
              </w:rPr>
            </w:pPr>
          </w:p>
          <w:p>
            <w:pPr>
              <w:pStyle w:val="32"/>
              <w:spacing w:line="213" w:lineRule="auto"/>
              <w:ind w:left="104" w:right="103"/>
              <w:jc w:val="center"/>
              <w:rPr>
                <w:rFonts w:ascii="仿宋" w:eastAsia="仿宋"/>
                <w:sz w:val="28"/>
              </w:rPr>
            </w:pPr>
            <w:r>
              <w:rPr>
                <w:rFonts w:hint="eastAsia" w:ascii="仿宋" w:eastAsia="仿宋"/>
                <w:spacing w:val="-3"/>
                <w:sz w:val="28"/>
              </w:rPr>
              <w:t>有效改善城乡环</w:t>
            </w:r>
            <w:r>
              <w:rPr>
                <w:rFonts w:hint="eastAsia" w:ascii="仿宋" w:eastAsia="仿宋"/>
                <w:spacing w:val="-8"/>
                <w:sz w:val="28"/>
              </w:rPr>
              <w:t>境，提升群众生活</w:t>
            </w:r>
            <w:r>
              <w:rPr>
                <w:rFonts w:hint="eastAsia" w:ascii="仿宋" w:eastAsia="仿宋"/>
                <w:spacing w:val="-3"/>
                <w:sz w:val="28"/>
              </w:rPr>
              <w:t>幸福指数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1978" w:type="dxa"/>
            <w:vMerge w:val="continue"/>
            <w:tcBorders>
              <w:top w:val="nil"/>
            </w:tcBorders>
          </w:tcPr>
          <w:p>
            <w:pPr>
              <w:rPr>
                <w:sz w:val="2"/>
                <w:szCs w:val="2"/>
              </w:rPr>
            </w:pPr>
          </w:p>
        </w:tc>
        <w:tc>
          <w:tcPr>
            <w:tcW w:w="1143" w:type="dxa"/>
            <w:vMerge w:val="continue"/>
            <w:tcBorders>
              <w:top w:val="nil"/>
            </w:tcBorders>
          </w:tcPr>
          <w:p>
            <w:pPr>
              <w:rPr>
                <w:sz w:val="2"/>
                <w:szCs w:val="2"/>
              </w:rPr>
            </w:pPr>
          </w:p>
        </w:tc>
        <w:tc>
          <w:tcPr>
            <w:tcW w:w="1635" w:type="dxa"/>
          </w:tcPr>
          <w:p>
            <w:pPr>
              <w:pStyle w:val="32"/>
              <w:spacing w:line="284" w:lineRule="exact"/>
              <w:ind w:left="344"/>
              <w:rPr>
                <w:rFonts w:ascii="仿宋" w:eastAsia="仿宋"/>
                <w:sz w:val="28"/>
              </w:rPr>
            </w:pPr>
            <w:r>
              <w:rPr>
                <w:rFonts w:hint="eastAsia" w:ascii="仿宋" w:eastAsia="仿宋"/>
                <w:sz w:val="28"/>
              </w:rPr>
              <w:t>生态效益</w:t>
            </w:r>
          </w:p>
          <w:p>
            <w:pPr>
              <w:pStyle w:val="32"/>
              <w:spacing w:line="336" w:lineRule="exact"/>
              <w:ind w:left="764"/>
              <w:rPr>
                <w:rFonts w:ascii="仿宋" w:eastAsia="仿宋"/>
                <w:sz w:val="28"/>
              </w:rPr>
            </w:pPr>
            <w:r>
              <w:rPr>
                <w:rFonts w:hint="eastAsia" w:ascii="仿宋" w:eastAsia="仿宋"/>
                <w:sz w:val="28"/>
              </w:rPr>
              <w:t>指标</w:t>
            </w:r>
          </w:p>
        </w:tc>
        <w:tc>
          <w:tcPr>
            <w:tcW w:w="1189" w:type="dxa"/>
          </w:tcPr>
          <w:p>
            <w:pPr>
              <w:pStyle w:val="32"/>
              <w:rPr>
                <w:rFonts w:ascii="Times New Roman"/>
                <w:sz w:val="26"/>
              </w:rPr>
            </w:pPr>
          </w:p>
        </w:tc>
        <w:tc>
          <w:tcPr>
            <w:tcW w:w="1225" w:type="dxa"/>
          </w:tcPr>
          <w:p>
            <w:pPr>
              <w:pStyle w:val="32"/>
              <w:rPr>
                <w:rFonts w:ascii="Times New Roman"/>
                <w:sz w:val="26"/>
              </w:rPr>
            </w:pPr>
          </w:p>
        </w:tc>
        <w:tc>
          <w:tcPr>
            <w:tcW w:w="2411" w:type="dxa"/>
          </w:tcPr>
          <w:p>
            <w:pPr>
              <w:pStyle w:val="3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1978" w:type="dxa"/>
            <w:vMerge w:val="continue"/>
            <w:tcBorders>
              <w:top w:val="nil"/>
            </w:tcBorders>
          </w:tcPr>
          <w:p>
            <w:pPr>
              <w:rPr>
                <w:sz w:val="2"/>
                <w:szCs w:val="2"/>
              </w:rPr>
            </w:pPr>
          </w:p>
        </w:tc>
        <w:tc>
          <w:tcPr>
            <w:tcW w:w="1143" w:type="dxa"/>
            <w:vMerge w:val="continue"/>
            <w:tcBorders>
              <w:top w:val="nil"/>
            </w:tcBorders>
          </w:tcPr>
          <w:p>
            <w:pPr>
              <w:rPr>
                <w:sz w:val="2"/>
                <w:szCs w:val="2"/>
              </w:rPr>
            </w:pPr>
          </w:p>
        </w:tc>
        <w:tc>
          <w:tcPr>
            <w:tcW w:w="1635" w:type="dxa"/>
          </w:tcPr>
          <w:p>
            <w:pPr>
              <w:pStyle w:val="32"/>
              <w:spacing w:line="284" w:lineRule="exact"/>
              <w:ind w:left="94" w:right="90"/>
              <w:jc w:val="center"/>
              <w:rPr>
                <w:rFonts w:ascii="仿宋" w:eastAsia="仿宋"/>
                <w:sz w:val="28"/>
              </w:rPr>
            </w:pPr>
            <w:r>
              <w:rPr>
                <w:rFonts w:hint="eastAsia" w:ascii="仿宋" w:eastAsia="仿宋"/>
                <w:sz w:val="28"/>
              </w:rPr>
              <w:t>可持续影响</w:t>
            </w:r>
          </w:p>
          <w:p>
            <w:pPr>
              <w:pStyle w:val="32"/>
              <w:spacing w:line="336" w:lineRule="exact"/>
              <w:ind w:left="94" w:right="90"/>
              <w:jc w:val="center"/>
              <w:rPr>
                <w:rFonts w:ascii="仿宋" w:eastAsia="仿宋"/>
                <w:sz w:val="28"/>
              </w:rPr>
            </w:pPr>
            <w:r>
              <w:rPr>
                <w:rFonts w:hint="eastAsia" w:ascii="仿宋" w:eastAsia="仿宋"/>
                <w:sz w:val="28"/>
              </w:rPr>
              <w:t>指标</w:t>
            </w:r>
          </w:p>
        </w:tc>
        <w:tc>
          <w:tcPr>
            <w:tcW w:w="1189" w:type="dxa"/>
          </w:tcPr>
          <w:p>
            <w:pPr>
              <w:pStyle w:val="32"/>
              <w:rPr>
                <w:rFonts w:ascii="Times New Roman"/>
                <w:sz w:val="26"/>
              </w:rPr>
            </w:pPr>
          </w:p>
        </w:tc>
        <w:tc>
          <w:tcPr>
            <w:tcW w:w="1225" w:type="dxa"/>
          </w:tcPr>
          <w:p>
            <w:pPr>
              <w:pStyle w:val="32"/>
              <w:rPr>
                <w:rFonts w:ascii="Times New Roman"/>
                <w:sz w:val="26"/>
              </w:rPr>
            </w:pPr>
          </w:p>
        </w:tc>
        <w:tc>
          <w:tcPr>
            <w:tcW w:w="2411" w:type="dxa"/>
          </w:tcPr>
          <w:p>
            <w:pPr>
              <w:pStyle w:val="3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1978" w:type="dxa"/>
            <w:vMerge w:val="continue"/>
            <w:tcBorders>
              <w:top w:val="nil"/>
            </w:tcBorders>
          </w:tcPr>
          <w:p>
            <w:pPr>
              <w:rPr>
                <w:sz w:val="2"/>
                <w:szCs w:val="2"/>
              </w:rPr>
            </w:pPr>
          </w:p>
        </w:tc>
        <w:tc>
          <w:tcPr>
            <w:tcW w:w="1143" w:type="dxa"/>
          </w:tcPr>
          <w:p>
            <w:pPr>
              <w:pStyle w:val="32"/>
              <w:rPr>
                <w:b/>
                <w:sz w:val="23"/>
              </w:rPr>
            </w:pPr>
          </w:p>
          <w:p>
            <w:pPr>
              <w:pStyle w:val="32"/>
              <w:spacing w:line="213" w:lineRule="auto"/>
              <w:ind w:left="148" w:right="142" w:firstLine="139"/>
              <w:rPr>
                <w:rFonts w:ascii="仿宋" w:eastAsia="仿宋"/>
                <w:sz w:val="28"/>
              </w:rPr>
            </w:pPr>
            <w:r>
              <w:rPr>
                <w:rFonts w:hint="eastAsia" w:ascii="仿宋" w:eastAsia="仿宋"/>
                <w:sz w:val="28"/>
              </w:rPr>
              <w:t>满意度指标</w:t>
            </w:r>
          </w:p>
        </w:tc>
        <w:tc>
          <w:tcPr>
            <w:tcW w:w="1635" w:type="dxa"/>
          </w:tcPr>
          <w:p>
            <w:pPr>
              <w:pStyle w:val="32"/>
              <w:spacing w:before="132" w:line="216" w:lineRule="auto"/>
              <w:ind w:left="533" w:right="390" w:hanging="142"/>
              <w:rPr>
                <w:rFonts w:ascii="仿宋" w:eastAsia="仿宋"/>
                <w:sz w:val="28"/>
              </w:rPr>
            </w:pPr>
            <w:r>
              <w:rPr>
                <w:rFonts w:hint="eastAsia" w:ascii="仿宋" w:eastAsia="仿宋"/>
                <w:sz w:val="28"/>
              </w:rPr>
              <w:t>满意度指标</w:t>
            </w:r>
          </w:p>
        </w:tc>
        <w:tc>
          <w:tcPr>
            <w:tcW w:w="1189" w:type="dxa"/>
          </w:tcPr>
          <w:p>
            <w:pPr>
              <w:pStyle w:val="32"/>
              <w:spacing w:line="284" w:lineRule="exact"/>
              <w:ind w:left="151" w:right="148"/>
              <w:jc w:val="center"/>
              <w:rPr>
                <w:rFonts w:ascii="仿宋" w:eastAsia="仿宋"/>
                <w:sz w:val="28"/>
              </w:rPr>
            </w:pPr>
            <w:r>
              <w:rPr>
                <w:rFonts w:hint="eastAsia" w:ascii="仿宋" w:eastAsia="仿宋"/>
                <w:sz w:val="28"/>
              </w:rPr>
              <w:t>群众满</w:t>
            </w:r>
          </w:p>
          <w:p>
            <w:pPr>
              <w:pStyle w:val="32"/>
              <w:spacing w:line="319" w:lineRule="exact"/>
              <w:ind w:left="151" w:right="148"/>
              <w:jc w:val="center"/>
              <w:rPr>
                <w:rFonts w:ascii="仿宋" w:eastAsia="仿宋"/>
                <w:sz w:val="28"/>
              </w:rPr>
            </w:pPr>
            <w:r>
              <w:rPr>
                <w:rFonts w:hint="eastAsia" w:ascii="仿宋" w:eastAsia="仿宋"/>
                <w:sz w:val="28"/>
              </w:rPr>
              <w:t>意度</w:t>
            </w:r>
          </w:p>
          <w:p>
            <w:pPr>
              <w:pStyle w:val="32"/>
              <w:spacing w:line="336" w:lineRule="exact"/>
              <w:ind w:left="240"/>
              <w:rPr>
                <w:rFonts w:ascii="仿宋" w:eastAsia="仿宋"/>
                <w:sz w:val="28"/>
              </w:rPr>
            </w:pPr>
            <w:r>
              <w:rPr>
                <w:rFonts w:hint="eastAsia" w:ascii="仿宋" w:eastAsia="仿宋"/>
                <w:sz w:val="28"/>
              </w:rPr>
              <w:t>（%）</w:t>
            </w:r>
          </w:p>
        </w:tc>
        <w:tc>
          <w:tcPr>
            <w:tcW w:w="1225" w:type="dxa"/>
          </w:tcPr>
          <w:p>
            <w:pPr>
              <w:pStyle w:val="32"/>
              <w:spacing w:before="8"/>
              <w:rPr>
                <w:b/>
                <w:sz w:val="20"/>
              </w:rPr>
            </w:pPr>
          </w:p>
          <w:p>
            <w:pPr>
              <w:pStyle w:val="32"/>
              <w:ind w:left="328"/>
              <w:rPr>
                <w:rFonts w:ascii="仿宋" w:hAnsi="仿宋"/>
                <w:sz w:val="28"/>
              </w:rPr>
            </w:pPr>
            <w:r>
              <w:rPr>
                <w:rFonts w:ascii="仿宋" w:hAnsi="仿宋"/>
                <w:sz w:val="28"/>
              </w:rPr>
              <w:t>≥95</w:t>
            </w:r>
          </w:p>
        </w:tc>
        <w:tc>
          <w:tcPr>
            <w:tcW w:w="2411" w:type="dxa"/>
          </w:tcPr>
          <w:p>
            <w:pPr>
              <w:pStyle w:val="32"/>
              <w:spacing w:before="8"/>
              <w:rPr>
                <w:b/>
                <w:sz w:val="20"/>
              </w:rPr>
            </w:pPr>
          </w:p>
          <w:p>
            <w:pPr>
              <w:pStyle w:val="32"/>
              <w:ind w:left="100" w:right="100"/>
              <w:jc w:val="center"/>
              <w:rPr>
                <w:rFonts w:ascii="仿宋" w:hAnsi="仿宋"/>
                <w:sz w:val="28"/>
              </w:rPr>
            </w:pPr>
            <w:r>
              <w:rPr>
                <w:rFonts w:ascii="仿宋" w:hAnsi="仿宋"/>
                <w:sz w:val="28"/>
              </w:rPr>
              <w:t>≥95</w:t>
            </w:r>
          </w:p>
        </w:tc>
      </w:tr>
    </w:tbl>
    <w:p>
      <w:pPr>
        <w:jc w:val="center"/>
        <w:rPr>
          <w:rFonts w:ascii="仿宋" w:hAnsi="仿宋"/>
          <w:sz w:val="28"/>
        </w:rPr>
        <w:sectPr>
          <w:pgSz w:w="11910" w:h="16840"/>
          <w:pgMar w:top="1540" w:right="400" w:bottom="1380" w:left="1060" w:header="0" w:footer="1197" w:gutter="0"/>
          <w:cols w:space="720" w:num="1"/>
        </w:sectPr>
      </w:pPr>
    </w:p>
    <w:p>
      <w:pPr>
        <w:pStyle w:val="2"/>
        <w:spacing w:before="72"/>
      </w:pPr>
      <w:r>
        <w:t>附件</w:t>
      </w:r>
    </w:p>
    <w:p>
      <w:pPr>
        <w:pStyle w:val="4"/>
        <w:spacing w:before="159" w:line="194" w:lineRule="auto"/>
        <w:jc w:val="center"/>
        <w:rPr>
          <w:spacing w:val="-2"/>
          <w:sz w:val="44"/>
          <w:szCs w:val="44"/>
        </w:rPr>
      </w:pPr>
      <w:r>
        <w:rPr>
          <w:sz w:val="44"/>
          <w:szCs w:val="44"/>
        </w:rPr>
        <w:t>2022</w:t>
      </w:r>
      <w:r>
        <w:rPr>
          <w:spacing w:val="-3"/>
          <w:sz w:val="44"/>
          <w:szCs w:val="44"/>
        </w:rPr>
        <w:t>年安全经费</w:t>
      </w:r>
      <w:r>
        <w:rPr>
          <w:sz w:val="44"/>
          <w:szCs w:val="44"/>
        </w:rPr>
        <w:t>（</w:t>
      </w:r>
      <w:r>
        <w:rPr>
          <w:spacing w:val="-2"/>
          <w:sz w:val="44"/>
          <w:szCs w:val="44"/>
        </w:rPr>
        <w:t>森林防火</w:t>
      </w:r>
      <w:r>
        <w:rPr>
          <w:spacing w:val="-68"/>
          <w:sz w:val="44"/>
          <w:szCs w:val="44"/>
        </w:rPr>
        <w:t>）</w:t>
      </w:r>
      <w:r>
        <w:rPr>
          <w:spacing w:val="-3"/>
          <w:sz w:val="44"/>
          <w:szCs w:val="44"/>
        </w:rPr>
        <w:t>项目支出绩效自</w:t>
      </w:r>
      <w:r>
        <w:rPr>
          <w:spacing w:val="-2"/>
          <w:sz w:val="44"/>
          <w:szCs w:val="44"/>
        </w:rPr>
        <w:t>评</w:t>
      </w:r>
    </w:p>
    <w:p>
      <w:pPr>
        <w:pStyle w:val="4"/>
        <w:spacing w:before="159" w:line="194" w:lineRule="auto"/>
        <w:jc w:val="center"/>
        <w:rPr>
          <w:sz w:val="44"/>
          <w:szCs w:val="44"/>
        </w:rPr>
      </w:pPr>
      <w:r>
        <w:rPr>
          <w:spacing w:val="-2"/>
          <w:sz w:val="44"/>
          <w:szCs w:val="44"/>
        </w:rPr>
        <w:t>报告</w:t>
      </w:r>
    </w:p>
    <w:p>
      <w:pPr>
        <w:pStyle w:val="2"/>
        <w:spacing w:before="72"/>
        <w:ind w:firstLine="643" w:firstLineChars="200"/>
        <w:rPr>
          <w:rFonts w:ascii="黑体" w:eastAsia="黑体"/>
          <w:b/>
          <w:bCs/>
          <w:sz w:val="32"/>
          <w:szCs w:val="32"/>
        </w:rPr>
      </w:pPr>
      <w:r>
        <w:rPr>
          <w:rFonts w:hint="eastAsia" w:ascii="黑体" w:eastAsia="黑体"/>
          <w:b/>
          <w:bCs/>
          <w:sz w:val="32"/>
          <w:szCs w:val="32"/>
        </w:rPr>
        <w:t>一、项目概况</w:t>
      </w:r>
    </w:p>
    <w:p>
      <w:pPr>
        <w:pStyle w:val="5"/>
        <w:ind w:firstLine="512" w:firstLineChars="200"/>
      </w:pPr>
      <w:r>
        <w:rPr>
          <w:rFonts w:hint="eastAsia" w:ascii="仿宋" w:hAnsi="宋体" w:eastAsia="仿宋" w:cs="宋体"/>
          <w:b w:val="0"/>
          <w:bCs w:val="0"/>
          <w:spacing w:val="-12"/>
          <w:sz w:val="28"/>
          <w:szCs w:val="21"/>
        </w:rPr>
        <w:t>（</w:t>
      </w:r>
      <w:r>
        <w:t>一）项目基本情况。</w:t>
      </w:r>
    </w:p>
    <w:p>
      <w:pPr>
        <w:pStyle w:val="2"/>
        <w:spacing w:before="72" w:line="350" w:lineRule="auto"/>
        <w:ind w:right="1082" w:firstLine="720"/>
        <w:rPr>
          <w:rFonts w:ascii="仿宋" w:hAnsi="宋体" w:eastAsia="仿宋" w:cs="宋体"/>
          <w:spacing w:val="-12"/>
          <w:kern w:val="2"/>
          <w:sz w:val="28"/>
          <w:szCs w:val="21"/>
        </w:rPr>
      </w:pPr>
      <w:r>
        <w:rPr>
          <w:rFonts w:hint="eastAsia" w:ascii="仿宋" w:hAnsi="宋体" w:eastAsia="仿宋" w:cs="宋体"/>
          <w:spacing w:val="-12"/>
          <w:kern w:val="2"/>
          <w:sz w:val="28"/>
          <w:szCs w:val="21"/>
        </w:rPr>
        <w:t>以“预防为主、积极消灭”的森林防火方针，大力开展森林防火宣传教育、严格管控野外火源</w:t>
      </w:r>
      <w:r>
        <w:rPr>
          <w:rFonts w:hint="eastAsia" w:ascii="仿宋" w:hAnsi="宋体" w:eastAsia="仿宋" w:cs="宋体"/>
          <w:spacing w:val="-12"/>
          <w:kern w:val="2"/>
          <w:sz w:val="28"/>
          <w:szCs w:val="21"/>
          <w:lang w:eastAsia="zh-CN"/>
        </w:rPr>
        <w:t>，</w:t>
      </w:r>
      <w:r>
        <w:rPr>
          <w:rFonts w:hint="eastAsia" w:ascii="仿宋" w:hAnsi="宋体" w:eastAsia="仿宋" w:cs="宋体"/>
          <w:spacing w:val="-12"/>
          <w:kern w:val="2"/>
          <w:sz w:val="28"/>
          <w:szCs w:val="21"/>
        </w:rPr>
        <w:t>确保全镇森林生态 资源安全及保护社会稳定促进经济的可持续发展。全年书写、悬挂森林防火宣传标语 206 条；发放各类宣传单位及宣传物 品</w:t>
      </w:r>
      <w:r>
        <w:rPr>
          <w:rFonts w:hint="eastAsia" w:ascii="仿宋" w:hAnsi="宋体" w:eastAsia="仿宋" w:cs="宋体"/>
          <w:spacing w:val="-12"/>
          <w:kern w:val="2"/>
          <w:sz w:val="28"/>
          <w:szCs w:val="21"/>
          <w:lang w:eastAsia="zh-CN"/>
        </w:rPr>
        <w:t>，</w:t>
      </w:r>
      <w:r>
        <w:rPr>
          <w:rFonts w:hint="eastAsia" w:ascii="仿宋" w:hAnsi="宋体" w:eastAsia="仿宋" w:cs="宋体"/>
          <w:spacing w:val="-12"/>
          <w:kern w:val="2"/>
          <w:sz w:val="28"/>
          <w:szCs w:val="21"/>
        </w:rPr>
        <w:t>4000 份；出动宣传车 80台次；</w:t>
      </w:r>
      <w:r>
        <w:rPr>
          <w:rFonts w:hint="eastAsia" w:ascii="仿宋" w:hAnsi="宋体" w:eastAsia="仿宋" w:cs="宋体"/>
          <w:spacing w:val="-12"/>
          <w:kern w:val="2"/>
          <w:sz w:val="28"/>
          <w:szCs w:val="21"/>
          <w:lang w:eastAsia="zh-CN"/>
        </w:rPr>
        <w:t>召开</w:t>
      </w:r>
      <w:r>
        <w:rPr>
          <w:rFonts w:hint="eastAsia" w:ascii="仿宋" w:hAnsi="宋体" w:eastAsia="仿宋" w:cs="宋体"/>
          <w:spacing w:val="-12"/>
          <w:kern w:val="2"/>
          <w:sz w:val="28"/>
          <w:szCs w:val="21"/>
        </w:rPr>
        <w:t>森林防火专题会议20 余场。</w:t>
      </w:r>
    </w:p>
    <w:p>
      <w:pPr>
        <w:pStyle w:val="5"/>
        <w:ind w:firstLine="643" w:firstLineChars="200"/>
      </w:pPr>
      <w:r>
        <w:t>（二）项目绩效目标。</w:t>
      </w:r>
    </w:p>
    <w:p>
      <w:pPr>
        <w:pStyle w:val="5"/>
        <w:spacing w:before="42"/>
        <w:ind w:firstLine="512" w:firstLineChars="200"/>
        <w:rPr>
          <w:rFonts w:ascii="仿宋" w:hAnsi="宋体" w:eastAsia="仿宋" w:cs="宋体"/>
          <w:b w:val="0"/>
          <w:bCs w:val="0"/>
          <w:spacing w:val="-12"/>
          <w:sz w:val="28"/>
          <w:szCs w:val="21"/>
        </w:rPr>
      </w:pPr>
      <w:r>
        <w:rPr>
          <w:rFonts w:hint="eastAsia" w:ascii="仿宋" w:hAnsi="宋体" w:eastAsia="仿宋" w:cs="宋体"/>
          <w:b w:val="0"/>
          <w:bCs w:val="0"/>
          <w:spacing w:val="-12"/>
          <w:sz w:val="28"/>
          <w:szCs w:val="21"/>
        </w:rPr>
        <w:t>在运用各类宣传平台和宣传资源的基础上，创新宣传方式</w:t>
      </w:r>
      <w:r>
        <w:rPr>
          <w:rFonts w:hint="eastAsia" w:ascii="仿宋" w:hAnsi="宋体" w:eastAsia="仿宋" w:cs="宋体"/>
          <w:b w:val="0"/>
          <w:bCs w:val="0"/>
          <w:spacing w:val="-12"/>
          <w:sz w:val="28"/>
          <w:szCs w:val="21"/>
          <w:lang w:eastAsia="zh-CN"/>
        </w:rPr>
        <w:t>，</w:t>
      </w:r>
      <w:r>
        <w:rPr>
          <w:rFonts w:hint="eastAsia" w:ascii="仿宋" w:hAnsi="宋体" w:eastAsia="仿宋" w:cs="宋体"/>
          <w:b w:val="0"/>
          <w:bCs w:val="0"/>
          <w:spacing w:val="-12"/>
          <w:sz w:val="28"/>
          <w:szCs w:val="21"/>
        </w:rPr>
        <w:t>加大对责任落实、火源管控案查处的宣传力度；加强对社会舆论信息的引导和收集</w:t>
      </w:r>
      <w:r>
        <w:rPr>
          <w:rFonts w:hint="eastAsia" w:ascii="仿宋" w:hAnsi="宋体" w:eastAsia="仿宋" w:cs="宋体"/>
          <w:b w:val="0"/>
          <w:bCs w:val="0"/>
          <w:spacing w:val="-12"/>
          <w:sz w:val="28"/>
          <w:szCs w:val="21"/>
          <w:lang w:eastAsia="zh-CN"/>
        </w:rPr>
        <w:t>，</w:t>
      </w:r>
      <w:r>
        <w:rPr>
          <w:rFonts w:hint="eastAsia" w:ascii="仿宋" w:hAnsi="宋体" w:eastAsia="仿宋" w:cs="宋体"/>
          <w:b w:val="0"/>
          <w:bCs w:val="0"/>
          <w:spacing w:val="-12"/>
          <w:sz w:val="28"/>
          <w:szCs w:val="21"/>
        </w:rPr>
        <w:t>注重对森林防火法律法规和警示案例的宣传，强化全民防火重识和责任意识，为全镇森林 防火工作开展创造良好的社会舆论和法治氛围，人民群众森 林防火意识增强，提高全镇森林火灾预防控能力，森林火灾发生次数明显下降减少，野外用火得到有效控制，巩固现有绿化造林成果及维护林区长治久安</w:t>
      </w:r>
      <w:r>
        <w:rPr>
          <w:rFonts w:hint="eastAsia" w:ascii="仿宋" w:hAnsi="宋体" w:eastAsia="仿宋" w:cs="宋体"/>
          <w:b w:val="0"/>
          <w:bCs w:val="0"/>
          <w:spacing w:val="-12"/>
          <w:sz w:val="28"/>
          <w:szCs w:val="21"/>
          <w:lang w:eastAsia="zh-CN"/>
        </w:rPr>
        <w:t>，维护</w:t>
      </w:r>
      <w:r>
        <w:rPr>
          <w:rFonts w:hint="eastAsia" w:ascii="仿宋" w:hAnsi="宋体" w:eastAsia="仿宋" w:cs="宋体"/>
          <w:b w:val="0"/>
          <w:bCs w:val="0"/>
          <w:spacing w:val="-12"/>
          <w:sz w:val="28"/>
          <w:szCs w:val="21"/>
        </w:rPr>
        <w:t>社会稳定的需要</w:t>
      </w:r>
      <w:r>
        <w:rPr>
          <w:rFonts w:hint="eastAsia" w:ascii="仿宋" w:hAnsi="宋体" w:eastAsia="仿宋" w:cs="宋体"/>
          <w:b w:val="0"/>
          <w:bCs w:val="0"/>
          <w:spacing w:val="-12"/>
          <w:sz w:val="28"/>
          <w:szCs w:val="21"/>
          <w:lang w:eastAsia="zh-CN"/>
        </w:rPr>
        <w:t>，</w:t>
      </w:r>
      <w:r>
        <w:rPr>
          <w:rFonts w:hint="eastAsia" w:ascii="仿宋" w:hAnsi="宋体" w:eastAsia="仿宋" w:cs="宋体"/>
          <w:b w:val="0"/>
          <w:bCs w:val="0"/>
          <w:spacing w:val="-12"/>
          <w:sz w:val="28"/>
          <w:szCs w:val="21"/>
        </w:rPr>
        <w:t xml:space="preserve"> 改善生态环境，促进经济可持续发展的需要</w:t>
      </w:r>
      <w:r>
        <w:rPr>
          <w:rFonts w:hint="eastAsia" w:ascii="仿宋" w:hAnsi="宋体" w:eastAsia="仿宋" w:cs="宋体"/>
          <w:b w:val="0"/>
          <w:bCs w:val="0"/>
          <w:spacing w:val="-12"/>
          <w:sz w:val="28"/>
          <w:szCs w:val="21"/>
          <w:lang w:eastAsia="zh-CN"/>
        </w:rPr>
        <w:t>，</w:t>
      </w:r>
      <w:r>
        <w:rPr>
          <w:rFonts w:hint="eastAsia" w:ascii="仿宋" w:hAnsi="宋体" w:eastAsia="仿宋" w:cs="宋体"/>
          <w:b w:val="0"/>
          <w:bCs w:val="0"/>
          <w:spacing w:val="-12"/>
          <w:sz w:val="28"/>
          <w:szCs w:val="21"/>
        </w:rPr>
        <w:t>使柳沟的山更绿、水更清、天更蓝。</w:t>
      </w:r>
    </w:p>
    <w:p>
      <w:pPr>
        <w:pStyle w:val="5"/>
        <w:spacing w:before="42"/>
        <w:ind w:firstLine="643" w:firstLineChars="200"/>
      </w:pPr>
      <w:r>
        <w:t>（三）项目自评步骤及方法。</w:t>
      </w:r>
    </w:p>
    <w:p>
      <w:pPr>
        <w:pStyle w:val="2"/>
        <w:spacing w:before="72" w:line="350" w:lineRule="auto"/>
        <w:ind w:right="1082" w:firstLine="720"/>
        <w:rPr>
          <w:rFonts w:ascii="仿宋" w:hAnsi="宋体" w:eastAsia="仿宋" w:cs="宋体"/>
          <w:spacing w:val="-12"/>
          <w:kern w:val="2"/>
          <w:sz w:val="28"/>
          <w:szCs w:val="21"/>
        </w:rPr>
      </w:pPr>
      <w:r>
        <w:rPr>
          <w:rFonts w:hint="eastAsia" w:ascii="仿宋" w:hAnsi="宋体" w:eastAsia="仿宋" w:cs="宋体"/>
          <w:spacing w:val="-12"/>
          <w:kern w:val="2"/>
          <w:sz w:val="28"/>
          <w:szCs w:val="21"/>
        </w:rPr>
        <w:t>部门对各村森林防火宣传落实的监督考核建立了考核监督制度，考核细则健全，扣分项目、处罚措施明确。根据 综合得分，组织分管领导及部门负责人对本年度森林防火项目进行评估，评价项目效益，并提出改进措施。</w:t>
      </w:r>
    </w:p>
    <w:p>
      <w:pPr>
        <w:pStyle w:val="2"/>
        <w:spacing w:before="72"/>
        <w:ind w:firstLine="720" w:firstLineChars="200"/>
        <w:rPr>
          <w:rFonts w:ascii="黑体" w:eastAsia="黑体"/>
          <w:sz w:val="36"/>
          <w:szCs w:val="36"/>
        </w:rPr>
      </w:pPr>
      <w:r>
        <w:rPr>
          <w:rFonts w:hint="eastAsia" w:ascii="黑体" w:eastAsia="黑体"/>
          <w:sz w:val="36"/>
          <w:szCs w:val="36"/>
        </w:rPr>
        <w:t>二、项目资金申报及使用情况</w:t>
      </w:r>
    </w:p>
    <w:p>
      <w:pPr>
        <w:pStyle w:val="5"/>
        <w:ind w:firstLine="643" w:firstLineChars="200"/>
      </w:pPr>
      <w:r>
        <w:t>（一）项目资金申报及批复情况。</w:t>
      </w:r>
    </w:p>
    <w:p>
      <w:pPr>
        <w:pStyle w:val="5"/>
        <w:ind w:firstLine="512" w:firstLineChars="200"/>
        <w:rPr>
          <w:rFonts w:ascii="仿宋" w:hAnsi="宋体" w:eastAsia="仿宋" w:cs="宋体"/>
          <w:b w:val="0"/>
          <w:bCs w:val="0"/>
          <w:spacing w:val="-12"/>
          <w:sz w:val="28"/>
          <w:szCs w:val="21"/>
        </w:rPr>
      </w:pPr>
      <w:r>
        <w:rPr>
          <w:rFonts w:hint="eastAsia" w:ascii="仿宋" w:hAnsi="宋体" w:eastAsia="仿宋" w:cs="宋体"/>
          <w:b w:val="0"/>
          <w:bCs w:val="0"/>
          <w:spacing w:val="-12"/>
          <w:sz w:val="28"/>
          <w:szCs w:val="21"/>
        </w:rPr>
        <w:t>在规定时间内，由部门进行申报，财政局统一批复。</w:t>
      </w:r>
    </w:p>
    <w:p>
      <w:pPr>
        <w:pStyle w:val="5"/>
        <w:spacing w:after="30"/>
        <w:ind w:firstLine="643" w:firstLineChars="200"/>
      </w:pPr>
      <w:r>
        <w:t>（二</w:t>
      </w:r>
      <w:r>
        <w:rPr>
          <w:spacing w:val="-147"/>
        </w:rPr>
        <w:t>）</w:t>
      </w:r>
      <w:r>
        <w:rPr>
          <w:spacing w:val="-27"/>
        </w:rPr>
        <w:t>资金计划、到位及使用情况</w:t>
      </w:r>
      <w:r>
        <w:t>（可用表格形式反映</w:t>
      </w:r>
      <w:r>
        <w:rPr>
          <w:spacing w:val="-159"/>
        </w:rPr>
        <w:t>）</w:t>
      </w:r>
      <w:r>
        <w:t>。</w:t>
      </w:r>
    </w:p>
    <w:tbl>
      <w:tblPr>
        <w:tblStyle w:val="14"/>
        <w:tblW w:w="0" w:type="auto"/>
        <w:tblInd w:w="7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34"/>
        <w:gridCol w:w="2793"/>
        <w:gridCol w:w="1123"/>
        <w:gridCol w:w="1656"/>
        <w:gridCol w:w="533"/>
        <w:gridCol w:w="1080"/>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6" w:hRule="atLeast"/>
        </w:trPr>
        <w:tc>
          <w:tcPr>
            <w:tcW w:w="1334" w:type="dxa"/>
          </w:tcPr>
          <w:p>
            <w:pPr>
              <w:pStyle w:val="32"/>
              <w:spacing w:before="4"/>
              <w:rPr>
                <w:rFonts w:ascii="仿宋" w:eastAsia="仿宋"/>
                <w:spacing w:val="-12"/>
                <w:sz w:val="28"/>
              </w:rPr>
            </w:pPr>
          </w:p>
          <w:p>
            <w:pPr>
              <w:pStyle w:val="32"/>
              <w:ind w:right="256"/>
              <w:jc w:val="right"/>
              <w:rPr>
                <w:rFonts w:ascii="仿宋" w:eastAsia="仿宋"/>
                <w:spacing w:val="-12"/>
                <w:sz w:val="28"/>
              </w:rPr>
            </w:pPr>
            <w:r>
              <w:rPr>
                <w:rFonts w:hint="eastAsia" w:ascii="仿宋" w:eastAsia="仿宋"/>
                <w:spacing w:val="-12"/>
                <w:sz w:val="28"/>
              </w:rPr>
              <w:t>项目名称</w:t>
            </w:r>
          </w:p>
        </w:tc>
        <w:tc>
          <w:tcPr>
            <w:tcW w:w="3916" w:type="dxa"/>
            <w:gridSpan w:val="2"/>
          </w:tcPr>
          <w:p>
            <w:pPr>
              <w:pStyle w:val="32"/>
              <w:spacing w:before="4"/>
              <w:rPr>
                <w:rFonts w:ascii="仿宋" w:eastAsia="仿宋"/>
                <w:spacing w:val="-12"/>
                <w:sz w:val="28"/>
              </w:rPr>
            </w:pPr>
          </w:p>
          <w:p>
            <w:pPr>
              <w:pStyle w:val="32"/>
              <w:ind w:left="1005"/>
              <w:rPr>
                <w:rFonts w:ascii="仿宋" w:eastAsia="仿宋"/>
                <w:spacing w:val="-12"/>
                <w:sz w:val="28"/>
              </w:rPr>
            </w:pPr>
            <w:r>
              <w:rPr>
                <w:rFonts w:hint="eastAsia" w:ascii="仿宋" w:eastAsia="仿宋"/>
                <w:spacing w:val="-12"/>
                <w:sz w:val="28"/>
              </w:rPr>
              <w:t>安全经费（森林防火）</w:t>
            </w:r>
          </w:p>
        </w:tc>
        <w:tc>
          <w:tcPr>
            <w:tcW w:w="1656" w:type="dxa"/>
          </w:tcPr>
          <w:p>
            <w:pPr>
              <w:pStyle w:val="32"/>
              <w:spacing w:before="28"/>
              <w:ind w:left="28" w:right="19"/>
              <w:jc w:val="center"/>
              <w:rPr>
                <w:rFonts w:ascii="仿宋" w:eastAsia="仿宋"/>
                <w:spacing w:val="-12"/>
                <w:sz w:val="28"/>
              </w:rPr>
            </w:pPr>
            <w:r>
              <w:rPr>
                <w:rFonts w:hint="eastAsia" w:ascii="仿宋" w:eastAsia="仿宋"/>
                <w:spacing w:val="-12"/>
                <w:sz w:val="28"/>
              </w:rPr>
              <w:t>项目负责人及电</w:t>
            </w:r>
          </w:p>
          <w:p>
            <w:pPr>
              <w:pStyle w:val="32"/>
              <w:spacing w:before="55"/>
              <w:ind w:left="9"/>
              <w:jc w:val="center"/>
              <w:rPr>
                <w:rFonts w:ascii="仿宋" w:eastAsia="仿宋"/>
                <w:spacing w:val="-12"/>
                <w:sz w:val="28"/>
              </w:rPr>
            </w:pPr>
            <w:r>
              <w:rPr>
                <w:rFonts w:hint="eastAsia" w:ascii="仿宋" w:eastAsia="仿宋"/>
                <w:spacing w:val="-12"/>
                <w:sz w:val="28"/>
              </w:rPr>
              <w:t>话</w:t>
            </w:r>
          </w:p>
        </w:tc>
        <w:tc>
          <w:tcPr>
            <w:tcW w:w="2693" w:type="dxa"/>
            <w:gridSpan w:val="3"/>
          </w:tcPr>
          <w:p>
            <w:pPr>
              <w:pStyle w:val="32"/>
              <w:spacing w:before="4"/>
              <w:rPr>
                <w:rFonts w:ascii="仿宋" w:eastAsia="仿宋"/>
                <w:spacing w:val="-12"/>
                <w:sz w:val="28"/>
              </w:rPr>
            </w:pPr>
          </w:p>
          <w:p>
            <w:pPr>
              <w:pStyle w:val="32"/>
              <w:ind w:left="572"/>
              <w:rPr>
                <w:rFonts w:ascii="仿宋" w:eastAsia="仿宋"/>
                <w:spacing w:val="-12"/>
                <w:sz w:val="28"/>
              </w:rPr>
            </w:pPr>
            <w:r>
              <w:rPr>
                <w:rFonts w:hint="eastAsia" w:ascii="仿宋" w:eastAsia="仿宋"/>
                <w:spacing w:val="-12"/>
                <w:sz w:val="28"/>
              </w:rPr>
              <w:t>王志强</w:t>
            </w:r>
          </w:p>
          <w:p>
            <w:pPr>
              <w:pStyle w:val="32"/>
              <w:ind w:left="572"/>
              <w:rPr>
                <w:rFonts w:ascii="仿宋" w:eastAsia="仿宋"/>
                <w:spacing w:val="-12"/>
                <w:sz w:val="28"/>
              </w:rPr>
            </w:pPr>
            <w:r>
              <w:rPr>
                <w:rFonts w:hint="eastAsia" w:ascii="仿宋" w:eastAsia="仿宋"/>
                <w:spacing w:val="-12"/>
                <w:sz w:val="28"/>
              </w:rPr>
              <w:t>180112166658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334" w:type="dxa"/>
          </w:tcPr>
          <w:p>
            <w:pPr>
              <w:pStyle w:val="32"/>
              <w:spacing w:before="25"/>
              <w:ind w:right="256"/>
              <w:jc w:val="right"/>
              <w:rPr>
                <w:rFonts w:ascii="仿宋" w:eastAsia="仿宋"/>
                <w:spacing w:val="-12"/>
                <w:sz w:val="28"/>
              </w:rPr>
            </w:pPr>
            <w:r>
              <w:rPr>
                <w:rFonts w:hint="eastAsia" w:ascii="仿宋" w:eastAsia="仿宋"/>
                <w:spacing w:val="-12"/>
                <w:sz w:val="28"/>
              </w:rPr>
              <w:t>主管部门</w:t>
            </w:r>
          </w:p>
        </w:tc>
        <w:tc>
          <w:tcPr>
            <w:tcW w:w="3916" w:type="dxa"/>
            <w:gridSpan w:val="2"/>
          </w:tcPr>
          <w:p>
            <w:pPr>
              <w:pStyle w:val="32"/>
              <w:spacing w:before="25"/>
              <w:ind w:left="1336" w:right="1330"/>
              <w:jc w:val="center"/>
              <w:rPr>
                <w:rFonts w:ascii="仿宋" w:eastAsia="仿宋"/>
                <w:spacing w:val="-12"/>
                <w:sz w:val="28"/>
              </w:rPr>
            </w:pPr>
            <w:r>
              <w:rPr>
                <w:rFonts w:hint="eastAsia" w:ascii="仿宋" w:eastAsia="仿宋"/>
                <w:spacing w:val="-12"/>
                <w:sz w:val="28"/>
              </w:rPr>
              <w:t>剑阁县财政局</w:t>
            </w:r>
          </w:p>
        </w:tc>
        <w:tc>
          <w:tcPr>
            <w:tcW w:w="1656" w:type="dxa"/>
          </w:tcPr>
          <w:p>
            <w:pPr>
              <w:pStyle w:val="32"/>
              <w:spacing w:before="25"/>
              <w:ind w:left="28" w:right="19"/>
              <w:jc w:val="center"/>
              <w:rPr>
                <w:rFonts w:ascii="仿宋" w:eastAsia="仿宋"/>
                <w:spacing w:val="-12"/>
                <w:sz w:val="28"/>
              </w:rPr>
            </w:pPr>
            <w:r>
              <w:rPr>
                <w:rFonts w:hint="eastAsia" w:ascii="仿宋" w:eastAsia="仿宋"/>
                <w:spacing w:val="-12"/>
                <w:sz w:val="28"/>
              </w:rPr>
              <w:t>实施单位</w:t>
            </w:r>
          </w:p>
        </w:tc>
        <w:tc>
          <w:tcPr>
            <w:tcW w:w="2693" w:type="dxa"/>
            <w:gridSpan w:val="3"/>
          </w:tcPr>
          <w:p>
            <w:pPr>
              <w:pStyle w:val="32"/>
              <w:spacing w:before="25"/>
              <w:ind w:left="346"/>
              <w:rPr>
                <w:rFonts w:ascii="仿宋" w:eastAsia="仿宋"/>
                <w:spacing w:val="-12"/>
                <w:sz w:val="28"/>
              </w:rPr>
            </w:pPr>
            <w:r>
              <w:rPr>
                <w:rFonts w:hint="eastAsia" w:ascii="仿宋" w:eastAsia="仿宋"/>
                <w:spacing w:val="-12"/>
                <w:sz w:val="28"/>
              </w:rPr>
              <w:t>剑阁县柳沟镇人民政府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334" w:type="dxa"/>
          </w:tcPr>
          <w:p>
            <w:pPr>
              <w:pStyle w:val="32"/>
              <w:spacing w:before="2"/>
              <w:rPr>
                <w:rFonts w:ascii="仿宋" w:eastAsia="仿宋"/>
                <w:spacing w:val="-12"/>
                <w:sz w:val="28"/>
              </w:rPr>
            </w:pPr>
          </w:p>
          <w:p>
            <w:pPr>
              <w:pStyle w:val="32"/>
              <w:ind w:right="256"/>
              <w:jc w:val="right"/>
              <w:rPr>
                <w:rFonts w:ascii="仿宋" w:eastAsia="仿宋"/>
                <w:spacing w:val="-12"/>
                <w:sz w:val="28"/>
              </w:rPr>
            </w:pPr>
            <w:r>
              <w:rPr>
                <w:rFonts w:hint="eastAsia" w:ascii="仿宋" w:eastAsia="仿宋"/>
                <w:spacing w:val="-12"/>
                <w:sz w:val="28"/>
              </w:rPr>
              <w:t>资金情况</w:t>
            </w:r>
          </w:p>
        </w:tc>
        <w:tc>
          <w:tcPr>
            <w:tcW w:w="2793" w:type="dxa"/>
          </w:tcPr>
          <w:p>
            <w:pPr>
              <w:pStyle w:val="32"/>
              <w:rPr>
                <w:rFonts w:ascii="仿宋" w:eastAsia="仿宋"/>
                <w:spacing w:val="-12"/>
                <w:sz w:val="28"/>
              </w:rPr>
            </w:pPr>
          </w:p>
        </w:tc>
        <w:tc>
          <w:tcPr>
            <w:tcW w:w="1123" w:type="dxa"/>
          </w:tcPr>
          <w:p>
            <w:pPr>
              <w:pStyle w:val="32"/>
              <w:spacing w:before="25"/>
              <w:ind w:left="159"/>
              <w:rPr>
                <w:rFonts w:ascii="仿宋" w:eastAsia="仿宋"/>
                <w:spacing w:val="-12"/>
                <w:sz w:val="28"/>
              </w:rPr>
            </w:pPr>
            <w:r>
              <w:rPr>
                <w:rFonts w:hint="eastAsia" w:ascii="仿宋" w:eastAsia="仿宋"/>
                <w:spacing w:val="-12"/>
                <w:sz w:val="28"/>
              </w:rPr>
              <w:t>全年预算</w:t>
            </w:r>
          </w:p>
          <w:p>
            <w:pPr>
              <w:pStyle w:val="32"/>
              <w:spacing w:before="56"/>
              <w:ind w:left="209"/>
              <w:rPr>
                <w:rFonts w:ascii="仿宋" w:eastAsia="仿宋"/>
                <w:spacing w:val="-12"/>
                <w:sz w:val="28"/>
              </w:rPr>
            </w:pPr>
            <w:r>
              <w:rPr>
                <w:rFonts w:hint="eastAsia" w:ascii="仿宋" w:eastAsia="仿宋"/>
                <w:spacing w:val="-12"/>
                <w:sz w:val="28"/>
              </w:rPr>
              <w:t>数（A）</w:t>
            </w:r>
          </w:p>
        </w:tc>
        <w:tc>
          <w:tcPr>
            <w:tcW w:w="1656" w:type="dxa"/>
          </w:tcPr>
          <w:p>
            <w:pPr>
              <w:pStyle w:val="32"/>
              <w:spacing w:before="2"/>
              <w:rPr>
                <w:rFonts w:ascii="仿宋" w:eastAsia="仿宋"/>
                <w:spacing w:val="-12"/>
                <w:sz w:val="28"/>
              </w:rPr>
            </w:pPr>
          </w:p>
          <w:p>
            <w:pPr>
              <w:pStyle w:val="32"/>
              <w:ind w:left="86" w:right="19"/>
              <w:jc w:val="center"/>
              <w:rPr>
                <w:rFonts w:ascii="仿宋" w:eastAsia="仿宋"/>
                <w:spacing w:val="-12"/>
                <w:sz w:val="28"/>
              </w:rPr>
            </w:pPr>
            <w:r>
              <w:rPr>
                <w:rFonts w:hint="eastAsia" w:ascii="仿宋" w:eastAsia="仿宋"/>
                <w:spacing w:val="-12"/>
                <w:sz w:val="28"/>
              </w:rPr>
              <w:t>全年执行数（B）</w:t>
            </w:r>
          </w:p>
        </w:tc>
        <w:tc>
          <w:tcPr>
            <w:tcW w:w="533" w:type="dxa"/>
          </w:tcPr>
          <w:p>
            <w:pPr>
              <w:pStyle w:val="32"/>
              <w:spacing w:before="25"/>
              <w:ind w:left="166"/>
              <w:rPr>
                <w:rFonts w:ascii="仿宋" w:eastAsia="仿宋"/>
                <w:spacing w:val="-12"/>
                <w:sz w:val="28"/>
              </w:rPr>
            </w:pPr>
            <w:r>
              <w:rPr>
                <w:rFonts w:hint="eastAsia" w:ascii="仿宋" w:eastAsia="仿宋"/>
                <w:spacing w:val="-12"/>
                <w:sz w:val="28"/>
              </w:rPr>
              <w:t>分</w:t>
            </w:r>
          </w:p>
          <w:p>
            <w:pPr>
              <w:pStyle w:val="32"/>
              <w:spacing w:before="56"/>
              <w:ind w:left="166"/>
              <w:rPr>
                <w:rFonts w:ascii="仿宋" w:eastAsia="仿宋"/>
                <w:spacing w:val="-12"/>
                <w:sz w:val="28"/>
              </w:rPr>
            </w:pPr>
            <w:r>
              <w:rPr>
                <w:rFonts w:hint="eastAsia" w:ascii="仿宋" w:eastAsia="仿宋"/>
                <w:spacing w:val="-12"/>
                <w:sz w:val="28"/>
              </w:rPr>
              <w:t>值</w:t>
            </w:r>
          </w:p>
        </w:tc>
        <w:tc>
          <w:tcPr>
            <w:tcW w:w="1080" w:type="dxa"/>
          </w:tcPr>
          <w:p>
            <w:pPr>
              <w:pStyle w:val="32"/>
              <w:spacing w:before="25"/>
              <w:ind w:left="238"/>
              <w:rPr>
                <w:rFonts w:ascii="仿宋" w:eastAsia="仿宋"/>
                <w:spacing w:val="-12"/>
                <w:sz w:val="28"/>
              </w:rPr>
            </w:pPr>
            <w:r>
              <w:rPr>
                <w:rFonts w:hint="eastAsia" w:ascii="仿宋" w:eastAsia="仿宋"/>
                <w:spacing w:val="-12"/>
                <w:sz w:val="28"/>
              </w:rPr>
              <w:t>执行率</w:t>
            </w:r>
          </w:p>
          <w:p>
            <w:pPr>
              <w:pStyle w:val="32"/>
              <w:spacing w:before="56"/>
              <w:ind w:left="238"/>
              <w:rPr>
                <w:rFonts w:ascii="仿宋" w:eastAsia="仿宋"/>
                <w:spacing w:val="-12"/>
                <w:sz w:val="28"/>
              </w:rPr>
            </w:pPr>
            <w:r>
              <w:rPr>
                <w:rFonts w:hint="eastAsia" w:ascii="仿宋" w:eastAsia="仿宋"/>
                <w:spacing w:val="-12"/>
                <w:sz w:val="28"/>
                <w:lang w:eastAsia="zh-CN"/>
              </w:rPr>
              <w:t>(</w:t>
            </w:r>
            <w:r>
              <w:rPr>
                <w:rFonts w:hint="eastAsia" w:ascii="仿宋" w:eastAsia="仿宋"/>
                <w:spacing w:val="-12"/>
                <w:sz w:val="28"/>
              </w:rPr>
              <w:t>B/A)</w:t>
            </w:r>
          </w:p>
        </w:tc>
        <w:tc>
          <w:tcPr>
            <w:tcW w:w="1080" w:type="dxa"/>
          </w:tcPr>
          <w:p>
            <w:pPr>
              <w:pStyle w:val="32"/>
              <w:spacing w:before="2"/>
              <w:rPr>
                <w:rFonts w:ascii="仿宋" w:eastAsia="仿宋"/>
                <w:spacing w:val="-12"/>
                <w:sz w:val="28"/>
              </w:rPr>
            </w:pPr>
          </w:p>
          <w:p>
            <w:pPr>
              <w:pStyle w:val="32"/>
              <w:ind w:left="318" w:right="312"/>
              <w:jc w:val="center"/>
              <w:rPr>
                <w:rFonts w:ascii="仿宋" w:eastAsia="仿宋"/>
                <w:spacing w:val="-12"/>
                <w:sz w:val="28"/>
              </w:rPr>
            </w:pPr>
            <w:r>
              <w:rPr>
                <w:rFonts w:hint="eastAsia" w:ascii="仿宋" w:eastAsia="仿宋"/>
                <w:spacing w:val="-12"/>
                <w:sz w:val="28"/>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334" w:type="dxa"/>
          </w:tcPr>
          <w:p>
            <w:pPr>
              <w:pStyle w:val="32"/>
              <w:spacing w:before="28"/>
              <w:ind w:right="256"/>
              <w:jc w:val="right"/>
              <w:rPr>
                <w:rFonts w:ascii="仿宋" w:eastAsia="仿宋"/>
                <w:spacing w:val="-12"/>
                <w:sz w:val="28"/>
              </w:rPr>
            </w:pPr>
            <w:r>
              <w:rPr>
                <w:rFonts w:hint="eastAsia" w:ascii="仿宋" w:eastAsia="仿宋"/>
                <w:spacing w:val="-12"/>
                <w:sz w:val="28"/>
              </w:rPr>
              <w:t>（万元）</w:t>
            </w:r>
          </w:p>
        </w:tc>
        <w:tc>
          <w:tcPr>
            <w:tcW w:w="2793" w:type="dxa"/>
          </w:tcPr>
          <w:p>
            <w:pPr>
              <w:pStyle w:val="32"/>
              <w:spacing w:before="28"/>
              <w:ind w:left="696"/>
              <w:rPr>
                <w:rFonts w:ascii="仿宋" w:eastAsia="仿宋"/>
                <w:spacing w:val="-12"/>
                <w:sz w:val="28"/>
              </w:rPr>
            </w:pPr>
            <w:r>
              <w:rPr>
                <w:rFonts w:hint="eastAsia" w:ascii="仿宋" w:eastAsia="仿宋"/>
                <w:spacing w:val="-12"/>
                <w:sz w:val="28"/>
              </w:rPr>
              <w:t>年度资金总额：</w:t>
            </w:r>
          </w:p>
        </w:tc>
        <w:tc>
          <w:tcPr>
            <w:tcW w:w="1123" w:type="dxa"/>
          </w:tcPr>
          <w:p>
            <w:pPr>
              <w:pStyle w:val="32"/>
              <w:spacing w:before="28"/>
              <w:ind w:left="5"/>
              <w:jc w:val="center"/>
              <w:rPr>
                <w:rFonts w:ascii="仿宋" w:eastAsia="仿宋"/>
                <w:spacing w:val="-12"/>
                <w:sz w:val="28"/>
              </w:rPr>
            </w:pPr>
            <w:r>
              <w:rPr>
                <w:rFonts w:hint="eastAsia" w:ascii="仿宋" w:eastAsia="仿宋"/>
                <w:spacing w:val="-12"/>
                <w:sz w:val="28"/>
              </w:rPr>
              <w:t>2</w:t>
            </w:r>
          </w:p>
        </w:tc>
        <w:tc>
          <w:tcPr>
            <w:tcW w:w="1656" w:type="dxa"/>
          </w:tcPr>
          <w:p>
            <w:pPr>
              <w:pStyle w:val="32"/>
              <w:spacing w:before="28"/>
              <w:ind w:left="5"/>
              <w:jc w:val="center"/>
              <w:rPr>
                <w:rFonts w:ascii="仿宋" w:eastAsia="仿宋"/>
                <w:spacing w:val="-12"/>
                <w:sz w:val="28"/>
              </w:rPr>
            </w:pPr>
            <w:r>
              <w:rPr>
                <w:rFonts w:hint="eastAsia" w:ascii="仿宋" w:eastAsia="仿宋"/>
                <w:spacing w:val="-12"/>
                <w:sz w:val="28"/>
              </w:rPr>
              <w:t>2</w:t>
            </w:r>
          </w:p>
        </w:tc>
        <w:tc>
          <w:tcPr>
            <w:tcW w:w="533" w:type="dxa"/>
          </w:tcPr>
          <w:p>
            <w:pPr>
              <w:pStyle w:val="32"/>
              <w:spacing w:before="28"/>
              <w:ind w:left="166"/>
              <w:rPr>
                <w:rFonts w:ascii="仿宋" w:eastAsia="仿宋"/>
                <w:spacing w:val="-12"/>
                <w:sz w:val="28"/>
              </w:rPr>
            </w:pPr>
            <w:r>
              <w:rPr>
                <w:rFonts w:hint="eastAsia" w:ascii="仿宋" w:eastAsia="仿宋"/>
                <w:spacing w:val="-12"/>
                <w:sz w:val="28"/>
              </w:rPr>
              <w:t>10</w:t>
            </w:r>
          </w:p>
        </w:tc>
        <w:tc>
          <w:tcPr>
            <w:tcW w:w="1080" w:type="dxa"/>
          </w:tcPr>
          <w:p>
            <w:pPr>
              <w:pStyle w:val="32"/>
              <w:spacing w:before="28"/>
              <w:ind w:left="339"/>
              <w:rPr>
                <w:rFonts w:ascii="仿宋" w:eastAsia="仿宋"/>
                <w:spacing w:val="-12"/>
                <w:sz w:val="28"/>
              </w:rPr>
            </w:pPr>
            <w:r>
              <w:rPr>
                <w:rFonts w:hint="eastAsia" w:ascii="仿宋" w:eastAsia="仿宋"/>
                <w:spacing w:val="-12"/>
                <w:sz w:val="28"/>
              </w:rPr>
              <w:t>100%</w:t>
            </w:r>
          </w:p>
        </w:tc>
        <w:tc>
          <w:tcPr>
            <w:tcW w:w="1080" w:type="dxa"/>
          </w:tcPr>
          <w:p>
            <w:pPr>
              <w:pStyle w:val="32"/>
              <w:spacing w:before="28"/>
              <w:ind w:left="318" w:right="308"/>
              <w:jc w:val="center"/>
              <w:rPr>
                <w:rFonts w:ascii="仿宋" w:eastAsia="仿宋"/>
                <w:spacing w:val="-12"/>
                <w:sz w:val="28"/>
              </w:rPr>
            </w:pPr>
            <w:r>
              <w:rPr>
                <w:rFonts w:hint="eastAsia" w:ascii="仿宋" w:eastAsia="仿宋"/>
                <w:spacing w:val="-12"/>
                <w:sz w:val="2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1334" w:type="dxa"/>
          </w:tcPr>
          <w:p>
            <w:pPr>
              <w:pStyle w:val="32"/>
              <w:rPr>
                <w:rFonts w:ascii="仿宋" w:eastAsia="仿宋"/>
                <w:spacing w:val="-12"/>
                <w:sz w:val="28"/>
              </w:rPr>
            </w:pPr>
          </w:p>
        </w:tc>
        <w:tc>
          <w:tcPr>
            <w:tcW w:w="2793" w:type="dxa"/>
          </w:tcPr>
          <w:p>
            <w:pPr>
              <w:pStyle w:val="32"/>
              <w:spacing w:before="27"/>
              <w:ind w:left="224" w:right="118"/>
              <w:jc w:val="center"/>
              <w:rPr>
                <w:rFonts w:ascii="仿宋" w:eastAsia="仿宋"/>
                <w:spacing w:val="-12"/>
                <w:sz w:val="28"/>
              </w:rPr>
            </w:pPr>
            <w:r>
              <w:rPr>
                <w:rFonts w:hint="eastAsia" w:ascii="仿宋" w:eastAsia="仿宋"/>
                <w:spacing w:val="-12"/>
                <w:sz w:val="28"/>
              </w:rPr>
              <w:t>其中：中央、省、市财政资</w:t>
            </w:r>
          </w:p>
          <w:p>
            <w:pPr>
              <w:pStyle w:val="32"/>
              <w:spacing w:before="56"/>
              <w:ind w:left="8"/>
              <w:jc w:val="center"/>
              <w:rPr>
                <w:rFonts w:ascii="仿宋" w:eastAsia="仿宋"/>
                <w:spacing w:val="-12"/>
                <w:sz w:val="28"/>
              </w:rPr>
            </w:pPr>
            <w:r>
              <w:rPr>
                <w:rFonts w:hint="eastAsia" w:ascii="仿宋" w:eastAsia="仿宋"/>
                <w:spacing w:val="-12"/>
                <w:sz w:val="28"/>
              </w:rPr>
              <w:t>金</w:t>
            </w:r>
          </w:p>
        </w:tc>
        <w:tc>
          <w:tcPr>
            <w:tcW w:w="1123" w:type="dxa"/>
          </w:tcPr>
          <w:p>
            <w:pPr>
              <w:pStyle w:val="32"/>
              <w:rPr>
                <w:rFonts w:ascii="仿宋" w:eastAsia="仿宋"/>
                <w:spacing w:val="-12"/>
                <w:sz w:val="28"/>
              </w:rPr>
            </w:pPr>
          </w:p>
        </w:tc>
        <w:tc>
          <w:tcPr>
            <w:tcW w:w="1656" w:type="dxa"/>
          </w:tcPr>
          <w:p>
            <w:pPr>
              <w:pStyle w:val="32"/>
              <w:rPr>
                <w:rFonts w:ascii="仿宋" w:eastAsia="仿宋"/>
                <w:spacing w:val="-12"/>
                <w:sz w:val="28"/>
              </w:rPr>
            </w:pPr>
          </w:p>
        </w:tc>
        <w:tc>
          <w:tcPr>
            <w:tcW w:w="533" w:type="dxa"/>
          </w:tcPr>
          <w:p>
            <w:pPr>
              <w:pStyle w:val="32"/>
              <w:rPr>
                <w:rFonts w:ascii="仿宋" w:eastAsia="仿宋"/>
                <w:spacing w:val="-12"/>
                <w:sz w:val="28"/>
              </w:rPr>
            </w:pPr>
          </w:p>
        </w:tc>
        <w:tc>
          <w:tcPr>
            <w:tcW w:w="1080" w:type="dxa"/>
          </w:tcPr>
          <w:p>
            <w:pPr>
              <w:pStyle w:val="32"/>
              <w:rPr>
                <w:rFonts w:ascii="仿宋" w:eastAsia="仿宋"/>
                <w:spacing w:val="-12"/>
                <w:sz w:val="28"/>
              </w:rPr>
            </w:pPr>
          </w:p>
        </w:tc>
        <w:tc>
          <w:tcPr>
            <w:tcW w:w="1080" w:type="dxa"/>
          </w:tcPr>
          <w:p>
            <w:pPr>
              <w:pStyle w:val="32"/>
              <w:rPr>
                <w:rFonts w:ascii="仿宋" w:eastAsia="仿宋"/>
                <w:spacing w:val="-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1334" w:type="dxa"/>
          </w:tcPr>
          <w:p>
            <w:pPr>
              <w:pStyle w:val="32"/>
              <w:rPr>
                <w:rFonts w:ascii="仿宋" w:eastAsia="仿宋"/>
                <w:spacing w:val="-12"/>
                <w:sz w:val="28"/>
              </w:rPr>
            </w:pPr>
          </w:p>
        </w:tc>
        <w:tc>
          <w:tcPr>
            <w:tcW w:w="2793" w:type="dxa"/>
          </w:tcPr>
          <w:p>
            <w:pPr>
              <w:pStyle w:val="32"/>
              <w:spacing w:before="27"/>
              <w:ind w:left="1145"/>
              <w:rPr>
                <w:rFonts w:ascii="仿宋" w:eastAsia="仿宋"/>
                <w:spacing w:val="-12"/>
                <w:sz w:val="28"/>
              </w:rPr>
            </w:pPr>
            <w:r>
              <w:rPr>
                <w:rFonts w:hint="eastAsia" w:ascii="仿宋" w:eastAsia="仿宋"/>
                <w:spacing w:val="-12"/>
                <w:sz w:val="28"/>
              </w:rPr>
              <w:t>县级财政资金</w:t>
            </w:r>
          </w:p>
        </w:tc>
        <w:tc>
          <w:tcPr>
            <w:tcW w:w="1123" w:type="dxa"/>
          </w:tcPr>
          <w:p>
            <w:pPr>
              <w:pStyle w:val="32"/>
              <w:spacing w:before="27"/>
              <w:ind w:left="5"/>
              <w:jc w:val="center"/>
              <w:rPr>
                <w:rFonts w:ascii="仿宋" w:eastAsia="仿宋"/>
                <w:spacing w:val="-12"/>
                <w:sz w:val="28"/>
              </w:rPr>
            </w:pPr>
            <w:r>
              <w:rPr>
                <w:rFonts w:hint="eastAsia" w:ascii="仿宋" w:eastAsia="仿宋"/>
                <w:spacing w:val="-12"/>
                <w:sz w:val="28"/>
              </w:rPr>
              <w:t>2</w:t>
            </w:r>
          </w:p>
        </w:tc>
        <w:tc>
          <w:tcPr>
            <w:tcW w:w="1656" w:type="dxa"/>
          </w:tcPr>
          <w:p>
            <w:pPr>
              <w:pStyle w:val="32"/>
              <w:spacing w:before="27"/>
              <w:ind w:left="5"/>
              <w:jc w:val="center"/>
              <w:rPr>
                <w:rFonts w:ascii="仿宋" w:eastAsia="仿宋"/>
                <w:spacing w:val="-12"/>
                <w:sz w:val="28"/>
              </w:rPr>
            </w:pPr>
            <w:r>
              <w:rPr>
                <w:rFonts w:hint="eastAsia" w:ascii="仿宋" w:eastAsia="仿宋"/>
                <w:spacing w:val="-12"/>
                <w:sz w:val="28"/>
              </w:rPr>
              <w:t>2</w:t>
            </w:r>
          </w:p>
        </w:tc>
        <w:tc>
          <w:tcPr>
            <w:tcW w:w="533" w:type="dxa"/>
          </w:tcPr>
          <w:p>
            <w:pPr>
              <w:pStyle w:val="32"/>
              <w:rPr>
                <w:rFonts w:ascii="仿宋" w:eastAsia="仿宋"/>
                <w:spacing w:val="-12"/>
                <w:sz w:val="28"/>
              </w:rPr>
            </w:pPr>
          </w:p>
        </w:tc>
        <w:tc>
          <w:tcPr>
            <w:tcW w:w="1080" w:type="dxa"/>
          </w:tcPr>
          <w:p>
            <w:pPr>
              <w:pStyle w:val="32"/>
              <w:rPr>
                <w:rFonts w:ascii="仿宋" w:eastAsia="仿宋"/>
                <w:spacing w:val="-12"/>
                <w:sz w:val="28"/>
              </w:rPr>
            </w:pPr>
          </w:p>
        </w:tc>
        <w:tc>
          <w:tcPr>
            <w:tcW w:w="1080" w:type="dxa"/>
          </w:tcPr>
          <w:p>
            <w:pPr>
              <w:pStyle w:val="32"/>
              <w:rPr>
                <w:rFonts w:ascii="仿宋" w:eastAsia="仿宋"/>
                <w:spacing w:val="-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3" w:hRule="atLeast"/>
        </w:trPr>
        <w:tc>
          <w:tcPr>
            <w:tcW w:w="1334" w:type="dxa"/>
          </w:tcPr>
          <w:p>
            <w:pPr>
              <w:pStyle w:val="32"/>
              <w:rPr>
                <w:rFonts w:ascii="仿宋" w:eastAsia="仿宋"/>
                <w:spacing w:val="-12"/>
                <w:sz w:val="28"/>
              </w:rPr>
            </w:pPr>
          </w:p>
        </w:tc>
        <w:tc>
          <w:tcPr>
            <w:tcW w:w="2793" w:type="dxa"/>
          </w:tcPr>
          <w:p>
            <w:pPr>
              <w:pStyle w:val="32"/>
              <w:spacing w:before="28"/>
              <w:ind w:left="1344"/>
              <w:rPr>
                <w:rFonts w:ascii="仿宋" w:eastAsia="仿宋"/>
                <w:spacing w:val="-12"/>
                <w:sz w:val="28"/>
              </w:rPr>
            </w:pPr>
            <w:r>
              <w:rPr>
                <w:rFonts w:hint="eastAsia" w:ascii="仿宋" w:eastAsia="仿宋"/>
                <w:spacing w:val="-12"/>
                <w:sz w:val="28"/>
              </w:rPr>
              <w:t>其他资金</w:t>
            </w:r>
          </w:p>
        </w:tc>
        <w:tc>
          <w:tcPr>
            <w:tcW w:w="1123" w:type="dxa"/>
          </w:tcPr>
          <w:p>
            <w:pPr>
              <w:pStyle w:val="32"/>
              <w:rPr>
                <w:rFonts w:ascii="仿宋" w:eastAsia="仿宋"/>
                <w:spacing w:val="-12"/>
                <w:sz w:val="28"/>
              </w:rPr>
            </w:pPr>
          </w:p>
        </w:tc>
        <w:tc>
          <w:tcPr>
            <w:tcW w:w="1656" w:type="dxa"/>
          </w:tcPr>
          <w:p>
            <w:pPr>
              <w:pStyle w:val="32"/>
              <w:rPr>
                <w:rFonts w:ascii="仿宋" w:eastAsia="仿宋"/>
                <w:spacing w:val="-12"/>
                <w:sz w:val="28"/>
              </w:rPr>
            </w:pPr>
          </w:p>
        </w:tc>
        <w:tc>
          <w:tcPr>
            <w:tcW w:w="533" w:type="dxa"/>
          </w:tcPr>
          <w:p>
            <w:pPr>
              <w:pStyle w:val="32"/>
              <w:rPr>
                <w:rFonts w:ascii="仿宋" w:eastAsia="仿宋"/>
                <w:spacing w:val="-12"/>
                <w:sz w:val="28"/>
              </w:rPr>
            </w:pPr>
          </w:p>
        </w:tc>
        <w:tc>
          <w:tcPr>
            <w:tcW w:w="1080" w:type="dxa"/>
          </w:tcPr>
          <w:p>
            <w:pPr>
              <w:pStyle w:val="32"/>
              <w:rPr>
                <w:rFonts w:ascii="仿宋" w:eastAsia="仿宋"/>
                <w:spacing w:val="-12"/>
                <w:sz w:val="28"/>
              </w:rPr>
            </w:pPr>
          </w:p>
        </w:tc>
        <w:tc>
          <w:tcPr>
            <w:tcW w:w="1080" w:type="dxa"/>
          </w:tcPr>
          <w:p>
            <w:pPr>
              <w:pStyle w:val="32"/>
              <w:rPr>
                <w:rFonts w:ascii="仿宋" w:eastAsia="仿宋"/>
                <w:spacing w:val="-12"/>
                <w:sz w:val="28"/>
              </w:rPr>
            </w:pPr>
          </w:p>
        </w:tc>
      </w:tr>
    </w:tbl>
    <w:p>
      <w:pPr>
        <w:pStyle w:val="2"/>
        <w:spacing w:before="72"/>
        <w:rPr>
          <w:rFonts w:ascii="楷体"/>
          <w:b/>
        </w:rPr>
      </w:pPr>
    </w:p>
    <w:p>
      <w:pPr>
        <w:pStyle w:val="2"/>
        <w:spacing w:before="72"/>
        <w:rPr>
          <w:rFonts w:ascii="楷体"/>
          <w:b/>
          <w:sz w:val="29"/>
        </w:rPr>
      </w:pPr>
    </w:p>
    <w:p>
      <w:pPr>
        <w:ind w:firstLine="643" w:firstLineChars="200"/>
        <w:jc w:val="left"/>
        <w:rPr>
          <w:rFonts w:ascii="楷体" w:eastAsia="楷体"/>
          <w:b/>
          <w:sz w:val="32"/>
        </w:rPr>
      </w:pPr>
      <w:r>
        <w:rPr>
          <w:rFonts w:hint="eastAsia" w:ascii="楷体" w:eastAsia="楷体"/>
          <w:b/>
          <w:sz w:val="32"/>
        </w:rPr>
        <w:t>（三）项目财务管理情况。</w:t>
      </w:r>
    </w:p>
    <w:p>
      <w:pPr>
        <w:spacing w:line="536" w:lineRule="exact"/>
        <w:ind w:firstLine="640" w:firstLineChars="200"/>
        <w:jc w:val="left"/>
        <w:rPr>
          <w:rFonts w:ascii="仿宋_GB2312" w:eastAsia="仿宋_GB2312" w:cs="仿宋_GB2312"/>
          <w:kern w:val="0"/>
          <w:sz w:val="32"/>
          <w:szCs w:val="24"/>
        </w:rPr>
      </w:pPr>
      <w:r>
        <w:rPr>
          <w:rFonts w:hint="eastAsia" w:ascii="仿宋_GB2312" w:eastAsia="仿宋_GB2312" w:cs="仿宋_GB2312"/>
          <w:kern w:val="0"/>
          <w:sz w:val="32"/>
          <w:szCs w:val="24"/>
        </w:rPr>
        <w:t>各项目实施单位财务管理制度健全，严格执行财务管理 制度，账务处理及时，会计核算规范。</w:t>
      </w:r>
    </w:p>
    <w:p>
      <w:pPr>
        <w:pStyle w:val="2"/>
        <w:spacing w:before="72"/>
      </w:pPr>
    </w:p>
    <w:p>
      <w:pPr>
        <w:pStyle w:val="2"/>
        <w:spacing w:before="72"/>
        <w:ind w:firstLine="643" w:firstLineChars="200"/>
        <w:rPr>
          <w:rFonts w:ascii="黑体" w:eastAsia="黑体"/>
          <w:b/>
          <w:bCs/>
          <w:sz w:val="32"/>
          <w:szCs w:val="32"/>
        </w:rPr>
      </w:pPr>
      <w:r>
        <w:rPr>
          <w:rFonts w:hint="eastAsia" w:ascii="黑体" w:eastAsia="黑体"/>
          <w:b/>
          <w:bCs/>
          <w:sz w:val="32"/>
          <w:szCs w:val="32"/>
        </w:rPr>
        <w:t>三、项目实施及管理情况</w:t>
      </w:r>
    </w:p>
    <w:p>
      <w:pPr>
        <w:pStyle w:val="5"/>
        <w:ind w:firstLine="643" w:firstLineChars="200"/>
      </w:pPr>
      <w:r>
        <w:t>（一）项目组织架构及实施流程。</w:t>
      </w:r>
    </w:p>
    <w:p>
      <w:pPr>
        <w:spacing w:before="137"/>
        <w:ind w:firstLine="640" w:firstLineChars="200"/>
        <w:jc w:val="left"/>
        <w:rPr>
          <w:rFonts w:ascii="仿宋_GB2312" w:eastAsia="仿宋_GB2312" w:cs="仿宋_GB2312"/>
          <w:kern w:val="0"/>
          <w:sz w:val="32"/>
          <w:szCs w:val="24"/>
        </w:rPr>
      </w:pPr>
      <w:r>
        <w:rPr>
          <w:rFonts w:hint="eastAsia" w:ascii="仿宋_GB2312" w:eastAsia="仿宋_GB2312" w:cs="仿宋_GB2312"/>
          <w:kern w:val="0"/>
          <w:sz w:val="32"/>
          <w:szCs w:val="24"/>
        </w:rPr>
        <w:t>申报项目</w:t>
      </w:r>
      <w:r>
        <w:rPr>
          <w:rFonts w:hint="eastAsia" w:ascii="仿宋_GB2312" w:eastAsia="仿宋_GB2312" w:cs="仿宋_GB2312"/>
          <w:kern w:val="0"/>
          <w:sz w:val="32"/>
          <w:szCs w:val="24"/>
          <w:lang w:eastAsia="zh-CN"/>
        </w:rPr>
        <w:t>－</w:t>
      </w:r>
      <w:r>
        <w:rPr>
          <w:rFonts w:hint="eastAsia" w:ascii="仿宋_GB2312" w:eastAsia="仿宋_GB2312" w:cs="仿宋_GB2312"/>
          <w:kern w:val="0"/>
          <w:sz w:val="32"/>
          <w:szCs w:val="24"/>
        </w:rPr>
        <w:t>项目执行</w:t>
      </w:r>
      <w:r>
        <w:rPr>
          <w:rFonts w:hint="eastAsia" w:ascii="仿宋_GB2312" w:eastAsia="仿宋_GB2312" w:cs="仿宋_GB2312"/>
          <w:kern w:val="0"/>
          <w:sz w:val="32"/>
          <w:szCs w:val="24"/>
          <w:lang w:eastAsia="zh-CN"/>
        </w:rPr>
        <w:t>－</w:t>
      </w:r>
      <w:r>
        <w:rPr>
          <w:rFonts w:hint="eastAsia" w:ascii="仿宋_GB2312" w:eastAsia="仿宋_GB2312" w:cs="仿宋_GB2312"/>
          <w:kern w:val="0"/>
          <w:sz w:val="32"/>
          <w:szCs w:val="24"/>
        </w:rPr>
        <w:t>项目监督</w:t>
      </w:r>
      <w:r>
        <w:rPr>
          <w:rFonts w:hint="eastAsia" w:ascii="仿宋_GB2312" w:eastAsia="仿宋_GB2312" w:cs="仿宋_GB2312"/>
          <w:kern w:val="0"/>
          <w:sz w:val="32"/>
          <w:szCs w:val="24"/>
          <w:lang w:eastAsia="zh-CN"/>
        </w:rPr>
        <w:t>－</w:t>
      </w:r>
      <w:r>
        <w:rPr>
          <w:rFonts w:hint="eastAsia" w:ascii="仿宋_GB2312" w:eastAsia="仿宋_GB2312" w:cs="仿宋_GB2312"/>
          <w:kern w:val="0"/>
          <w:sz w:val="32"/>
          <w:szCs w:val="24"/>
        </w:rPr>
        <w:t>项目评价</w:t>
      </w:r>
    </w:p>
    <w:p>
      <w:pPr>
        <w:pStyle w:val="2"/>
        <w:spacing w:before="72" w:line="350" w:lineRule="auto"/>
        <w:ind w:right="1399" w:firstLine="643" w:firstLineChars="200"/>
        <w:rPr>
          <w:rFonts w:ascii="楷体" w:eastAsia="楷体"/>
          <w:b/>
          <w:sz w:val="32"/>
        </w:rPr>
      </w:pPr>
      <w:r>
        <w:rPr>
          <w:rFonts w:hint="eastAsia" w:ascii="楷体" w:eastAsia="楷体"/>
          <w:b/>
          <w:sz w:val="32"/>
        </w:rPr>
        <w:t>（二）项目管理情况。</w:t>
      </w:r>
    </w:p>
    <w:p>
      <w:pPr>
        <w:spacing w:line="536" w:lineRule="exact"/>
        <w:ind w:firstLine="640" w:firstLineChars="200"/>
        <w:jc w:val="left"/>
        <w:rPr>
          <w:rFonts w:ascii="仿宋_GB2312" w:eastAsia="仿宋_GB2312" w:cs="仿宋_GB2312"/>
          <w:kern w:val="0"/>
          <w:sz w:val="32"/>
          <w:szCs w:val="24"/>
        </w:rPr>
      </w:pPr>
      <w:r>
        <w:rPr>
          <w:rFonts w:hint="eastAsia" w:ascii="仿宋_GB2312" w:eastAsia="仿宋_GB2312" w:cs="仿宋_GB2312"/>
          <w:kern w:val="0"/>
          <w:sz w:val="32"/>
          <w:szCs w:val="24"/>
        </w:rPr>
        <w:t>结合项目特点，总体评价各项目实施单位执行相关法律法规及项目管理制度等情况，如招投标、政府采购、项目公示制等相关规定。</w:t>
      </w:r>
    </w:p>
    <w:p>
      <w:pPr>
        <w:spacing w:line="396" w:lineRule="exact"/>
        <w:jc w:val="left"/>
        <w:rPr>
          <w:rFonts w:ascii="楷体" w:eastAsia="楷体"/>
          <w:b/>
          <w:sz w:val="32"/>
        </w:rPr>
      </w:pPr>
      <w:r>
        <w:rPr>
          <w:rFonts w:hint="eastAsia" w:ascii="楷体" w:eastAsia="楷体"/>
          <w:b/>
          <w:sz w:val="32"/>
        </w:rPr>
        <w:t xml:space="preserve">   （三）项目监管情况。</w:t>
      </w:r>
    </w:p>
    <w:p>
      <w:pPr>
        <w:spacing w:line="536" w:lineRule="exact"/>
        <w:ind w:firstLine="640" w:firstLineChars="200"/>
        <w:jc w:val="left"/>
        <w:rPr>
          <w:rFonts w:ascii="仿宋_GB2312" w:eastAsia="仿宋_GB2312" w:cs="仿宋_GB2312"/>
          <w:kern w:val="0"/>
          <w:sz w:val="32"/>
          <w:szCs w:val="24"/>
        </w:rPr>
      </w:pPr>
      <w:r>
        <w:rPr>
          <w:rFonts w:hint="eastAsia" w:ascii="仿宋_GB2312" w:eastAsia="仿宋_GB2312" w:cs="仿宋_GB2312"/>
          <w:kern w:val="0"/>
          <w:sz w:val="32"/>
          <w:szCs w:val="24"/>
        </w:rPr>
        <w:t>柳沟镇</w:t>
      </w:r>
      <w:r>
        <w:rPr>
          <w:rFonts w:ascii="仿宋_GB2312" w:eastAsia="仿宋_GB2312" w:cs="仿宋_GB2312"/>
          <w:kern w:val="0"/>
          <w:sz w:val="32"/>
          <w:szCs w:val="24"/>
        </w:rPr>
        <w:t>人民政府的森林防火项目的实施，切实减少了辖区内火灾隐患，国有森林资源和群众 生命财产安全得到有效保障，同时项目实施监督到位，产生 了良好的社会环境效益。</w:t>
      </w:r>
    </w:p>
    <w:p>
      <w:pPr>
        <w:pStyle w:val="2"/>
        <w:numPr>
          <w:ilvl w:val="0"/>
          <w:numId w:val="11"/>
        </w:numPr>
        <w:spacing w:before="72"/>
        <w:ind w:firstLine="643" w:firstLineChars="200"/>
        <w:rPr>
          <w:rFonts w:ascii="黑体" w:eastAsia="黑体"/>
          <w:b/>
          <w:bCs/>
          <w:sz w:val="32"/>
          <w:szCs w:val="32"/>
        </w:rPr>
      </w:pPr>
      <w:r>
        <w:rPr>
          <w:rFonts w:hint="eastAsia" w:ascii="黑体" w:eastAsia="黑体"/>
          <w:b/>
          <w:bCs/>
          <w:sz w:val="32"/>
          <w:szCs w:val="32"/>
        </w:rPr>
        <w:t>项目绩效情况</w:t>
      </w:r>
    </w:p>
    <w:p>
      <w:pPr>
        <w:spacing w:line="396" w:lineRule="exact"/>
        <w:ind w:firstLine="643" w:firstLineChars="200"/>
        <w:jc w:val="left"/>
        <w:rPr>
          <w:rFonts w:ascii="楷体" w:eastAsia="楷体"/>
          <w:b/>
          <w:sz w:val="32"/>
        </w:rPr>
      </w:pPr>
      <w:r>
        <w:rPr>
          <w:rFonts w:hint="eastAsia" w:ascii="楷体" w:eastAsia="楷体"/>
          <w:b/>
          <w:sz w:val="32"/>
        </w:rPr>
        <w:t>（一）项目完成情况。</w:t>
      </w:r>
    </w:p>
    <w:p>
      <w:pPr>
        <w:pStyle w:val="5"/>
        <w:spacing w:line="360" w:lineRule="auto"/>
        <w:ind w:firstLine="640" w:firstLineChars="200"/>
        <w:rPr>
          <w:rFonts w:ascii="仿宋_GB2312" w:eastAsia="仿宋_GB2312" w:cs="仿宋_GB2312"/>
          <w:b w:val="0"/>
          <w:bCs w:val="0"/>
          <w:kern w:val="0"/>
          <w:szCs w:val="24"/>
        </w:rPr>
      </w:pPr>
      <w:r>
        <w:rPr>
          <w:rFonts w:ascii="仿宋_GB2312" w:eastAsia="仿宋_GB2312" w:cs="仿宋_GB2312"/>
          <w:b w:val="0"/>
          <w:bCs w:val="0"/>
          <w:kern w:val="0"/>
          <w:szCs w:val="24"/>
        </w:rPr>
        <w:t>本项目实施组织严密，管理规范有序，资金使用管理到位，实施后社会经济效益凸显。主管部门专门考核，配备专职人员，对森林防火工作实施日常监督和考核。</w:t>
      </w:r>
      <w:r>
        <w:rPr>
          <w:rFonts w:hint="eastAsia" w:ascii="仿宋_GB2312" w:eastAsia="仿宋_GB2312" w:cs="仿宋_GB2312"/>
          <w:b w:val="0"/>
          <w:bCs w:val="0"/>
          <w:kern w:val="0"/>
          <w:szCs w:val="24"/>
        </w:rPr>
        <w:t>柳沟镇</w:t>
      </w:r>
      <w:r>
        <w:rPr>
          <w:rFonts w:ascii="仿宋_GB2312" w:eastAsia="仿宋_GB2312" w:cs="仿宋_GB2312"/>
          <w:b w:val="0"/>
          <w:bCs w:val="0"/>
          <w:kern w:val="0"/>
          <w:szCs w:val="24"/>
        </w:rPr>
        <w:t>人民政府林业站配备专职人员，对森林防火工作实施日常监督和考核。为了加强项目的资金管理，我镇制定了重点工程项目建设管理和财务管理制度，并将该项目纳入重点项目财务核算，实行集中支付和报账制，确保资金封闭运行，项目实施中县财政、县审计以及监察部门定期或不定期</w:t>
      </w:r>
      <w:r>
        <w:rPr>
          <w:rFonts w:hint="eastAsia" w:ascii="仿宋_GB2312" w:eastAsia="仿宋_GB2312" w:cs="仿宋_GB2312"/>
          <w:b w:val="0"/>
          <w:bCs w:val="0"/>
          <w:kern w:val="0"/>
          <w:szCs w:val="24"/>
          <w:lang w:eastAsia="zh-CN"/>
        </w:rPr>
        <w:t>地</w:t>
      </w:r>
      <w:r>
        <w:rPr>
          <w:rFonts w:ascii="仿宋_GB2312" w:eastAsia="仿宋_GB2312" w:cs="仿宋_GB2312"/>
          <w:b w:val="0"/>
          <w:bCs w:val="0"/>
          <w:kern w:val="0"/>
          <w:szCs w:val="24"/>
        </w:rPr>
        <w:t>实行检查、 督察，确保项目资金的安全运行。</w:t>
      </w:r>
    </w:p>
    <w:p>
      <w:pPr>
        <w:pStyle w:val="5"/>
        <w:spacing w:line="360" w:lineRule="auto"/>
        <w:ind w:firstLine="640" w:firstLineChars="200"/>
        <w:rPr>
          <w:rFonts w:ascii="仿宋_GB2312" w:eastAsia="仿宋_GB2312" w:cs="仿宋_GB2312"/>
          <w:b w:val="0"/>
          <w:bCs w:val="0"/>
          <w:kern w:val="0"/>
          <w:szCs w:val="24"/>
        </w:rPr>
      </w:pPr>
      <w:r>
        <w:rPr>
          <w:rFonts w:ascii="仿宋_GB2312" w:eastAsia="仿宋_GB2312" w:cs="仿宋_GB2312"/>
          <w:b w:val="0"/>
          <w:bCs w:val="0"/>
          <w:kern w:val="0"/>
          <w:szCs w:val="24"/>
        </w:rPr>
        <w:t>资金使用过程中，严把监督审核关，建立健全内部审批 制度。对每笔用款申请，在所附资料齐备的情况下，经审核确认后再报县财政局审批后付款。确保国有森林资源和群众 生命财产安全得到有效保障，项目实施到位，产生了良好的 社会环境效益。</w:t>
      </w:r>
    </w:p>
    <w:p>
      <w:pPr>
        <w:pStyle w:val="5"/>
        <w:spacing w:before="5"/>
        <w:ind w:firstLine="643" w:firstLineChars="200"/>
      </w:pPr>
      <w:r>
        <w:t>（二）项目效益情况。</w:t>
      </w:r>
    </w:p>
    <w:p>
      <w:pPr>
        <w:sectPr>
          <w:pgSz w:w="11910" w:h="16840"/>
          <w:pgMar w:top="1540" w:right="400" w:bottom="1380" w:left="1060" w:header="0" w:footer="1197" w:gutter="0"/>
          <w:cols w:space="720" w:num="1"/>
        </w:sectPr>
      </w:pPr>
    </w:p>
    <w:p>
      <w:pPr>
        <w:pStyle w:val="2"/>
        <w:spacing w:before="72" w:line="340" w:lineRule="auto"/>
        <w:ind w:right="1399" w:firstLine="640" w:firstLineChars="200"/>
        <w:rPr>
          <w:sz w:val="32"/>
        </w:rPr>
      </w:pPr>
      <w:r>
        <w:rPr>
          <w:sz w:val="32"/>
        </w:rPr>
        <w:t xml:space="preserve">1、社会效益：通过项目的实施，有效保护森林资源， </w:t>
      </w:r>
      <w:r>
        <w:rPr>
          <w:rFonts w:hint="eastAsia"/>
          <w:sz w:val="32"/>
          <w:lang w:eastAsia="zh-CN"/>
        </w:rPr>
        <w:t>增强</w:t>
      </w:r>
      <w:r>
        <w:rPr>
          <w:sz w:val="32"/>
        </w:rPr>
        <w:t>全民森林防灭火意识，国家资源与人民群众</w:t>
      </w:r>
      <w:r>
        <w:rPr>
          <w:rFonts w:hint="eastAsia"/>
          <w:sz w:val="32"/>
          <w:lang w:eastAsia="zh-CN"/>
        </w:rPr>
        <w:t>生命财产安全</w:t>
      </w:r>
      <w:r>
        <w:rPr>
          <w:sz w:val="32"/>
        </w:rPr>
        <w:t xml:space="preserve"> 全得到有效保护。</w:t>
      </w:r>
    </w:p>
    <w:p>
      <w:pPr>
        <w:pStyle w:val="2"/>
        <w:spacing w:before="72" w:line="367" w:lineRule="exact"/>
        <w:ind w:firstLine="640" w:firstLineChars="200"/>
        <w:rPr>
          <w:sz w:val="32"/>
        </w:rPr>
      </w:pPr>
      <w:r>
        <w:rPr>
          <w:sz w:val="32"/>
        </w:rPr>
        <w:t>2、环境效益：通过项目的实施，强化全民防火重识和</w:t>
      </w:r>
    </w:p>
    <w:p>
      <w:pPr>
        <w:pStyle w:val="2"/>
        <w:spacing w:before="72" w:line="364" w:lineRule="auto"/>
        <w:ind w:right="1399"/>
        <w:rPr>
          <w:sz w:val="32"/>
        </w:rPr>
      </w:pPr>
      <w:r>
        <w:rPr>
          <w:sz w:val="32"/>
        </w:rPr>
        <w:t>责任意识，为全镇森林防火工作开展创造良好的社会舆论和法治氛围，人民群众森林防火意识增强，提高全镇森林火灾 预防控能力，森林火灾发生次数明显下降减少，野外用火得 到有效控制，巩固现有绿化造林成果及维护林区长治久安</w:t>
      </w:r>
      <w:r>
        <w:rPr>
          <w:rFonts w:hint="eastAsia"/>
          <w:sz w:val="32"/>
          <w:lang w:eastAsia="zh-CN"/>
        </w:rPr>
        <w:t>，</w:t>
      </w:r>
      <w:r>
        <w:rPr>
          <w:sz w:val="32"/>
        </w:rPr>
        <w:t xml:space="preserve"> </w:t>
      </w:r>
      <w:r>
        <w:rPr>
          <w:rFonts w:hint="eastAsia"/>
          <w:sz w:val="32"/>
          <w:lang w:eastAsia="zh-CN"/>
        </w:rPr>
        <w:t>维护</w:t>
      </w:r>
      <w:r>
        <w:rPr>
          <w:sz w:val="32"/>
        </w:rPr>
        <w:t>社会稳定的需要</w:t>
      </w:r>
      <w:r>
        <w:rPr>
          <w:rFonts w:hint="eastAsia"/>
          <w:sz w:val="32"/>
          <w:lang w:eastAsia="zh-CN"/>
        </w:rPr>
        <w:t>，</w:t>
      </w:r>
      <w:r>
        <w:rPr>
          <w:sz w:val="32"/>
        </w:rPr>
        <w:t>改善生态环境，促进经济可持续发展的需要</w:t>
      </w:r>
      <w:r>
        <w:rPr>
          <w:rFonts w:hint="eastAsia"/>
          <w:sz w:val="32"/>
          <w:lang w:eastAsia="zh-CN"/>
        </w:rPr>
        <w:t>，</w:t>
      </w:r>
      <w:r>
        <w:rPr>
          <w:sz w:val="32"/>
        </w:rPr>
        <w:t>使</w:t>
      </w:r>
      <w:r>
        <w:rPr>
          <w:rFonts w:hint="eastAsia"/>
          <w:sz w:val="32"/>
        </w:rPr>
        <w:t>柳沟</w:t>
      </w:r>
      <w:r>
        <w:rPr>
          <w:sz w:val="32"/>
        </w:rPr>
        <w:t>的山更绿、水更清、天更蓝。</w:t>
      </w:r>
    </w:p>
    <w:p>
      <w:pPr>
        <w:pStyle w:val="2"/>
        <w:spacing w:before="72" w:line="340" w:lineRule="auto"/>
        <w:ind w:right="1399" w:firstLine="638"/>
        <w:rPr>
          <w:sz w:val="32"/>
        </w:rPr>
      </w:pPr>
      <w:r>
        <w:rPr>
          <w:sz w:val="32"/>
        </w:rPr>
        <w:t>3、经济效益：森林火灾的有效控制，大幅降低救火救灾以及生态修复支出，防患于未“燃”，有效预防各种灾情 及相关支出。</w:t>
      </w:r>
    </w:p>
    <w:p>
      <w:pPr>
        <w:pStyle w:val="2"/>
        <w:spacing w:before="72" w:line="338" w:lineRule="auto"/>
        <w:ind w:right="1082" w:firstLine="638"/>
        <w:rPr>
          <w:sz w:val="32"/>
        </w:rPr>
      </w:pPr>
      <w:r>
        <w:rPr>
          <w:sz w:val="32"/>
        </w:rPr>
        <w:t>4、可持续影响：通过项目的实施，强化全民防火</w:t>
      </w:r>
      <w:r>
        <w:rPr>
          <w:rFonts w:hint="eastAsia"/>
          <w:sz w:val="32"/>
          <w:lang w:eastAsia="zh-CN"/>
        </w:rPr>
        <w:t>重视</w:t>
      </w:r>
      <w:r>
        <w:rPr>
          <w:sz w:val="32"/>
        </w:rPr>
        <w:t xml:space="preserve"> 和责任意识，为全镇森林防火工作开展创造良好的社会舆论 和法治氛围，人民群众森林防火意识增强，提高全镇森林火 灾预防控能力，森林火灾发生次数明显下降减少，野外用火 得到有效控制，巩固现有绿化造林成果及维护林区长治久安， 可持续提高人民生活质量，并可取得良好的社会、经济和环 境效益，具有可持续影响。</w:t>
      </w:r>
    </w:p>
    <w:p>
      <w:pPr>
        <w:pStyle w:val="2"/>
        <w:spacing w:before="72"/>
        <w:rPr>
          <w:sz w:val="26"/>
        </w:rPr>
      </w:pPr>
    </w:p>
    <w:p>
      <w:pPr>
        <w:pStyle w:val="2"/>
        <w:spacing w:before="72"/>
        <w:ind w:firstLine="643" w:firstLineChars="200"/>
        <w:rPr>
          <w:rFonts w:ascii="黑体" w:eastAsia="黑体"/>
          <w:b/>
          <w:bCs/>
          <w:sz w:val="32"/>
          <w:szCs w:val="32"/>
        </w:rPr>
      </w:pPr>
      <w:r>
        <w:rPr>
          <w:rFonts w:hint="eastAsia" w:ascii="黑体" w:eastAsia="黑体"/>
          <w:b/>
          <w:bCs/>
          <w:sz w:val="32"/>
          <w:szCs w:val="32"/>
        </w:rPr>
        <w:t>五、评价结论及建议</w:t>
      </w:r>
    </w:p>
    <w:p>
      <w:pPr>
        <w:pStyle w:val="2"/>
        <w:spacing w:before="72" w:line="338" w:lineRule="auto"/>
        <w:ind w:right="1082" w:firstLine="638"/>
        <w:rPr>
          <w:rFonts w:ascii="Times New Roman" w:eastAsia="宋体" w:cs="Times New Roman"/>
          <w:b/>
          <w:bCs/>
          <w:kern w:val="2"/>
          <w:sz w:val="32"/>
          <w:szCs w:val="32"/>
        </w:rPr>
      </w:pPr>
      <w:r>
        <w:rPr>
          <w:rFonts w:ascii="Times New Roman" w:eastAsia="宋体" w:cs="Times New Roman"/>
          <w:b/>
          <w:bCs/>
          <w:kern w:val="2"/>
          <w:sz w:val="32"/>
          <w:szCs w:val="32"/>
        </w:rPr>
        <w:t>（一）评价结论。</w:t>
      </w:r>
    </w:p>
    <w:p>
      <w:pPr>
        <w:pStyle w:val="2"/>
        <w:spacing w:before="72" w:line="340" w:lineRule="auto"/>
        <w:ind w:right="1399" w:firstLine="640" w:firstLineChars="200"/>
        <w:rPr>
          <w:sz w:val="32"/>
        </w:rPr>
      </w:pPr>
      <w:r>
        <w:rPr>
          <w:sz w:val="32"/>
        </w:rPr>
        <w:t>我们认为：</w:t>
      </w:r>
      <w:r>
        <w:rPr>
          <w:rFonts w:hint="eastAsia"/>
          <w:sz w:val="32"/>
        </w:rPr>
        <w:t>柳沟镇</w:t>
      </w:r>
      <w:r>
        <w:rPr>
          <w:sz w:val="32"/>
        </w:rPr>
        <w:t>人民政府的森林防火项目的实施，森林火灾发生次数明显下降减少，野外用火得到有效控制，项 目实施到位，产生了良好的社会环境效益。根据</w:t>
      </w:r>
      <w:r>
        <w:rPr>
          <w:rFonts w:hint="eastAsia"/>
          <w:sz w:val="32"/>
        </w:rPr>
        <w:t>柳沟镇</w:t>
      </w:r>
      <w:r>
        <w:rPr>
          <w:sz w:val="32"/>
        </w:rPr>
        <w:t>人民政府森林防火项目绩效评价指标表考评，此次评价指标总分值 98 分，综合得分为 90 分，其中：产出指标总分值 50 分，评价得分 50 分，效益指标总分值 30分，评价得分 30 分，满意度指标分值 10 分，评价得分 10分，财务指标分值 10 分，评价得分 8 分。评价等次：优。</w:t>
      </w:r>
    </w:p>
    <w:p>
      <w:pPr>
        <w:pStyle w:val="5"/>
        <w:spacing w:before="185"/>
        <w:ind w:firstLine="643" w:firstLineChars="200"/>
      </w:pPr>
      <w:r>
        <w:t>（二）存在的问题。</w:t>
      </w:r>
    </w:p>
    <w:p>
      <w:pPr>
        <w:pStyle w:val="2"/>
        <w:spacing w:before="72" w:line="340" w:lineRule="auto"/>
        <w:ind w:right="1399" w:firstLine="640" w:firstLineChars="200"/>
        <w:rPr>
          <w:sz w:val="32"/>
        </w:rPr>
      </w:pPr>
      <w:r>
        <w:rPr>
          <w:sz w:val="32"/>
        </w:rPr>
        <w:t>我镇森林覆盖率较高，森林防火形势十分严峻。一是我镇山区面积较多，频繁的农事活动，给森林防火带来了一定困难。野外游玩休闲的人多，极易引发森林火灾。二是森林防火基础设施比较薄弱。特别是各主要林区，无监控瞭望设施，通讯信号不强，无有效阻隔系统，不具备抵御森林大火的能力，与当前的防火需要不相适应。三是由于林区的开发利用，林区施工、流动人员、旅游人员增多，管理难度加大， 已成为新形势下引发森林火灾的一大隐患。</w:t>
      </w:r>
    </w:p>
    <w:p>
      <w:pPr>
        <w:pStyle w:val="5"/>
        <w:spacing w:before="31"/>
        <w:ind w:firstLine="643" w:firstLineChars="200"/>
      </w:pPr>
      <w:r>
        <w:t>（三）相关建议。</w:t>
      </w:r>
    </w:p>
    <w:p>
      <w:pPr>
        <w:pStyle w:val="2"/>
        <w:spacing w:before="72" w:line="340" w:lineRule="auto"/>
        <w:ind w:right="1399" w:firstLine="640" w:firstLineChars="200"/>
        <w:rPr>
          <w:sz w:val="32"/>
        </w:rPr>
      </w:pPr>
      <w:r>
        <w:rPr>
          <w:sz w:val="32"/>
        </w:rPr>
        <w:t>一是强化责任落实</w:t>
      </w:r>
      <w:r>
        <w:rPr>
          <w:rFonts w:hint="eastAsia"/>
          <w:sz w:val="32"/>
          <w:lang w:eastAsia="zh-CN"/>
        </w:rPr>
        <w:t>，</w:t>
      </w:r>
      <w:r>
        <w:rPr>
          <w:sz w:val="32"/>
        </w:rPr>
        <w:t>严控火源管理。二是持续加强森林防火工作的宣传教育</w:t>
      </w:r>
      <w:r>
        <w:rPr>
          <w:rFonts w:hint="eastAsia"/>
          <w:sz w:val="32"/>
          <w:lang w:eastAsia="zh-CN"/>
        </w:rPr>
        <w:t>，</w:t>
      </w:r>
      <w:r>
        <w:rPr>
          <w:sz w:val="32"/>
        </w:rPr>
        <w:t>转变农户思想</w:t>
      </w:r>
      <w:r>
        <w:rPr>
          <w:rFonts w:hint="eastAsia"/>
          <w:sz w:val="32"/>
          <w:lang w:eastAsia="zh-CN"/>
        </w:rPr>
        <w:t>，</w:t>
      </w:r>
      <w:r>
        <w:rPr>
          <w:sz w:val="32"/>
        </w:rPr>
        <w:t>强化农户的防火意识。 三是</w:t>
      </w:r>
      <w:r>
        <w:rPr>
          <w:rFonts w:hint="eastAsia"/>
          <w:sz w:val="32"/>
          <w:lang w:eastAsia="zh-CN"/>
        </w:rPr>
        <w:t>加大</w:t>
      </w:r>
      <w:r>
        <w:rPr>
          <w:sz w:val="32"/>
        </w:rPr>
        <w:t>联合巡查执法力度</w:t>
      </w:r>
      <w:r>
        <w:rPr>
          <w:rFonts w:hint="eastAsia"/>
          <w:sz w:val="32"/>
          <w:lang w:eastAsia="zh-CN"/>
        </w:rPr>
        <w:t>，</w:t>
      </w:r>
      <w:r>
        <w:rPr>
          <w:sz w:val="32"/>
        </w:rPr>
        <w:t>环保、农业、派出所、林业公安等部门进一步加大处置力度</w:t>
      </w:r>
      <w:r>
        <w:rPr>
          <w:rFonts w:hint="eastAsia"/>
          <w:sz w:val="32"/>
          <w:lang w:eastAsia="zh-CN"/>
        </w:rPr>
        <w:t>，</w:t>
      </w:r>
      <w:r>
        <w:rPr>
          <w:sz w:val="32"/>
        </w:rPr>
        <w:t>发现一起处置一起，形成威慑。四是加强森林防火信息化建设上的投入，使森林防火工作更加高效、便捷。</w:t>
      </w:r>
    </w:p>
    <w:p>
      <w:pPr>
        <w:pStyle w:val="2"/>
        <w:spacing w:before="72"/>
      </w:pPr>
    </w:p>
    <w:p>
      <w:pPr>
        <w:pStyle w:val="2"/>
        <w:spacing w:before="72"/>
      </w:pPr>
      <w:r>
        <w:t>附表：</w:t>
      </w:r>
    </w:p>
    <w:p>
      <w:pPr>
        <w:pStyle w:val="5"/>
        <w:spacing w:before="238"/>
        <w:ind w:left="1484"/>
        <w:rPr>
          <w:rFonts w:ascii="宋体"/>
        </w:rPr>
      </w:pPr>
      <w:r>
        <w:rPr>
          <w:rFonts w:hint="eastAsia" w:ascii="宋体"/>
        </w:rPr>
        <w:t>2022 年安全经费（森林防火）项目绩效目标自评</w:t>
      </w:r>
    </w:p>
    <w:p>
      <w:pPr>
        <w:pStyle w:val="2"/>
        <w:spacing w:before="72" w:after="1"/>
        <w:rPr>
          <w:rFonts w:ascii="宋体"/>
          <w:b/>
          <w:sz w:val="10"/>
        </w:rPr>
      </w:pPr>
    </w:p>
    <w:tbl>
      <w:tblPr>
        <w:tblStyle w:val="14"/>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78"/>
        <w:gridCol w:w="1143"/>
        <w:gridCol w:w="1635"/>
        <w:gridCol w:w="1189"/>
        <w:gridCol w:w="1225"/>
        <w:gridCol w:w="24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0" w:hRule="atLeast"/>
        </w:trPr>
        <w:tc>
          <w:tcPr>
            <w:tcW w:w="3121" w:type="dxa"/>
            <w:gridSpan w:val="2"/>
          </w:tcPr>
          <w:p>
            <w:pPr>
              <w:pStyle w:val="32"/>
              <w:spacing w:before="165"/>
              <w:ind w:left="717"/>
              <w:rPr>
                <w:sz w:val="24"/>
              </w:rPr>
            </w:pPr>
            <w:r>
              <w:rPr>
                <w:sz w:val="24"/>
              </w:rPr>
              <w:t>主管部门及代码</w:t>
            </w:r>
          </w:p>
        </w:tc>
        <w:tc>
          <w:tcPr>
            <w:tcW w:w="2824" w:type="dxa"/>
            <w:gridSpan w:val="2"/>
          </w:tcPr>
          <w:p>
            <w:pPr>
              <w:pStyle w:val="32"/>
              <w:spacing w:before="165"/>
              <w:ind w:left="104"/>
              <w:rPr>
                <w:sz w:val="24"/>
              </w:rPr>
            </w:pPr>
            <w:r>
              <w:rPr>
                <w:sz w:val="24"/>
              </w:rPr>
              <w:t>剑阁县财政局</w:t>
            </w:r>
          </w:p>
        </w:tc>
        <w:tc>
          <w:tcPr>
            <w:tcW w:w="1225" w:type="dxa"/>
          </w:tcPr>
          <w:p>
            <w:pPr>
              <w:pStyle w:val="32"/>
              <w:spacing w:before="165"/>
              <w:ind w:left="129"/>
              <w:rPr>
                <w:sz w:val="24"/>
              </w:rPr>
            </w:pPr>
            <w:r>
              <w:rPr>
                <w:sz w:val="24"/>
              </w:rPr>
              <w:t>实施单位</w:t>
            </w:r>
          </w:p>
        </w:tc>
        <w:tc>
          <w:tcPr>
            <w:tcW w:w="2411" w:type="dxa"/>
          </w:tcPr>
          <w:p>
            <w:pPr>
              <w:pStyle w:val="32"/>
              <w:spacing w:before="4"/>
              <w:ind w:left="100" w:right="101"/>
              <w:jc w:val="center"/>
              <w:rPr>
                <w:sz w:val="24"/>
              </w:rPr>
            </w:pPr>
            <w:r>
              <w:rPr>
                <w:sz w:val="24"/>
              </w:rPr>
              <w:t>剑阁县</w:t>
            </w:r>
            <w:r>
              <w:rPr>
                <w:rFonts w:hint="eastAsia"/>
                <w:sz w:val="24"/>
              </w:rPr>
              <w:t>柳沟</w:t>
            </w:r>
            <w:r>
              <w:rPr>
                <w:sz w:val="24"/>
              </w:rPr>
              <w:t>镇人民政</w:t>
            </w:r>
          </w:p>
          <w:p>
            <w:pPr>
              <w:pStyle w:val="32"/>
              <w:spacing w:before="12" w:line="297" w:lineRule="exact"/>
              <w:ind w:right="1"/>
              <w:jc w:val="center"/>
              <w:rPr>
                <w:sz w:val="24"/>
              </w:rPr>
            </w:pPr>
            <w:r>
              <w:rPr>
                <w:sz w:val="24"/>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121" w:type="dxa"/>
            <w:gridSpan w:val="2"/>
            <w:vMerge w:val="restart"/>
          </w:tcPr>
          <w:p>
            <w:pPr>
              <w:pStyle w:val="32"/>
              <w:spacing w:before="194" w:line="252" w:lineRule="auto"/>
              <w:ind w:left="1077" w:right="1071"/>
              <w:jc w:val="center"/>
              <w:rPr>
                <w:sz w:val="24"/>
              </w:rPr>
            </w:pPr>
            <w:r>
              <w:rPr>
                <w:sz w:val="24"/>
              </w:rPr>
              <w:t>项目预算执行情况</w:t>
            </w:r>
          </w:p>
          <w:p>
            <w:pPr>
              <w:pStyle w:val="32"/>
              <w:spacing w:line="303" w:lineRule="exact"/>
              <w:ind w:left="1057" w:right="1054"/>
              <w:jc w:val="center"/>
              <w:rPr>
                <w:sz w:val="24"/>
              </w:rPr>
            </w:pPr>
            <w:r>
              <w:rPr>
                <w:sz w:val="24"/>
              </w:rPr>
              <w:t>（万元）</w:t>
            </w:r>
          </w:p>
        </w:tc>
        <w:tc>
          <w:tcPr>
            <w:tcW w:w="1635" w:type="dxa"/>
          </w:tcPr>
          <w:p>
            <w:pPr>
              <w:pStyle w:val="32"/>
              <w:spacing w:before="14" w:line="306" w:lineRule="exact"/>
              <w:ind w:left="224"/>
              <w:rPr>
                <w:sz w:val="24"/>
              </w:rPr>
            </w:pPr>
            <w:r>
              <w:rPr>
                <w:sz w:val="24"/>
              </w:rPr>
              <w:t>预算数：</w:t>
            </w:r>
          </w:p>
        </w:tc>
        <w:tc>
          <w:tcPr>
            <w:tcW w:w="1189" w:type="dxa"/>
          </w:tcPr>
          <w:p>
            <w:pPr>
              <w:pStyle w:val="32"/>
              <w:spacing w:before="14" w:line="306" w:lineRule="exact"/>
              <w:ind w:left="103"/>
              <w:rPr>
                <w:sz w:val="24"/>
              </w:rPr>
            </w:pPr>
            <w:r>
              <w:rPr>
                <w:rFonts w:hint="eastAsia"/>
                <w:sz w:val="24"/>
              </w:rPr>
              <w:t>2</w:t>
            </w:r>
          </w:p>
        </w:tc>
        <w:tc>
          <w:tcPr>
            <w:tcW w:w="1225" w:type="dxa"/>
          </w:tcPr>
          <w:p>
            <w:pPr>
              <w:pStyle w:val="32"/>
              <w:spacing w:before="14" w:line="306" w:lineRule="exact"/>
              <w:ind w:left="225"/>
              <w:rPr>
                <w:sz w:val="24"/>
              </w:rPr>
            </w:pPr>
            <w:r>
              <w:rPr>
                <w:sz w:val="24"/>
              </w:rPr>
              <w:t>执行数：</w:t>
            </w:r>
          </w:p>
        </w:tc>
        <w:tc>
          <w:tcPr>
            <w:tcW w:w="2411" w:type="dxa"/>
          </w:tcPr>
          <w:p>
            <w:pPr>
              <w:pStyle w:val="32"/>
              <w:spacing w:before="14" w:line="306" w:lineRule="exact"/>
              <w:ind w:right="1"/>
              <w:jc w:val="center"/>
              <w:rPr>
                <w:sz w:val="24"/>
              </w:rPr>
            </w:pPr>
            <w:r>
              <w:rPr>
                <w:rFonts w:hint="eastAsia"/>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3121" w:type="dxa"/>
            <w:gridSpan w:val="2"/>
            <w:vMerge w:val="continue"/>
            <w:tcBorders>
              <w:top w:val="nil"/>
            </w:tcBorders>
          </w:tcPr>
          <w:p>
            <w:pPr>
              <w:rPr>
                <w:sz w:val="2"/>
                <w:szCs w:val="2"/>
              </w:rPr>
            </w:pPr>
          </w:p>
        </w:tc>
        <w:tc>
          <w:tcPr>
            <w:tcW w:w="1635" w:type="dxa"/>
          </w:tcPr>
          <w:p>
            <w:pPr>
              <w:pStyle w:val="32"/>
              <w:spacing w:before="4"/>
              <w:ind w:left="104"/>
              <w:rPr>
                <w:sz w:val="24"/>
              </w:rPr>
            </w:pPr>
            <w:r>
              <w:rPr>
                <w:sz w:val="24"/>
              </w:rPr>
              <w:t>其中：</w:t>
            </w:r>
          </w:p>
          <w:p>
            <w:pPr>
              <w:pStyle w:val="32"/>
              <w:spacing w:before="12" w:line="297" w:lineRule="exact"/>
              <w:ind w:left="104"/>
              <w:rPr>
                <w:sz w:val="24"/>
              </w:rPr>
            </w:pPr>
            <w:r>
              <w:rPr>
                <w:sz w:val="24"/>
              </w:rPr>
              <w:t>财政拨款</w:t>
            </w:r>
          </w:p>
        </w:tc>
        <w:tc>
          <w:tcPr>
            <w:tcW w:w="1189" w:type="dxa"/>
          </w:tcPr>
          <w:p>
            <w:pPr>
              <w:pStyle w:val="32"/>
              <w:spacing w:before="165"/>
              <w:ind w:left="103"/>
              <w:rPr>
                <w:sz w:val="24"/>
              </w:rPr>
            </w:pPr>
            <w:r>
              <w:rPr>
                <w:rFonts w:hint="eastAsia"/>
                <w:sz w:val="24"/>
              </w:rPr>
              <w:t>2</w:t>
            </w:r>
          </w:p>
        </w:tc>
        <w:tc>
          <w:tcPr>
            <w:tcW w:w="1225" w:type="dxa"/>
          </w:tcPr>
          <w:p>
            <w:pPr>
              <w:pStyle w:val="32"/>
              <w:spacing w:before="4"/>
              <w:ind w:left="105"/>
              <w:rPr>
                <w:sz w:val="24"/>
              </w:rPr>
            </w:pPr>
            <w:r>
              <w:rPr>
                <w:sz w:val="24"/>
              </w:rPr>
              <w:t>其中：</w:t>
            </w:r>
          </w:p>
          <w:p>
            <w:pPr>
              <w:pStyle w:val="32"/>
              <w:spacing w:before="12" w:line="297" w:lineRule="exact"/>
              <w:ind w:left="105"/>
              <w:rPr>
                <w:sz w:val="24"/>
              </w:rPr>
            </w:pPr>
            <w:r>
              <w:rPr>
                <w:sz w:val="24"/>
              </w:rPr>
              <w:t>财政拨款</w:t>
            </w:r>
          </w:p>
        </w:tc>
        <w:tc>
          <w:tcPr>
            <w:tcW w:w="2411" w:type="dxa"/>
          </w:tcPr>
          <w:p>
            <w:pPr>
              <w:pStyle w:val="32"/>
              <w:spacing w:before="165"/>
              <w:ind w:right="1"/>
              <w:jc w:val="center"/>
              <w:rPr>
                <w:sz w:val="24"/>
              </w:rPr>
            </w:pPr>
            <w:r>
              <w:rPr>
                <w:rFonts w:hint="eastAsia"/>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121" w:type="dxa"/>
            <w:gridSpan w:val="2"/>
            <w:vMerge w:val="continue"/>
            <w:tcBorders>
              <w:top w:val="nil"/>
            </w:tcBorders>
          </w:tcPr>
          <w:p>
            <w:pPr>
              <w:rPr>
                <w:sz w:val="2"/>
                <w:szCs w:val="2"/>
              </w:rPr>
            </w:pPr>
          </w:p>
        </w:tc>
        <w:tc>
          <w:tcPr>
            <w:tcW w:w="1635" w:type="dxa"/>
          </w:tcPr>
          <w:p>
            <w:pPr>
              <w:pStyle w:val="32"/>
              <w:spacing w:before="14" w:line="306" w:lineRule="exact"/>
              <w:ind w:left="104"/>
              <w:rPr>
                <w:sz w:val="24"/>
              </w:rPr>
            </w:pPr>
            <w:r>
              <w:rPr>
                <w:sz w:val="24"/>
              </w:rPr>
              <w:t>其他资金</w:t>
            </w:r>
          </w:p>
        </w:tc>
        <w:tc>
          <w:tcPr>
            <w:tcW w:w="1189" w:type="dxa"/>
          </w:tcPr>
          <w:p>
            <w:pPr>
              <w:pStyle w:val="32"/>
              <w:spacing w:before="14" w:line="306" w:lineRule="exact"/>
              <w:ind w:left="103"/>
              <w:rPr>
                <w:sz w:val="24"/>
              </w:rPr>
            </w:pPr>
            <w:r>
              <w:rPr>
                <w:sz w:val="24"/>
              </w:rPr>
              <w:t>0</w:t>
            </w:r>
          </w:p>
        </w:tc>
        <w:tc>
          <w:tcPr>
            <w:tcW w:w="1225" w:type="dxa"/>
          </w:tcPr>
          <w:p>
            <w:pPr>
              <w:pStyle w:val="32"/>
              <w:spacing w:before="14" w:line="306" w:lineRule="exact"/>
              <w:ind w:left="105"/>
              <w:rPr>
                <w:sz w:val="24"/>
              </w:rPr>
            </w:pPr>
            <w:r>
              <w:rPr>
                <w:sz w:val="24"/>
              </w:rPr>
              <w:t>其他资金</w:t>
            </w:r>
          </w:p>
        </w:tc>
        <w:tc>
          <w:tcPr>
            <w:tcW w:w="2411" w:type="dxa"/>
          </w:tcPr>
          <w:p>
            <w:pPr>
              <w:pStyle w:val="32"/>
              <w:spacing w:before="14" w:line="306" w:lineRule="exact"/>
              <w:ind w:right="1"/>
              <w:jc w:val="center"/>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8" w:hRule="atLeast"/>
        </w:trPr>
        <w:tc>
          <w:tcPr>
            <w:tcW w:w="1978" w:type="dxa"/>
            <w:vMerge w:val="restart"/>
          </w:tcPr>
          <w:p>
            <w:pPr>
              <w:pStyle w:val="32"/>
              <w:spacing w:before="3"/>
              <w:rPr>
                <w:b/>
                <w:sz w:val="19"/>
              </w:rPr>
            </w:pPr>
          </w:p>
          <w:p>
            <w:pPr>
              <w:pStyle w:val="32"/>
              <w:spacing w:line="252" w:lineRule="auto"/>
              <w:ind w:left="508" w:right="257" w:hanging="240"/>
              <w:rPr>
                <w:sz w:val="24"/>
              </w:rPr>
            </w:pPr>
            <w:r>
              <w:rPr>
                <w:sz w:val="24"/>
              </w:rPr>
              <w:t>年度总体目标完成情况</w:t>
            </w:r>
          </w:p>
        </w:tc>
        <w:tc>
          <w:tcPr>
            <w:tcW w:w="3967" w:type="dxa"/>
            <w:gridSpan w:val="3"/>
          </w:tcPr>
          <w:p>
            <w:pPr>
              <w:pStyle w:val="32"/>
              <w:spacing w:before="4" w:line="294" w:lineRule="exact"/>
              <w:ind w:left="1479" w:right="1478"/>
              <w:jc w:val="center"/>
              <w:rPr>
                <w:sz w:val="24"/>
              </w:rPr>
            </w:pPr>
            <w:r>
              <w:rPr>
                <w:sz w:val="24"/>
              </w:rPr>
              <w:t>预期目标</w:t>
            </w:r>
          </w:p>
        </w:tc>
        <w:tc>
          <w:tcPr>
            <w:tcW w:w="3636" w:type="dxa"/>
            <w:gridSpan w:val="2"/>
          </w:tcPr>
          <w:p>
            <w:pPr>
              <w:pStyle w:val="32"/>
              <w:spacing w:before="4" w:line="294" w:lineRule="exact"/>
              <w:ind w:left="851"/>
              <w:rPr>
                <w:sz w:val="24"/>
              </w:rPr>
            </w:pPr>
            <w:r>
              <w:rPr>
                <w:sz w:val="24"/>
              </w:rPr>
              <w:t>目标实际完成情况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8" w:hRule="atLeast"/>
        </w:trPr>
        <w:tc>
          <w:tcPr>
            <w:tcW w:w="1978" w:type="dxa"/>
            <w:vMerge w:val="continue"/>
            <w:tcBorders>
              <w:top w:val="nil"/>
            </w:tcBorders>
          </w:tcPr>
          <w:p>
            <w:pPr>
              <w:rPr>
                <w:sz w:val="2"/>
                <w:szCs w:val="2"/>
              </w:rPr>
            </w:pPr>
          </w:p>
        </w:tc>
        <w:tc>
          <w:tcPr>
            <w:tcW w:w="3967" w:type="dxa"/>
            <w:gridSpan w:val="3"/>
          </w:tcPr>
          <w:p>
            <w:pPr>
              <w:pStyle w:val="32"/>
              <w:spacing w:before="31" w:line="249" w:lineRule="auto"/>
              <w:ind w:left="105" w:right="98"/>
              <w:rPr>
                <w:sz w:val="24"/>
              </w:rPr>
            </w:pPr>
            <w:r>
              <w:rPr>
                <w:spacing w:val="-8"/>
                <w:sz w:val="24"/>
              </w:rPr>
              <w:t>切实减少辖区内火灾隐患，有效预防森林火灾</w:t>
            </w:r>
          </w:p>
        </w:tc>
        <w:tc>
          <w:tcPr>
            <w:tcW w:w="3636" w:type="dxa"/>
            <w:gridSpan w:val="2"/>
          </w:tcPr>
          <w:p>
            <w:pPr>
              <w:pStyle w:val="32"/>
              <w:spacing w:before="31" w:line="249" w:lineRule="auto"/>
              <w:ind w:left="105" w:right="31"/>
              <w:rPr>
                <w:sz w:val="24"/>
              </w:rPr>
            </w:pPr>
            <w:r>
              <w:rPr>
                <w:sz w:val="24"/>
              </w:rPr>
              <w:t>有效预防森林火灾，2022 年镇内未发生火灾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1978" w:type="dxa"/>
            <w:vMerge w:val="restart"/>
          </w:tcPr>
          <w:p>
            <w:pPr>
              <w:pStyle w:val="32"/>
              <w:rPr>
                <w:b/>
                <w:sz w:val="28"/>
              </w:rPr>
            </w:pPr>
          </w:p>
          <w:p>
            <w:pPr>
              <w:pStyle w:val="32"/>
              <w:rPr>
                <w:b/>
                <w:sz w:val="28"/>
              </w:rPr>
            </w:pPr>
          </w:p>
          <w:p>
            <w:pPr>
              <w:pStyle w:val="32"/>
              <w:rPr>
                <w:b/>
                <w:sz w:val="28"/>
              </w:rPr>
            </w:pPr>
          </w:p>
          <w:p>
            <w:pPr>
              <w:pStyle w:val="32"/>
              <w:rPr>
                <w:b/>
                <w:sz w:val="28"/>
              </w:rPr>
            </w:pPr>
          </w:p>
          <w:p>
            <w:pPr>
              <w:pStyle w:val="32"/>
              <w:rPr>
                <w:b/>
                <w:sz w:val="28"/>
              </w:rPr>
            </w:pPr>
          </w:p>
          <w:p>
            <w:pPr>
              <w:pStyle w:val="32"/>
              <w:rPr>
                <w:b/>
                <w:sz w:val="28"/>
              </w:rPr>
            </w:pPr>
          </w:p>
          <w:p>
            <w:pPr>
              <w:pStyle w:val="32"/>
              <w:rPr>
                <w:b/>
                <w:sz w:val="28"/>
              </w:rPr>
            </w:pPr>
          </w:p>
          <w:p>
            <w:pPr>
              <w:pStyle w:val="32"/>
              <w:rPr>
                <w:b/>
                <w:sz w:val="28"/>
              </w:rPr>
            </w:pPr>
          </w:p>
          <w:p>
            <w:pPr>
              <w:pStyle w:val="32"/>
              <w:rPr>
                <w:b/>
                <w:sz w:val="28"/>
              </w:rPr>
            </w:pPr>
          </w:p>
          <w:p>
            <w:pPr>
              <w:pStyle w:val="32"/>
              <w:rPr>
                <w:b/>
                <w:sz w:val="28"/>
              </w:rPr>
            </w:pPr>
          </w:p>
          <w:p>
            <w:pPr>
              <w:pStyle w:val="32"/>
              <w:rPr>
                <w:b/>
                <w:sz w:val="28"/>
              </w:rPr>
            </w:pPr>
          </w:p>
          <w:p>
            <w:pPr>
              <w:pStyle w:val="32"/>
              <w:spacing w:before="215" w:line="213" w:lineRule="auto"/>
              <w:ind w:left="427" w:right="137" w:hanging="279"/>
              <w:rPr>
                <w:rFonts w:ascii="仿宋" w:eastAsia="仿宋"/>
                <w:sz w:val="28"/>
              </w:rPr>
            </w:pPr>
            <w:r>
              <w:rPr>
                <w:rFonts w:hint="eastAsia" w:ascii="仿宋" w:eastAsia="仿宋"/>
                <w:sz w:val="28"/>
              </w:rPr>
              <w:t>年度绩效指标完成情况</w:t>
            </w:r>
          </w:p>
        </w:tc>
        <w:tc>
          <w:tcPr>
            <w:tcW w:w="1143" w:type="dxa"/>
          </w:tcPr>
          <w:p>
            <w:pPr>
              <w:pStyle w:val="32"/>
              <w:spacing w:before="29" w:line="320" w:lineRule="exact"/>
              <w:ind w:left="287" w:right="281"/>
              <w:rPr>
                <w:rFonts w:ascii="仿宋" w:eastAsia="仿宋"/>
                <w:sz w:val="28"/>
              </w:rPr>
            </w:pPr>
            <w:r>
              <w:rPr>
                <w:rFonts w:hint="eastAsia" w:ascii="仿宋" w:eastAsia="仿宋"/>
                <w:sz w:val="28"/>
              </w:rPr>
              <w:t>一级指标</w:t>
            </w:r>
          </w:p>
        </w:tc>
        <w:tc>
          <w:tcPr>
            <w:tcW w:w="1635" w:type="dxa"/>
          </w:tcPr>
          <w:p>
            <w:pPr>
              <w:pStyle w:val="32"/>
              <w:spacing w:before="29" w:line="320" w:lineRule="exact"/>
              <w:ind w:left="533" w:right="527"/>
              <w:rPr>
                <w:rFonts w:ascii="仿宋" w:eastAsia="仿宋"/>
                <w:sz w:val="28"/>
              </w:rPr>
            </w:pPr>
            <w:r>
              <w:rPr>
                <w:rFonts w:hint="eastAsia" w:ascii="仿宋" w:eastAsia="仿宋"/>
                <w:sz w:val="28"/>
              </w:rPr>
              <w:t>二级指标</w:t>
            </w:r>
          </w:p>
        </w:tc>
        <w:tc>
          <w:tcPr>
            <w:tcW w:w="1189" w:type="dxa"/>
          </w:tcPr>
          <w:p>
            <w:pPr>
              <w:pStyle w:val="32"/>
              <w:spacing w:before="29" w:line="320" w:lineRule="exact"/>
              <w:ind w:left="310" w:right="306"/>
              <w:rPr>
                <w:rFonts w:ascii="仿宋" w:eastAsia="仿宋"/>
                <w:sz w:val="28"/>
              </w:rPr>
            </w:pPr>
            <w:r>
              <w:rPr>
                <w:rFonts w:hint="eastAsia" w:ascii="仿宋" w:eastAsia="仿宋"/>
                <w:sz w:val="28"/>
              </w:rPr>
              <w:t>三级指标</w:t>
            </w:r>
          </w:p>
        </w:tc>
        <w:tc>
          <w:tcPr>
            <w:tcW w:w="1225" w:type="dxa"/>
          </w:tcPr>
          <w:p>
            <w:pPr>
              <w:pStyle w:val="32"/>
              <w:spacing w:before="29" w:line="320" w:lineRule="exact"/>
              <w:ind w:left="328" w:right="183" w:hanging="140"/>
              <w:rPr>
                <w:rFonts w:ascii="仿宋" w:eastAsia="仿宋"/>
                <w:sz w:val="28"/>
              </w:rPr>
            </w:pPr>
            <w:r>
              <w:rPr>
                <w:rFonts w:hint="eastAsia" w:ascii="仿宋" w:eastAsia="仿宋"/>
                <w:sz w:val="28"/>
              </w:rPr>
              <w:t>预期指标值</w:t>
            </w:r>
          </w:p>
        </w:tc>
        <w:tc>
          <w:tcPr>
            <w:tcW w:w="2411" w:type="dxa"/>
          </w:tcPr>
          <w:p>
            <w:pPr>
              <w:pStyle w:val="32"/>
              <w:spacing w:before="166"/>
              <w:ind w:left="100" w:right="101"/>
              <w:jc w:val="center"/>
              <w:rPr>
                <w:rFonts w:ascii="仿宋" w:eastAsia="仿宋"/>
                <w:sz w:val="28"/>
              </w:rPr>
            </w:pPr>
            <w:r>
              <w:rPr>
                <w:rFonts w:hint="eastAsia" w:ascii="仿宋" w:eastAsia="仿宋"/>
                <w:sz w:val="28"/>
              </w:rPr>
              <w:t>实际完成指标值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8" w:hRule="atLeast"/>
        </w:trPr>
        <w:tc>
          <w:tcPr>
            <w:tcW w:w="1978" w:type="dxa"/>
            <w:vMerge w:val="continue"/>
            <w:tcBorders>
              <w:top w:val="nil"/>
            </w:tcBorders>
          </w:tcPr>
          <w:p>
            <w:pPr>
              <w:rPr>
                <w:sz w:val="2"/>
                <w:szCs w:val="2"/>
              </w:rPr>
            </w:pPr>
          </w:p>
        </w:tc>
        <w:tc>
          <w:tcPr>
            <w:tcW w:w="1143" w:type="dxa"/>
            <w:vMerge w:val="restart"/>
          </w:tcPr>
          <w:p>
            <w:pPr>
              <w:pStyle w:val="32"/>
              <w:rPr>
                <w:b/>
                <w:sz w:val="28"/>
              </w:rPr>
            </w:pPr>
          </w:p>
          <w:p>
            <w:pPr>
              <w:pStyle w:val="32"/>
              <w:rPr>
                <w:b/>
                <w:sz w:val="28"/>
              </w:rPr>
            </w:pPr>
          </w:p>
          <w:p>
            <w:pPr>
              <w:pStyle w:val="32"/>
              <w:rPr>
                <w:b/>
                <w:sz w:val="28"/>
              </w:rPr>
            </w:pPr>
          </w:p>
          <w:p>
            <w:pPr>
              <w:pStyle w:val="32"/>
              <w:spacing w:before="6"/>
              <w:rPr>
                <w:b/>
              </w:rPr>
            </w:pPr>
          </w:p>
          <w:p>
            <w:pPr>
              <w:pStyle w:val="32"/>
              <w:spacing w:line="213" w:lineRule="auto"/>
              <w:ind w:left="287" w:right="281"/>
              <w:rPr>
                <w:rFonts w:ascii="仿宋" w:eastAsia="仿宋"/>
                <w:sz w:val="28"/>
              </w:rPr>
            </w:pPr>
            <w:r>
              <w:rPr>
                <w:rFonts w:hint="eastAsia" w:ascii="仿宋" w:eastAsia="仿宋"/>
                <w:sz w:val="28"/>
              </w:rPr>
              <w:t>完成指标</w:t>
            </w:r>
          </w:p>
        </w:tc>
        <w:tc>
          <w:tcPr>
            <w:tcW w:w="1635" w:type="dxa"/>
          </w:tcPr>
          <w:p>
            <w:pPr>
              <w:pStyle w:val="32"/>
              <w:spacing w:before="2"/>
              <w:rPr>
                <w:b/>
                <w:sz w:val="33"/>
              </w:rPr>
            </w:pPr>
          </w:p>
          <w:p>
            <w:pPr>
              <w:pStyle w:val="32"/>
              <w:ind w:right="248"/>
              <w:jc w:val="right"/>
              <w:rPr>
                <w:rFonts w:ascii="仿宋" w:eastAsia="仿宋"/>
                <w:sz w:val="28"/>
              </w:rPr>
            </w:pPr>
            <w:r>
              <w:rPr>
                <w:rFonts w:hint="eastAsia" w:ascii="仿宋" w:eastAsia="仿宋"/>
                <w:sz w:val="28"/>
              </w:rPr>
              <w:t>数量指标</w:t>
            </w:r>
          </w:p>
        </w:tc>
        <w:tc>
          <w:tcPr>
            <w:tcW w:w="1189" w:type="dxa"/>
          </w:tcPr>
          <w:p>
            <w:pPr>
              <w:pStyle w:val="32"/>
              <w:spacing w:line="284" w:lineRule="exact"/>
              <w:ind w:left="171"/>
              <w:rPr>
                <w:rFonts w:ascii="仿宋" w:eastAsia="仿宋"/>
                <w:sz w:val="28"/>
              </w:rPr>
            </w:pPr>
            <w:r>
              <w:rPr>
                <w:rFonts w:hint="eastAsia" w:ascii="仿宋" w:eastAsia="仿宋"/>
                <w:sz w:val="28"/>
              </w:rPr>
              <w:t>日常防</w:t>
            </w:r>
          </w:p>
          <w:p>
            <w:pPr>
              <w:pStyle w:val="32"/>
              <w:spacing w:before="11" w:line="213" w:lineRule="auto"/>
              <w:ind w:left="171" w:right="165"/>
              <w:rPr>
                <w:rFonts w:ascii="仿宋" w:eastAsia="仿宋"/>
                <w:sz w:val="28"/>
              </w:rPr>
            </w:pPr>
            <w:r>
              <w:rPr>
                <w:rFonts w:hint="eastAsia" w:ascii="仿宋" w:eastAsia="仿宋"/>
                <w:sz w:val="28"/>
              </w:rPr>
              <w:t>火宣传及巡逻次数</w:t>
            </w:r>
          </w:p>
        </w:tc>
        <w:tc>
          <w:tcPr>
            <w:tcW w:w="1225" w:type="dxa"/>
          </w:tcPr>
          <w:p>
            <w:pPr>
              <w:pStyle w:val="32"/>
              <w:spacing w:before="2"/>
              <w:rPr>
                <w:b/>
                <w:sz w:val="33"/>
              </w:rPr>
            </w:pPr>
          </w:p>
          <w:p>
            <w:pPr>
              <w:pStyle w:val="32"/>
              <w:ind w:left="328"/>
              <w:rPr>
                <w:rFonts w:ascii="仿宋" w:hAnsi="仿宋"/>
                <w:sz w:val="28"/>
              </w:rPr>
            </w:pPr>
            <w:r>
              <w:rPr>
                <w:rFonts w:ascii="仿宋" w:hAnsi="仿宋"/>
                <w:sz w:val="28"/>
              </w:rPr>
              <w:t>≥50</w:t>
            </w:r>
          </w:p>
        </w:tc>
        <w:tc>
          <w:tcPr>
            <w:tcW w:w="2411" w:type="dxa"/>
          </w:tcPr>
          <w:p>
            <w:pPr>
              <w:pStyle w:val="32"/>
              <w:spacing w:before="2"/>
              <w:rPr>
                <w:b/>
                <w:sz w:val="33"/>
              </w:rPr>
            </w:pPr>
          </w:p>
          <w:p>
            <w:pPr>
              <w:pStyle w:val="32"/>
              <w:ind w:left="100" w:right="100"/>
              <w:jc w:val="center"/>
              <w:rPr>
                <w:rFonts w:ascii="仿宋" w:hAnsi="仿宋"/>
                <w:sz w:val="28"/>
              </w:rPr>
            </w:pPr>
            <w:r>
              <w:rPr>
                <w:rFonts w:ascii="仿宋" w:hAnsi="仿宋"/>
                <w:sz w:val="28"/>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1978" w:type="dxa"/>
            <w:vMerge w:val="continue"/>
            <w:tcBorders>
              <w:top w:val="nil"/>
            </w:tcBorders>
          </w:tcPr>
          <w:p>
            <w:pPr>
              <w:rPr>
                <w:sz w:val="2"/>
                <w:szCs w:val="2"/>
              </w:rPr>
            </w:pPr>
          </w:p>
        </w:tc>
        <w:tc>
          <w:tcPr>
            <w:tcW w:w="1143" w:type="dxa"/>
            <w:vMerge w:val="continue"/>
            <w:tcBorders>
              <w:top w:val="nil"/>
            </w:tcBorders>
          </w:tcPr>
          <w:p>
            <w:pPr>
              <w:rPr>
                <w:sz w:val="2"/>
                <w:szCs w:val="2"/>
              </w:rPr>
            </w:pPr>
          </w:p>
        </w:tc>
        <w:tc>
          <w:tcPr>
            <w:tcW w:w="1635" w:type="dxa"/>
          </w:tcPr>
          <w:p>
            <w:pPr>
              <w:pStyle w:val="32"/>
              <w:spacing w:before="10"/>
              <w:rPr>
                <w:b/>
                <w:sz w:val="20"/>
              </w:rPr>
            </w:pPr>
          </w:p>
          <w:p>
            <w:pPr>
              <w:pStyle w:val="32"/>
              <w:ind w:right="248"/>
              <w:jc w:val="right"/>
              <w:rPr>
                <w:rFonts w:ascii="仿宋" w:eastAsia="仿宋"/>
                <w:sz w:val="28"/>
              </w:rPr>
            </w:pPr>
            <w:r>
              <w:rPr>
                <w:rFonts w:hint="eastAsia" w:ascii="仿宋" w:eastAsia="仿宋"/>
                <w:sz w:val="28"/>
              </w:rPr>
              <w:t>质量指标</w:t>
            </w:r>
          </w:p>
        </w:tc>
        <w:tc>
          <w:tcPr>
            <w:tcW w:w="1189" w:type="dxa"/>
          </w:tcPr>
          <w:p>
            <w:pPr>
              <w:pStyle w:val="32"/>
              <w:spacing w:line="286" w:lineRule="exact"/>
              <w:ind w:left="171"/>
              <w:rPr>
                <w:rFonts w:ascii="仿宋" w:eastAsia="仿宋"/>
                <w:sz w:val="28"/>
              </w:rPr>
            </w:pPr>
            <w:r>
              <w:rPr>
                <w:rFonts w:hint="eastAsia" w:ascii="仿宋" w:eastAsia="仿宋"/>
                <w:sz w:val="28"/>
              </w:rPr>
              <w:t>物质合</w:t>
            </w:r>
          </w:p>
          <w:p>
            <w:pPr>
              <w:pStyle w:val="32"/>
              <w:spacing w:before="12" w:line="213" w:lineRule="auto"/>
              <w:ind w:left="151" w:right="147"/>
              <w:jc w:val="center"/>
              <w:rPr>
                <w:rFonts w:ascii="仿宋" w:eastAsia="仿宋"/>
                <w:sz w:val="28"/>
              </w:rPr>
            </w:pPr>
            <w:r>
              <w:rPr>
                <w:rFonts w:hint="eastAsia" w:ascii="仿宋" w:eastAsia="仿宋"/>
                <w:sz w:val="28"/>
              </w:rPr>
              <w:t>格率(%)</w:t>
            </w:r>
          </w:p>
        </w:tc>
        <w:tc>
          <w:tcPr>
            <w:tcW w:w="1225" w:type="dxa"/>
          </w:tcPr>
          <w:p>
            <w:pPr>
              <w:pStyle w:val="32"/>
              <w:spacing w:before="10"/>
              <w:rPr>
                <w:b/>
                <w:sz w:val="20"/>
              </w:rPr>
            </w:pPr>
          </w:p>
          <w:p>
            <w:pPr>
              <w:pStyle w:val="32"/>
              <w:ind w:left="258"/>
              <w:rPr>
                <w:rFonts w:ascii="仿宋" w:hAnsi="仿宋"/>
                <w:sz w:val="28"/>
              </w:rPr>
            </w:pPr>
            <w:r>
              <w:rPr>
                <w:rFonts w:ascii="仿宋" w:hAnsi="仿宋"/>
                <w:sz w:val="28"/>
              </w:rPr>
              <w:t>≥100</w:t>
            </w:r>
          </w:p>
        </w:tc>
        <w:tc>
          <w:tcPr>
            <w:tcW w:w="2411" w:type="dxa"/>
          </w:tcPr>
          <w:p>
            <w:pPr>
              <w:pStyle w:val="32"/>
              <w:spacing w:before="10"/>
              <w:rPr>
                <w:b/>
                <w:sz w:val="20"/>
              </w:rPr>
            </w:pPr>
          </w:p>
          <w:p>
            <w:pPr>
              <w:pStyle w:val="32"/>
              <w:ind w:left="100" w:right="100"/>
              <w:jc w:val="center"/>
              <w:rPr>
                <w:rFonts w:ascii="仿宋" w:hAnsi="仿宋"/>
                <w:sz w:val="28"/>
              </w:rPr>
            </w:pPr>
            <w:r>
              <w:rPr>
                <w:rFonts w:ascii="仿宋" w:hAnsi="仿宋"/>
                <w:sz w:val="2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1978" w:type="dxa"/>
            <w:vMerge w:val="continue"/>
            <w:tcBorders>
              <w:top w:val="nil"/>
            </w:tcBorders>
          </w:tcPr>
          <w:p>
            <w:pPr>
              <w:rPr>
                <w:sz w:val="2"/>
                <w:szCs w:val="2"/>
              </w:rPr>
            </w:pPr>
          </w:p>
        </w:tc>
        <w:tc>
          <w:tcPr>
            <w:tcW w:w="1143" w:type="dxa"/>
            <w:vMerge w:val="continue"/>
            <w:tcBorders>
              <w:top w:val="nil"/>
            </w:tcBorders>
          </w:tcPr>
          <w:p>
            <w:pPr>
              <w:rPr>
                <w:sz w:val="2"/>
                <w:szCs w:val="2"/>
              </w:rPr>
            </w:pPr>
          </w:p>
        </w:tc>
        <w:tc>
          <w:tcPr>
            <w:tcW w:w="1635" w:type="dxa"/>
          </w:tcPr>
          <w:p>
            <w:pPr>
              <w:pStyle w:val="32"/>
              <w:spacing w:before="106"/>
              <w:ind w:right="248"/>
              <w:jc w:val="right"/>
              <w:rPr>
                <w:rFonts w:ascii="仿宋" w:eastAsia="仿宋"/>
                <w:sz w:val="28"/>
              </w:rPr>
            </w:pPr>
            <w:r>
              <w:rPr>
                <w:rFonts w:hint="eastAsia" w:ascii="仿宋" w:eastAsia="仿宋"/>
                <w:sz w:val="28"/>
              </w:rPr>
              <w:t>时效指标</w:t>
            </w:r>
          </w:p>
        </w:tc>
        <w:tc>
          <w:tcPr>
            <w:tcW w:w="1189" w:type="dxa"/>
          </w:tcPr>
          <w:p>
            <w:pPr>
              <w:pStyle w:val="32"/>
              <w:spacing w:line="286" w:lineRule="exact"/>
              <w:ind w:left="171"/>
              <w:rPr>
                <w:rFonts w:ascii="仿宋" w:eastAsia="仿宋"/>
                <w:sz w:val="28"/>
              </w:rPr>
            </w:pPr>
            <w:r>
              <w:rPr>
                <w:rFonts w:hint="eastAsia" w:ascii="仿宋" w:eastAsia="仿宋"/>
                <w:sz w:val="28"/>
              </w:rPr>
              <w:t>工作持</w:t>
            </w:r>
          </w:p>
          <w:p>
            <w:pPr>
              <w:pStyle w:val="32"/>
              <w:spacing w:line="335" w:lineRule="exact"/>
              <w:ind w:left="171"/>
              <w:rPr>
                <w:rFonts w:ascii="仿宋" w:eastAsia="仿宋"/>
                <w:sz w:val="28"/>
              </w:rPr>
            </w:pPr>
            <w:r>
              <w:rPr>
                <w:rFonts w:hint="eastAsia" w:ascii="仿宋" w:eastAsia="仿宋"/>
                <w:sz w:val="28"/>
              </w:rPr>
              <w:t>续时间</w:t>
            </w:r>
          </w:p>
        </w:tc>
        <w:tc>
          <w:tcPr>
            <w:tcW w:w="1225" w:type="dxa"/>
          </w:tcPr>
          <w:p>
            <w:pPr>
              <w:pStyle w:val="32"/>
              <w:spacing w:line="286" w:lineRule="exact"/>
              <w:ind w:left="99" w:right="96"/>
              <w:jc w:val="center"/>
              <w:rPr>
                <w:rFonts w:ascii="仿宋" w:eastAsia="仿宋"/>
                <w:sz w:val="28"/>
              </w:rPr>
            </w:pPr>
            <w:r>
              <w:rPr>
                <w:rFonts w:hint="eastAsia" w:ascii="仿宋" w:eastAsia="仿宋"/>
                <w:sz w:val="28"/>
              </w:rPr>
              <w:t>2022 年</w:t>
            </w:r>
          </w:p>
          <w:p>
            <w:pPr>
              <w:pStyle w:val="32"/>
              <w:spacing w:line="335" w:lineRule="exact"/>
              <w:ind w:left="99" w:right="96"/>
              <w:jc w:val="center"/>
              <w:rPr>
                <w:rFonts w:ascii="仿宋" w:eastAsia="仿宋"/>
                <w:sz w:val="28"/>
              </w:rPr>
            </w:pPr>
            <w:r>
              <w:rPr>
                <w:rFonts w:hint="eastAsia" w:ascii="仿宋" w:eastAsia="仿宋"/>
                <w:sz w:val="28"/>
              </w:rPr>
              <w:t>度内</w:t>
            </w:r>
          </w:p>
        </w:tc>
        <w:tc>
          <w:tcPr>
            <w:tcW w:w="2411" w:type="dxa"/>
          </w:tcPr>
          <w:p>
            <w:pPr>
              <w:pStyle w:val="32"/>
              <w:spacing w:before="106"/>
              <w:ind w:left="100" w:right="101"/>
              <w:jc w:val="center"/>
              <w:rPr>
                <w:rFonts w:ascii="仿宋" w:eastAsia="仿宋"/>
                <w:sz w:val="28"/>
              </w:rPr>
            </w:pPr>
            <w:r>
              <w:rPr>
                <w:rFonts w:hint="eastAsia" w:ascii="仿宋" w:eastAsia="仿宋"/>
                <w:sz w:val="28"/>
              </w:rPr>
              <w:t>2022 年度内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978" w:type="dxa"/>
            <w:vMerge w:val="continue"/>
            <w:tcBorders>
              <w:top w:val="nil"/>
            </w:tcBorders>
          </w:tcPr>
          <w:p>
            <w:pPr>
              <w:rPr>
                <w:sz w:val="2"/>
                <w:szCs w:val="2"/>
              </w:rPr>
            </w:pPr>
          </w:p>
        </w:tc>
        <w:tc>
          <w:tcPr>
            <w:tcW w:w="1143" w:type="dxa"/>
            <w:vMerge w:val="continue"/>
            <w:tcBorders>
              <w:top w:val="nil"/>
            </w:tcBorders>
          </w:tcPr>
          <w:p>
            <w:pPr>
              <w:rPr>
                <w:sz w:val="2"/>
                <w:szCs w:val="2"/>
              </w:rPr>
            </w:pPr>
          </w:p>
        </w:tc>
        <w:tc>
          <w:tcPr>
            <w:tcW w:w="1635" w:type="dxa"/>
          </w:tcPr>
          <w:p>
            <w:pPr>
              <w:pStyle w:val="32"/>
              <w:spacing w:before="27"/>
              <w:ind w:right="248"/>
              <w:jc w:val="right"/>
              <w:rPr>
                <w:rFonts w:ascii="仿宋" w:eastAsia="仿宋"/>
                <w:sz w:val="28"/>
              </w:rPr>
            </w:pPr>
            <w:r>
              <w:rPr>
                <w:rFonts w:hint="eastAsia" w:ascii="仿宋" w:eastAsia="仿宋"/>
                <w:sz w:val="28"/>
              </w:rPr>
              <w:t>成本指标</w:t>
            </w:r>
          </w:p>
        </w:tc>
        <w:tc>
          <w:tcPr>
            <w:tcW w:w="1189" w:type="dxa"/>
          </w:tcPr>
          <w:p>
            <w:pPr>
              <w:pStyle w:val="32"/>
              <w:rPr>
                <w:rFonts w:ascii="Times New Roman"/>
                <w:sz w:val="26"/>
              </w:rPr>
            </w:pPr>
          </w:p>
        </w:tc>
        <w:tc>
          <w:tcPr>
            <w:tcW w:w="1225" w:type="dxa"/>
          </w:tcPr>
          <w:p>
            <w:pPr>
              <w:pStyle w:val="32"/>
              <w:rPr>
                <w:rFonts w:ascii="Times New Roman"/>
                <w:sz w:val="26"/>
              </w:rPr>
            </w:pPr>
          </w:p>
        </w:tc>
        <w:tc>
          <w:tcPr>
            <w:tcW w:w="2411" w:type="dxa"/>
          </w:tcPr>
          <w:p>
            <w:pPr>
              <w:pStyle w:val="3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1978" w:type="dxa"/>
            <w:vMerge w:val="continue"/>
            <w:tcBorders>
              <w:top w:val="nil"/>
            </w:tcBorders>
          </w:tcPr>
          <w:p>
            <w:pPr>
              <w:rPr>
                <w:sz w:val="2"/>
                <w:szCs w:val="2"/>
              </w:rPr>
            </w:pPr>
          </w:p>
        </w:tc>
        <w:tc>
          <w:tcPr>
            <w:tcW w:w="1143" w:type="dxa"/>
            <w:vMerge w:val="restart"/>
          </w:tcPr>
          <w:p>
            <w:pPr>
              <w:pStyle w:val="32"/>
              <w:rPr>
                <w:b/>
                <w:sz w:val="28"/>
              </w:rPr>
            </w:pPr>
          </w:p>
          <w:p>
            <w:pPr>
              <w:pStyle w:val="32"/>
              <w:rPr>
                <w:b/>
                <w:sz w:val="28"/>
              </w:rPr>
            </w:pPr>
          </w:p>
          <w:p>
            <w:pPr>
              <w:pStyle w:val="32"/>
              <w:rPr>
                <w:b/>
                <w:sz w:val="28"/>
              </w:rPr>
            </w:pPr>
          </w:p>
          <w:p>
            <w:pPr>
              <w:pStyle w:val="32"/>
              <w:spacing w:before="12"/>
              <w:rPr>
                <w:b/>
                <w:sz w:val="39"/>
              </w:rPr>
            </w:pPr>
          </w:p>
          <w:p>
            <w:pPr>
              <w:pStyle w:val="32"/>
              <w:spacing w:line="216" w:lineRule="auto"/>
              <w:ind w:left="287" w:right="281"/>
              <w:rPr>
                <w:rFonts w:ascii="仿宋" w:eastAsia="仿宋"/>
                <w:sz w:val="28"/>
              </w:rPr>
            </w:pPr>
            <w:r>
              <w:rPr>
                <w:rFonts w:hint="eastAsia" w:ascii="仿宋" w:eastAsia="仿宋"/>
                <w:sz w:val="28"/>
              </w:rPr>
              <w:t>效益指标</w:t>
            </w:r>
          </w:p>
        </w:tc>
        <w:tc>
          <w:tcPr>
            <w:tcW w:w="1635" w:type="dxa"/>
          </w:tcPr>
          <w:p>
            <w:pPr>
              <w:pStyle w:val="32"/>
              <w:spacing w:line="286" w:lineRule="exact"/>
              <w:ind w:left="92" w:right="90"/>
              <w:jc w:val="center"/>
              <w:rPr>
                <w:rFonts w:ascii="仿宋" w:eastAsia="仿宋"/>
                <w:sz w:val="28"/>
              </w:rPr>
            </w:pPr>
            <w:r>
              <w:rPr>
                <w:rFonts w:hint="eastAsia" w:ascii="仿宋" w:eastAsia="仿宋"/>
                <w:sz w:val="28"/>
              </w:rPr>
              <w:t>经济效益</w:t>
            </w:r>
          </w:p>
          <w:p>
            <w:pPr>
              <w:pStyle w:val="32"/>
              <w:spacing w:line="335" w:lineRule="exact"/>
              <w:ind w:left="94" w:right="90"/>
              <w:jc w:val="center"/>
              <w:rPr>
                <w:rFonts w:ascii="仿宋" w:eastAsia="仿宋"/>
                <w:sz w:val="28"/>
              </w:rPr>
            </w:pPr>
            <w:r>
              <w:rPr>
                <w:rFonts w:hint="eastAsia" w:ascii="仿宋" w:eastAsia="仿宋"/>
                <w:sz w:val="28"/>
              </w:rPr>
              <w:t>指标</w:t>
            </w:r>
          </w:p>
        </w:tc>
        <w:tc>
          <w:tcPr>
            <w:tcW w:w="1189" w:type="dxa"/>
          </w:tcPr>
          <w:p>
            <w:pPr>
              <w:pStyle w:val="32"/>
              <w:rPr>
                <w:rFonts w:ascii="Times New Roman"/>
                <w:sz w:val="26"/>
              </w:rPr>
            </w:pPr>
          </w:p>
        </w:tc>
        <w:tc>
          <w:tcPr>
            <w:tcW w:w="1225" w:type="dxa"/>
          </w:tcPr>
          <w:p>
            <w:pPr>
              <w:pStyle w:val="32"/>
              <w:rPr>
                <w:rFonts w:ascii="Times New Roman"/>
                <w:sz w:val="26"/>
              </w:rPr>
            </w:pPr>
          </w:p>
        </w:tc>
        <w:tc>
          <w:tcPr>
            <w:tcW w:w="2411" w:type="dxa"/>
          </w:tcPr>
          <w:p>
            <w:pPr>
              <w:pStyle w:val="3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9" w:hRule="atLeast"/>
        </w:trPr>
        <w:tc>
          <w:tcPr>
            <w:tcW w:w="1978" w:type="dxa"/>
            <w:vMerge w:val="continue"/>
            <w:tcBorders>
              <w:top w:val="nil"/>
            </w:tcBorders>
          </w:tcPr>
          <w:p>
            <w:pPr>
              <w:rPr>
                <w:sz w:val="2"/>
                <w:szCs w:val="2"/>
              </w:rPr>
            </w:pPr>
          </w:p>
        </w:tc>
        <w:tc>
          <w:tcPr>
            <w:tcW w:w="1143" w:type="dxa"/>
            <w:vMerge w:val="continue"/>
            <w:tcBorders>
              <w:top w:val="nil"/>
            </w:tcBorders>
          </w:tcPr>
          <w:p>
            <w:pPr>
              <w:rPr>
                <w:sz w:val="2"/>
                <w:szCs w:val="2"/>
              </w:rPr>
            </w:pPr>
          </w:p>
        </w:tc>
        <w:tc>
          <w:tcPr>
            <w:tcW w:w="1635" w:type="dxa"/>
          </w:tcPr>
          <w:p>
            <w:pPr>
              <w:pStyle w:val="32"/>
              <w:rPr>
                <w:b/>
                <w:sz w:val="24"/>
              </w:rPr>
            </w:pPr>
          </w:p>
          <w:p>
            <w:pPr>
              <w:pStyle w:val="32"/>
              <w:rPr>
                <w:b/>
                <w:sz w:val="25"/>
              </w:rPr>
            </w:pPr>
          </w:p>
          <w:p>
            <w:pPr>
              <w:pStyle w:val="32"/>
              <w:spacing w:line="252" w:lineRule="auto"/>
              <w:ind w:left="572" w:right="330" w:hanging="240"/>
              <w:rPr>
                <w:rFonts w:ascii="仿宋" w:eastAsia="仿宋"/>
                <w:sz w:val="24"/>
              </w:rPr>
            </w:pPr>
            <w:r>
              <w:rPr>
                <w:rFonts w:hint="eastAsia" w:ascii="仿宋" w:eastAsia="仿宋"/>
                <w:sz w:val="24"/>
              </w:rPr>
              <w:t>社会效益指标</w:t>
            </w:r>
          </w:p>
        </w:tc>
        <w:tc>
          <w:tcPr>
            <w:tcW w:w="1189" w:type="dxa"/>
          </w:tcPr>
          <w:p>
            <w:pPr>
              <w:pStyle w:val="32"/>
              <w:rPr>
                <w:b/>
                <w:sz w:val="24"/>
              </w:rPr>
            </w:pPr>
          </w:p>
          <w:p>
            <w:pPr>
              <w:pStyle w:val="32"/>
              <w:spacing w:before="162" w:line="249" w:lineRule="auto"/>
              <w:ind w:left="111" w:right="107"/>
              <w:rPr>
                <w:rFonts w:ascii="仿宋" w:eastAsia="仿宋"/>
                <w:sz w:val="24"/>
              </w:rPr>
            </w:pPr>
            <w:r>
              <w:rPr>
                <w:rFonts w:hint="eastAsia" w:ascii="仿宋" w:eastAsia="仿宋"/>
                <w:sz w:val="24"/>
              </w:rPr>
              <w:t>切实减少辖区内火灾隐患</w:t>
            </w:r>
          </w:p>
        </w:tc>
        <w:tc>
          <w:tcPr>
            <w:tcW w:w="1225" w:type="dxa"/>
          </w:tcPr>
          <w:p>
            <w:pPr>
              <w:pStyle w:val="32"/>
              <w:spacing w:line="249" w:lineRule="auto"/>
              <w:ind w:left="129" w:right="123"/>
              <w:rPr>
                <w:rFonts w:ascii="仿宋" w:eastAsia="仿宋"/>
                <w:sz w:val="24"/>
              </w:rPr>
            </w:pPr>
            <w:r>
              <w:rPr>
                <w:rFonts w:hint="eastAsia" w:ascii="仿宋" w:eastAsia="仿宋"/>
                <w:sz w:val="24"/>
              </w:rPr>
              <w:t>确保国有森林资源和群众生命财产安全得到有</w:t>
            </w:r>
          </w:p>
          <w:p>
            <w:pPr>
              <w:pStyle w:val="32"/>
              <w:spacing w:line="307" w:lineRule="exact"/>
              <w:ind w:left="249"/>
              <w:rPr>
                <w:rFonts w:ascii="仿宋" w:eastAsia="仿宋"/>
                <w:sz w:val="24"/>
              </w:rPr>
            </w:pPr>
            <w:r>
              <w:rPr>
                <w:rFonts w:hint="eastAsia" w:ascii="仿宋" w:eastAsia="仿宋"/>
                <w:sz w:val="24"/>
              </w:rPr>
              <w:t>效保障</w:t>
            </w:r>
          </w:p>
        </w:tc>
        <w:tc>
          <w:tcPr>
            <w:tcW w:w="2411" w:type="dxa"/>
          </w:tcPr>
          <w:p>
            <w:pPr>
              <w:pStyle w:val="32"/>
              <w:rPr>
                <w:b/>
                <w:sz w:val="24"/>
              </w:rPr>
            </w:pPr>
          </w:p>
          <w:p>
            <w:pPr>
              <w:pStyle w:val="32"/>
              <w:spacing w:before="162" w:line="249" w:lineRule="auto"/>
              <w:ind w:left="118" w:right="120"/>
              <w:jc w:val="center"/>
              <w:rPr>
                <w:rFonts w:ascii="仿宋" w:eastAsia="仿宋"/>
                <w:sz w:val="24"/>
              </w:rPr>
            </w:pPr>
            <w:r>
              <w:rPr>
                <w:rFonts w:hint="eastAsia" w:ascii="仿宋" w:eastAsia="仿宋"/>
                <w:sz w:val="24"/>
              </w:rPr>
              <w:t>确保国有森林资源和群众生命财产安全得到有效保障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1978" w:type="dxa"/>
            <w:vMerge w:val="continue"/>
            <w:tcBorders>
              <w:top w:val="nil"/>
            </w:tcBorders>
          </w:tcPr>
          <w:p>
            <w:pPr>
              <w:rPr>
                <w:sz w:val="2"/>
                <w:szCs w:val="2"/>
              </w:rPr>
            </w:pPr>
          </w:p>
        </w:tc>
        <w:tc>
          <w:tcPr>
            <w:tcW w:w="1143" w:type="dxa"/>
            <w:vMerge w:val="continue"/>
            <w:tcBorders>
              <w:top w:val="nil"/>
            </w:tcBorders>
          </w:tcPr>
          <w:p>
            <w:pPr>
              <w:rPr>
                <w:sz w:val="2"/>
                <w:szCs w:val="2"/>
              </w:rPr>
            </w:pPr>
          </w:p>
        </w:tc>
        <w:tc>
          <w:tcPr>
            <w:tcW w:w="1635" w:type="dxa"/>
          </w:tcPr>
          <w:p>
            <w:pPr>
              <w:pStyle w:val="32"/>
              <w:spacing w:line="286" w:lineRule="exact"/>
              <w:ind w:left="344"/>
              <w:rPr>
                <w:rFonts w:ascii="仿宋" w:eastAsia="仿宋"/>
                <w:sz w:val="28"/>
              </w:rPr>
            </w:pPr>
            <w:r>
              <w:rPr>
                <w:rFonts w:hint="eastAsia" w:ascii="仿宋" w:eastAsia="仿宋"/>
                <w:sz w:val="28"/>
              </w:rPr>
              <w:t>生态效益</w:t>
            </w:r>
          </w:p>
          <w:p>
            <w:pPr>
              <w:pStyle w:val="32"/>
              <w:spacing w:line="335" w:lineRule="exact"/>
              <w:ind w:left="764"/>
              <w:rPr>
                <w:rFonts w:ascii="仿宋" w:eastAsia="仿宋"/>
                <w:sz w:val="28"/>
              </w:rPr>
            </w:pPr>
            <w:r>
              <w:rPr>
                <w:rFonts w:hint="eastAsia" w:ascii="仿宋" w:eastAsia="仿宋"/>
                <w:sz w:val="28"/>
              </w:rPr>
              <w:t>指标</w:t>
            </w:r>
          </w:p>
        </w:tc>
        <w:tc>
          <w:tcPr>
            <w:tcW w:w="1189" w:type="dxa"/>
          </w:tcPr>
          <w:p>
            <w:pPr>
              <w:pStyle w:val="32"/>
              <w:rPr>
                <w:rFonts w:ascii="Times New Roman"/>
                <w:sz w:val="26"/>
              </w:rPr>
            </w:pPr>
          </w:p>
        </w:tc>
        <w:tc>
          <w:tcPr>
            <w:tcW w:w="1225" w:type="dxa"/>
          </w:tcPr>
          <w:p>
            <w:pPr>
              <w:pStyle w:val="32"/>
              <w:rPr>
                <w:rFonts w:ascii="Times New Roman"/>
                <w:sz w:val="26"/>
              </w:rPr>
            </w:pPr>
          </w:p>
        </w:tc>
        <w:tc>
          <w:tcPr>
            <w:tcW w:w="2411" w:type="dxa"/>
          </w:tcPr>
          <w:p>
            <w:pPr>
              <w:pStyle w:val="3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0" w:hRule="atLeast"/>
        </w:trPr>
        <w:tc>
          <w:tcPr>
            <w:tcW w:w="1978" w:type="dxa"/>
            <w:vMerge w:val="continue"/>
            <w:tcBorders>
              <w:top w:val="nil"/>
            </w:tcBorders>
          </w:tcPr>
          <w:p>
            <w:pPr>
              <w:rPr>
                <w:sz w:val="2"/>
                <w:szCs w:val="2"/>
              </w:rPr>
            </w:pPr>
          </w:p>
        </w:tc>
        <w:tc>
          <w:tcPr>
            <w:tcW w:w="1143" w:type="dxa"/>
            <w:vMerge w:val="continue"/>
            <w:tcBorders>
              <w:top w:val="nil"/>
            </w:tcBorders>
          </w:tcPr>
          <w:p>
            <w:pPr>
              <w:rPr>
                <w:sz w:val="2"/>
                <w:szCs w:val="2"/>
              </w:rPr>
            </w:pPr>
          </w:p>
        </w:tc>
        <w:tc>
          <w:tcPr>
            <w:tcW w:w="1635" w:type="dxa"/>
          </w:tcPr>
          <w:p>
            <w:pPr>
              <w:pStyle w:val="32"/>
              <w:spacing w:line="286" w:lineRule="exact"/>
              <w:ind w:left="94" w:right="90"/>
              <w:jc w:val="center"/>
              <w:rPr>
                <w:rFonts w:ascii="仿宋" w:eastAsia="仿宋"/>
                <w:sz w:val="28"/>
              </w:rPr>
            </w:pPr>
            <w:r>
              <w:rPr>
                <w:rFonts w:hint="eastAsia" w:ascii="仿宋" w:eastAsia="仿宋"/>
                <w:sz w:val="28"/>
              </w:rPr>
              <w:t>可持续影响</w:t>
            </w:r>
          </w:p>
          <w:p>
            <w:pPr>
              <w:pStyle w:val="32"/>
              <w:spacing w:line="335" w:lineRule="exact"/>
              <w:ind w:left="94" w:right="90"/>
              <w:jc w:val="center"/>
              <w:rPr>
                <w:rFonts w:ascii="仿宋" w:eastAsia="仿宋"/>
                <w:sz w:val="28"/>
              </w:rPr>
            </w:pPr>
            <w:r>
              <w:rPr>
                <w:rFonts w:hint="eastAsia" w:ascii="仿宋" w:eastAsia="仿宋"/>
                <w:sz w:val="28"/>
              </w:rPr>
              <w:t>指标</w:t>
            </w:r>
          </w:p>
        </w:tc>
        <w:tc>
          <w:tcPr>
            <w:tcW w:w="1189" w:type="dxa"/>
          </w:tcPr>
          <w:p>
            <w:pPr>
              <w:pStyle w:val="32"/>
              <w:rPr>
                <w:rFonts w:ascii="Times New Roman"/>
                <w:sz w:val="26"/>
              </w:rPr>
            </w:pPr>
          </w:p>
        </w:tc>
        <w:tc>
          <w:tcPr>
            <w:tcW w:w="1225" w:type="dxa"/>
          </w:tcPr>
          <w:p>
            <w:pPr>
              <w:pStyle w:val="32"/>
              <w:rPr>
                <w:rFonts w:ascii="Times New Roman"/>
                <w:sz w:val="26"/>
              </w:rPr>
            </w:pPr>
          </w:p>
        </w:tc>
        <w:tc>
          <w:tcPr>
            <w:tcW w:w="2411" w:type="dxa"/>
          </w:tcPr>
          <w:p>
            <w:pPr>
              <w:pStyle w:val="3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9" w:hRule="atLeast"/>
        </w:trPr>
        <w:tc>
          <w:tcPr>
            <w:tcW w:w="1978" w:type="dxa"/>
            <w:vMerge w:val="continue"/>
            <w:tcBorders>
              <w:top w:val="nil"/>
            </w:tcBorders>
          </w:tcPr>
          <w:p>
            <w:pPr>
              <w:rPr>
                <w:sz w:val="2"/>
                <w:szCs w:val="2"/>
              </w:rPr>
            </w:pPr>
          </w:p>
        </w:tc>
        <w:tc>
          <w:tcPr>
            <w:tcW w:w="1143" w:type="dxa"/>
          </w:tcPr>
          <w:p>
            <w:pPr>
              <w:pStyle w:val="32"/>
              <w:spacing w:before="137" w:line="213" w:lineRule="auto"/>
              <w:ind w:left="148" w:right="142" w:firstLine="139"/>
              <w:rPr>
                <w:rFonts w:ascii="仿宋" w:eastAsia="仿宋"/>
                <w:sz w:val="28"/>
              </w:rPr>
            </w:pPr>
            <w:r>
              <w:rPr>
                <w:rFonts w:hint="eastAsia" w:ascii="仿宋" w:eastAsia="仿宋"/>
                <w:sz w:val="28"/>
              </w:rPr>
              <w:t>满意度指标</w:t>
            </w:r>
          </w:p>
        </w:tc>
        <w:tc>
          <w:tcPr>
            <w:tcW w:w="1635" w:type="dxa"/>
          </w:tcPr>
          <w:p>
            <w:pPr>
              <w:pStyle w:val="32"/>
              <w:spacing w:before="137" w:line="213" w:lineRule="auto"/>
              <w:ind w:left="533" w:right="390" w:hanging="142"/>
              <w:rPr>
                <w:rFonts w:ascii="仿宋" w:eastAsia="仿宋"/>
                <w:sz w:val="28"/>
              </w:rPr>
            </w:pPr>
            <w:r>
              <w:rPr>
                <w:rFonts w:hint="eastAsia" w:ascii="仿宋" w:eastAsia="仿宋"/>
                <w:sz w:val="28"/>
              </w:rPr>
              <w:t>满意度指标</w:t>
            </w:r>
          </w:p>
        </w:tc>
        <w:tc>
          <w:tcPr>
            <w:tcW w:w="1189" w:type="dxa"/>
          </w:tcPr>
          <w:p>
            <w:pPr>
              <w:pStyle w:val="32"/>
              <w:spacing w:line="284" w:lineRule="exact"/>
              <w:ind w:left="151" w:right="148"/>
              <w:jc w:val="center"/>
              <w:rPr>
                <w:rFonts w:ascii="仿宋" w:eastAsia="仿宋"/>
                <w:sz w:val="28"/>
              </w:rPr>
            </w:pPr>
            <w:r>
              <w:rPr>
                <w:rFonts w:hint="eastAsia" w:ascii="仿宋" w:eastAsia="仿宋"/>
                <w:sz w:val="28"/>
              </w:rPr>
              <w:t>群众满</w:t>
            </w:r>
          </w:p>
          <w:p>
            <w:pPr>
              <w:pStyle w:val="32"/>
              <w:spacing w:line="320" w:lineRule="exact"/>
              <w:ind w:left="151" w:right="148"/>
              <w:jc w:val="center"/>
              <w:rPr>
                <w:rFonts w:ascii="仿宋" w:eastAsia="仿宋"/>
                <w:sz w:val="28"/>
              </w:rPr>
            </w:pPr>
            <w:r>
              <w:rPr>
                <w:rFonts w:hint="eastAsia" w:ascii="仿宋" w:eastAsia="仿宋"/>
                <w:sz w:val="28"/>
              </w:rPr>
              <w:t>意度</w:t>
            </w:r>
          </w:p>
          <w:p>
            <w:pPr>
              <w:pStyle w:val="32"/>
              <w:spacing w:line="335" w:lineRule="exact"/>
              <w:ind w:left="240"/>
              <w:rPr>
                <w:rFonts w:ascii="仿宋" w:eastAsia="仿宋"/>
                <w:sz w:val="28"/>
              </w:rPr>
            </w:pPr>
            <w:r>
              <w:rPr>
                <w:rFonts w:hint="eastAsia" w:ascii="仿宋" w:eastAsia="仿宋"/>
                <w:sz w:val="28"/>
              </w:rPr>
              <w:t>（%）</w:t>
            </w:r>
          </w:p>
        </w:tc>
        <w:tc>
          <w:tcPr>
            <w:tcW w:w="1225" w:type="dxa"/>
          </w:tcPr>
          <w:p>
            <w:pPr>
              <w:pStyle w:val="32"/>
              <w:spacing w:before="8"/>
              <w:rPr>
                <w:b/>
                <w:sz w:val="20"/>
              </w:rPr>
            </w:pPr>
          </w:p>
          <w:p>
            <w:pPr>
              <w:pStyle w:val="32"/>
              <w:ind w:left="328"/>
              <w:rPr>
                <w:rFonts w:ascii="仿宋" w:hAnsi="仿宋"/>
                <w:sz w:val="28"/>
              </w:rPr>
            </w:pPr>
            <w:r>
              <w:rPr>
                <w:rFonts w:ascii="仿宋" w:hAnsi="仿宋"/>
                <w:sz w:val="28"/>
              </w:rPr>
              <w:t>≥95</w:t>
            </w:r>
          </w:p>
        </w:tc>
        <w:tc>
          <w:tcPr>
            <w:tcW w:w="2411" w:type="dxa"/>
          </w:tcPr>
          <w:p>
            <w:pPr>
              <w:pStyle w:val="32"/>
              <w:spacing w:before="8"/>
              <w:rPr>
                <w:b/>
                <w:sz w:val="20"/>
              </w:rPr>
            </w:pPr>
          </w:p>
          <w:p>
            <w:pPr>
              <w:pStyle w:val="32"/>
              <w:ind w:left="100" w:right="100"/>
              <w:jc w:val="center"/>
              <w:rPr>
                <w:rFonts w:ascii="仿宋" w:hAnsi="仿宋"/>
                <w:sz w:val="28"/>
              </w:rPr>
            </w:pPr>
            <w:r>
              <w:rPr>
                <w:rFonts w:ascii="仿宋" w:hAnsi="仿宋"/>
                <w:sz w:val="28"/>
              </w:rPr>
              <w:t>≥95</w:t>
            </w:r>
          </w:p>
        </w:tc>
      </w:tr>
    </w:tbl>
    <w:p>
      <w:pPr>
        <w:pStyle w:val="2"/>
        <w:spacing w:before="72" w:line="338" w:lineRule="auto"/>
        <w:ind w:right="1082" w:firstLine="638"/>
        <w:rPr>
          <w:spacing w:val="-7"/>
          <w:sz w:val="28"/>
          <w:szCs w:val="28"/>
        </w:rPr>
        <w:sectPr>
          <w:footerReference r:id="rId4" w:type="default"/>
          <w:pgSz w:w="11910" w:h="16840"/>
          <w:pgMar w:top="1500" w:right="400" w:bottom="1380" w:left="1060" w:header="0" w:footer="1197" w:gutter="0"/>
          <w:pgNumType w:start="40"/>
          <w:cols w:space="720" w:num="1"/>
        </w:sectPr>
      </w:pPr>
    </w:p>
    <w:p>
      <w:pPr>
        <w:widowControl/>
        <w:jc w:val="left"/>
      </w:pPr>
    </w:p>
    <w:p>
      <w:pPr>
        <w:pStyle w:val="13"/>
        <w:widowControl/>
        <w:spacing w:before="0" w:beforeAutospacing="0" w:after="0" w:afterAutospacing="0" w:line="390" w:lineRule="atLeast"/>
        <w:rPr>
          <w:rFonts w:ascii="仿宋_GB2312" w:hAnsi="仿宋_GB2312" w:eastAsia="仿宋_GB2312" w:cs="仿宋_GB2312"/>
          <w:sz w:val="32"/>
          <w:szCs w:val="32"/>
          <w:shd w:val="clear" w:color="auto" w:fill="FFFFFF"/>
        </w:rPr>
      </w:pPr>
    </w:p>
    <w:bookmarkEnd w:id="47"/>
    <w:p>
      <w:pPr>
        <w:pStyle w:val="4"/>
        <w:jc w:val="center"/>
        <w:rPr>
          <w:rFonts w:ascii="仿宋_GB2312" w:hAnsi="仿宋_GB2312" w:eastAsia="仿宋_GB2312" w:cs="仿宋_GB2312"/>
        </w:rPr>
      </w:pPr>
      <w:bookmarkStart w:id="49" w:name="_Toc15396619"/>
      <w:r>
        <w:rPr>
          <w:rFonts w:hint="eastAsia" w:ascii="仿宋_GB2312" w:hAnsi="仿宋_GB2312" w:eastAsia="仿宋_GB2312" w:cs="仿宋_GB2312"/>
        </w:rPr>
        <w:t>第五部分     附表</w:t>
      </w:r>
    </w:p>
    <w:bookmarkEnd w:id="49"/>
    <w:p>
      <w:pPr>
        <w:pStyle w:val="12"/>
        <w:adjustRightInd w:val="0"/>
        <w:snapToGrid w:val="0"/>
        <w:spacing w:line="440" w:lineRule="exact"/>
        <w:ind w:left="0" w:leftChars="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一、收入支出决算总表</w:t>
      </w:r>
    </w:p>
    <w:p>
      <w:pPr>
        <w:pStyle w:val="12"/>
        <w:adjustRightInd w:val="0"/>
        <w:snapToGrid w:val="0"/>
        <w:spacing w:line="440" w:lineRule="exact"/>
        <w:jc w:val="left"/>
        <w:rPr>
          <w:rFonts w:ascii="仿宋_GB2312" w:hAnsi="仿宋_GB2312" w:eastAsia="仿宋_GB2312" w:cs="仿宋_GB2312"/>
          <w:kern w:val="0"/>
          <w:sz w:val="32"/>
          <w:szCs w:val="32"/>
          <w:shd w:val="clear" w:color="auto" w:fill="FFFFFF"/>
        </w:rPr>
      </w:pPr>
    </w:p>
    <w:p>
      <w:pPr>
        <w:pStyle w:val="12"/>
        <w:adjustRightInd w:val="0"/>
        <w:snapToGrid w:val="0"/>
        <w:spacing w:line="440" w:lineRule="exact"/>
        <w:ind w:left="0" w:leftChars="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二、收入决算表</w:t>
      </w:r>
    </w:p>
    <w:p>
      <w:pPr>
        <w:pStyle w:val="12"/>
        <w:adjustRightInd w:val="0"/>
        <w:snapToGrid w:val="0"/>
        <w:spacing w:line="440" w:lineRule="exact"/>
        <w:jc w:val="left"/>
        <w:rPr>
          <w:rFonts w:ascii="仿宋_GB2312" w:hAnsi="仿宋_GB2312" w:eastAsia="仿宋_GB2312" w:cs="仿宋_GB2312"/>
          <w:kern w:val="0"/>
          <w:sz w:val="32"/>
          <w:szCs w:val="32"/>
          <w:shd w:val="clear" w:color="auto" w:fill="FFFFFF"/>
        </w:rPr>
      </w:pPr>
    </w:p>
    <w:p>
      <w:pPr>
        <w:pStyle w:val="12"/>
        <w:adjustRightInd w:val="0"/>
        <w:snapToGrid w:val="0"/>
        <w:spacing w:line="440" w:lineRule="exact"/>
        <w:ind w:left="0" w:leftChars="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三、支出决算表</w:t>
      </w:r>
    </w:p>
    <w:p>
      <w:pPr>
        <w:pStyle w:val="12"/>
        <w:adjustRightInd w:val="0"/>
        <w:snapToGrid w:val="0"/>
        <w:spacing w:line="440" w:lineRule="exact"/>
        <w:jc w:val="left"/>
        <w:rPr>
          <w:rFonts w:ascii="仿宋_GB2312" w:hAnsi="仿宋_GB2312" w:eastAsia="仿宋_GB2312" w:cs="仿宋_GB2312"/>
          <w:kern w:val="0"/>
          <w:sz w:val="32"/>
          <w:szCs w:val="32"/>
          <w:shd w:val="clear" w:color="auto" w:fill="FFFFFF"/>
        </w:rPr>
      </w:pPr>
    </w:p>
    <w:p>
      <w:pPr>
        <w:pStyle w:val="12"/>
        <w:adjustRightInd w:val="0"/>
        <w:snapToGrid w:val="0"/>
        <w:spacing w:line="440" w:lineRule="exact"/>
        <w:ind w:left="0" w:leftChars="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四、财政拨款收入支出决算总表</w:t>
      </w:r>
    </w:p>
    <w:p>
      <w:pPr>
        <w:pStyle w:val="12"/>
        <w:adjustRightInd w:val="0"/>
        <w:snapToGrid w:val="0"/>
        <w:spacing w:line="440" w:lineRule="exact"/>
        <w:ind w:left="0" w:leftChars="0"/>
        <w:jc w:val="left"/>
        <w:rPr>
          <w:rFonts w:ascii="仿宋_GB2312" w:hAnsi="仿宋_GB2312" w:eastAsia="仿宋_GB2312" w:cs="仿宋_GB2312"/>
          <w:kern w:val="0"/>
          <w:sz w:val="32"/>
          <w:szCs w:val="32"/>
          <w:shd w:val="clear" w:color="auto" w:fill="FFFFFF"/>
        </w:rPr>
      </w:pPr>
    </w:p>
    <w:p>
      <w:pPr>
        <w:pStyle w:val="12"/>
        <w:adjustRightInd w:val="0"/>
        <w:snapToGrid w:val="0"/>
        <w:spacing w:line="440" w:lineRule="exact"/>
        <w:ind w:left="0" w:leftChars="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五、财政拨款支出决算明细表</w:t>
      </w:r>
    </w:p>
    <w:p>
      <w:pPr>
        <w:pStyle w:val="12"/>
        <w:adjustRightInd w:val="0"/>
        <w:snapToGrid w:val="0"/>
        <w:spacing w:line="440" w:lineRule="exact"/>
        <w:jc w:val="left"/>
        <w:rPr>
          <w:rFonts w:ascii="仿宋_GB2312" w:hAnsi="仿宋_GB2312" w:eastAsia="仿宋_GB2312" w:cs="仿宋_GB2312"/>
          <w:kern w:val="0"/>
          <w:sz w:val="32"/>
          <w:szCs w:val="32"/>
          <w:shd w:val="clear" w:color="auto" w:fill="FFFFFF"/>
        </w:rPr>
      </w:pPr>
    </w:p>
    <w:p>
      <w:pPr>
        <w:pStyle w:val="12"/>
        <w:adjustRightInd w:val="0"/>
        <w:snapToGrid w:val="0"/>
        <w:spacing w:line="440" w:lineRule="exact"/>
        <w:ind w:left="0" w:leftChars="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六、一般公共预算财政拨款支出决算表</w:t>
      </w:r>
    </w:p>
    <w:p>
      <w:pPr>
        <w:pStyle w:val="12"/>
        <w:adjustRightInd w:val="0"/>
        <w:snapToGrid w:val="0"/>
        <w:spacing w:line="440" w:lineRule="exact"/>
        <w:jc w:val="left"/>
        <w:rPr>
          <w:rFonts w:ascii="仿宋_GB2312" w:hAnsi="仿宋_GB2312" w:eastAsia="仿宋_GB2312" w:cs="仿宋_GB2312"/>
          <w:kern w:val="0"/>
          <w:sz w:val="32"/>
          <w:szCs w:val="32"/>
          <w:shd w:val="clear" w:color="auto" w:fill="FFFFFF"/>
        </w:rPr>
      </w:pPr>
    </w:p>
    <w:p>
      <w:pPr>
        <w:pStyle w:val="12"/>
        <w:adjustRightInd w:val="0"/>
        <w:snapToGrid w:val="0"/>
        <w:spacing w:line="440" w:lineRule="exact"/>
        <w:ind w:left="0" w:leftChars="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七、一般公共预算财政拨款支出决算明细表</w:t>
      </w:r>
    </w:p>
    <w:p>
      <w:pPr>
        <w:pStyle w:val="12"/>
        <w:adjustRightInd w:val="0"/>
        <w:snapToGrid w:val="0"/>
        <w:spacing w:line="440" w:lineRule="exact"/>
        <w:jc w:val="left"/>
        <w:rPr>
          <w:rFonts w:ascii="仿宋_GB2312" w:hAnsi="仿宋_GB2312" w:eastAsia="仿宋_GB2312" w:cs="仿宋_GB2312"/>
          <w:kern w:val="0"/>
          <w:sz w:val="32"/>
          <w:szCs w:val="32"/>
          <w:shd w:val="clear" w:color="auto" w:fill="FFFFFF"/>
        </w:rPr>
      </w:pPr>
    </w:p>
    <w:p>
      <w:pPr>
        <w:pStyle w:val="12"/>
        <w:adjustRightInd w:val="0"/>
        <w:snapToGrid w:val="0"/>
        <w:spacing w:line="440" w:lineRule="exact"/>
        <w:ind w:left="0" w:leftChars="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八、一般公共预算财政拨款基本支出决算表</w:t>
      </w:r>
    </w:p>
    <w:p>
      <w:pPr>
        <w:pStyle w:val="12"/>
        <w:adjustRightInd w:val="0"/>
        <w:snapToGrid w:val="0"/>
        <w:spacing w:line="440" w:lineRule="exact"/>
        <w:jc w:val="left"/>
        <w:rPr>
          <w:rFonts w:ascii="仿宋_GB2312" w:hAnsi="仿宋_GB2312" w:eastAsia="仿宋_GB2312" w:cs="仿宋_GB2312"/>
          <w:kern w:val="0"/>
          <w:sz w:val="32"/>
          <w:szCs w:val="32"/>
          <w:shd w:val="clear" w:color="auto" w:fill="FFFFFF"/>
        </w:rPr>
      </w:pPr>
    </w:p>
    <w:p>
      <w:pPr>
        <w:pStyle w:val="12"/>
        <w:adjustRightInd w:val="0"/>
        <w:snapToGrid w:val="0"/>
        <w:spacing w:line="440" w:lineRule="exact"/>
        <w:ind w:left="0" w:leftChars="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九、一般公共预算财政拨款项目支出决算表</w:t>
      </w:r>
    </w:p>
    <w:p>
      <w:pPr>
        <w:pStyle w:val="12"/>
        <w:adjustRightInd w:val="0"/>
        <w:snapToGrid w:val="0"/>
        <w:spacing w:line="440" w:lineRule="exact"/>
        <w:jc w:val="left"/>
        <w:rPr>
          <w:rFonts w:ascii="仿宋_GB2312" w:hAnsi="仿宋_GB2312" w:eastAsia="仿宋_GB2312" w:cs="仿宋_GB2312"/>
          <w:kern w:val="0"/>
          <w:sz w:val="32"/>
          <w:szCs w:val="32"/>
          <w:shd w:val="clear" w:color="auto" w:fill="FFFFFF"/>
        </w:rPr>
      </w:pPr>
    </w:p>
    <w:p>
      <w:pPr>
        <w:pStyle w:val="12"/>
        <w:adjustRightInd w:val="0"/>
        <w:snapToGrid w:val="0"/>
        <w:spacing w:line="440" w:lineRule="exact"/>
        <w:ind w:left="0" w:leftChars="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十、一般公共预算财政拨款“三公”经费支出决算表</w:t>
      </w:r>
    </w:p>
    <w:p>
      <w:pPr>
        <w:pStyle w:val="12"/>
        <w:adjustRightInd w:val="0"/>
        <w:snapToGrid w:val="0"/>
        <w:spacing w:line="440" w:lineRule="exact"/>
        <w:jc w:val="left"/>
        <w:rPr>
          <w:rFonts w:ascii="仿宋_GB2312" w:hAnsi="仿宋_GB2312" w:eastAsia="仿宋_GB2312" w:cs="仿宋_GB2312"/>
          <w:kern w:val="0"/>
          <w:sz w:val="32"/>
          <w:szCs w:val="32"/>
          <w:shd w:val="clear" w:color="auto" w:fill="FFFFFF"/>
        </w:rPr>
      </w:pPr>
    </w:p>
    <w:p>
      <w:pPr>
        <w:pStyle w:val="12"/>
        <w:adjustRightInd w:val="0"/>
        <w:snapToGrid w:val="0"/>
        <w:spacing w:line="440" w:lineRule="exact"/>
        <w:ind w:left="0" w:leftChars="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十一、政府性基金预算财政拨款收入支出决算表</w:t>
      </w:r>
    </w:p>
    <w:p>
      <w:pPr>
        <w:pStyle w:val="12"/>
        <w:adjustRightInd w:val="0"/>
        <w:snapToGrid w:val="0"/>
        <w:spacing w:line="440" w:lineRule="exact"/>
        <w:jc w:val="left"/>
        <w:rPr>
          <w:rFonts w:ascii="仿宋_GB2312" w:hAnsi="仿宋_GB2312" w:eastAsia="仿宋_GB2312" w:cs="仿宋_GB2312"/>
          <w:kern w:val="0"/>
          <w:sz w:val="32"/>
          <w:szCs w:val="32"/>
          <w:shd w:val="clear" w:color="auto" w:fill="FFFFFF"/>
        </w:rPr>
      </w:pPr>
    </w:p>
    <w:p>
      <w:pPr>
        <w:pStyle w:val="12"/>
        <w:adjustRightInd w:val="0"/>
        <w:snapToGrid w:val="0"/>
        <w:spacing w:line="440" w:lineRule="exact"/>
        <w:ind w:left="0" w:leftChars="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十二、政府性基金预算财政拨款“三公”经费支出决算表</w:t>
      </w:r>
    </w:p>
    <w:p>
      <w:pPr>
        <w:pStyle w:val="12"/>
        <w:adjustRightInd w:val="0"/>
        <w:snapToGrid w:val="0"/>
        <w:spacing w:line="440" w:lineRule="exact"/>
        <w:jc w:val="left"/>
        <w:rPr>
          <w:rFonts w:ascii="仿宋_GB2312" w:hAnsi="仿宋_GB2312" w:eastAsia="仿宋_GB2312" w:cs="仿宋_GB2312"/>
          <w:kern w:val="0"/>
          <w:sz w:val="32"/>
          <w:szCs w:val="32"/>
          <w:shd w:val="clear" w:color="auto" w:fill="FFFFFF"/>
        </w:rPr>
      </w:pPr>
    </w:p>
    <w:p>
      <w:pPr>
        <w:pStyle w:val="12"/>
        <w:adjustRightInd w:val="0"/>
        <w:snapToGrid w:val="0"/>
        <w:spacing w:line="440" w:lineRule="exact"/>
        <w:ind w:left="0" w:leftChars="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十三、国有资本经营预算财政拨款收入支出决算表</w:t>
      </w:r>
    </w:p>
    <w:p>
      <w:pPr>
        <w:pStyle w:val="4"/>
        <w:rPr>
          <w:rFonts w:ascii="仿宋_GB2312" w:hAnsi="仿宋_GB2312" w:eastAsia="仿宋_GB2312" w:cs="仿宋_GB2312"/>
          <w:b w:val="0"/>
          <w:bCs w:val="0"/>
          <w:kern w:val="0"/>
          <w:shd w:val="clear" w:color="auto" w:fill="FFFFFF"/>
        </w:rPr>
      </w:pPr>
      <w:r>
        <w:rPr>
          <w:rFonts w:hint="eastAsia" w:ascii="仿宋_GB2312" w:hAnsi="仿宋_GB2312" w:eastAsia="仿宋_GB2312" w:cs="仿宋_GB2312"/>
          <w:b w:val="0"/>
          <w:bCs w:val="0"/>
          <w:kern w:val="0"/>
          <w:shd w:val="clear" w:color="auto" w:fill="FFFFFF"/>
        </w:rPr>
        <w:t>十四、国有资本经营预算财政拨款支出决算表</w:t>
      </w:r>
    </w:p>
    <w:sectPr>
      <w:footerReference r:id="rId7" w:type="first"/>
      <w:headerReference r:id="rId5" w:type="default"/>
      <w:footerReference r:id="rId6"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72" w:line="14" w:lineRule="auto"/>
      <w:rPr>
        <w:sz w:val="20"/>
      </w:rPr>
    </w:pPr>
    <w:r>
      <w:pict>
        <v:shape id="_x0000_s1026" o:spid="_x0000_s1026" o:spt="202" type="#_x0000_t202" style="position:absolute;left:0pt;margin-left:291pt;margin-top:771pt;height:11pt;width:13.15pt;mso-position-horizontal-relative:page;mso-position-vertical-relative:page;z-index:-251655168;mso-width-relative:page;mso-height-relative:page;" filled="f" stroked="f" coordsize="21600,21600" o:gfxdata="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6/7eDaAAAADQEAAA8AAAAAAAAAAQAgAAAAIgAAAGRycy9kb3ducmV2LnhtbFBLAQIU&#10;ABQAAAAIAIdO4kDsDQyRuAEAAHEDAAAOAAAAAAAAAAEAIAAAACkBAABkcnMvZTJvRG9jLnhtbFBL&#10;BQYAAAAABgAGAFkBAABTBQAAAAA=&#10;">
          <v:path/>
          <v:fill on="f" focussize="0,0"/>
          <v:stroke on="f" joinstyle="miter"/>
          <v:imagedata o:title=""/>
          <o:lock v:ext="edit"/>
          <v:textbox inset="0mm,0mm,0mm,0mm">
            <w:txbxContent>
              <w:p>
                <w:pPr>
                  <w:spacing w:line="203" w:lineRule="exact"/>
                  <w:ind w:left="40"/>
                  <w:jc w:val="left"/>
                  <w:rPr>
                    <w:rFonts w:ascii="Calibri"/>
                    <w:sz w:val="18"/>
                  </w:rPr>
                </w:pPr>
                <w:r>
                  <w:fldChar w:fldCharType="begin"/>
                </w:r>
                <w:r>
                  <w:rPr>
                    <w:rFonts w:ascii="Calibri"/>
                    <w:sz w:val="18"/>
                  </w:rPr>
                  <w:instrText xml:space="preserve"> PAGE </w:instrText>
                </w:r>
                <w:r>
                  <w:fldChar w:fldCharType="separate"/>
                </w:r>
                <w:r>
                  <w:rPr>
                    <w:rFonts w:ascii="Calibri"/>
                    <w:sz w:val="18"/>
                  </w:rPr>
                  <w:t>34</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72" w:line="14" w:lineRule="auto"/>
      <w:rPr>
        <w:sz w:val="20"/>
      </w:rPr>
    </w:pPr>
    <w:r>
      <w:pict>
        <v:shape id="_x0000_s1029" o:spid="_x0000_s1029" o:spt="202" type="#_x0000_t202" style="position:absolute;left:0pt;margin-left:291pt;margin-top:771pt;height:11pt;width:13.15pt;mso-position-horizontal-relative:page;mso-position-vertical-relative:page;z-index:-251654144;mso-width-relative:page;mso-height-relative:page;" filled="f" stroked="f" coordsize="21600,21600" o:gfxdata="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6/7eDaAAAADQEAAA8AAAAAAAAAAQAgAAAAIgAAAGRycy9kb3ducmV2LnhtbFBLAQIU&#10;ABQAAAAIAIdO4kCyGQevuAEAAHEDAAAOAAAAAAAAAAEAIAAAACkBAABkcnMvZTJvRG9jLnhtbFBL&#10;BQYAAAAABgAGAFkBAABTBQAAAAA=&#10;">
          <v:path/>
          <v:fill on="f" focussize="0,0"/>
          <v:stroke on="f" joinstyle="miter"/>
          <v:imagedata o:title=""/>
          <o:lock v:ext="edit"/>
          <v:textbox inset="0mm,0mm,0mm,0mm">
            <w:txbxContent>
              <w:p>
                <w:pPr>
                  <w:spacing w:line="203" w:lineRule="exact"/>
                  <w:ind w:left="40"/>
                  <w:jc w:val="left"/>
                  <w:rPr>
                    <w:rFonts w:ascii="Calibri"/>
                    <w:sz w:val="18"/>
                  </w:rPr>
                </w:pPr>
                <w:r>
                  <w:fldChar w:fldCharType="begin"/>
                </w:r>
                <w:r>
                  <w:rPr>
                    <w:rFonts w:ascii="Calibri"/>
                    <w:sz w:val="18"/>
                  </w:rPr>
                  <w:instrText xml:space="preserve"> PAGE </w:instrText>
                </w:r>
                <w:r>
                  <w:fldChar w:fldCharType="separate"/>
                </w:r>
                <w:r>
                  <w:rPr>
                    <w:rFonts w:ascii="Calibri"/>
                    <w:sz w:val="18"/>
                  </w:rPr>
                  <w:t>42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cs="Times New Roman"/>
      </w:rPr>
    </w:pPr>
    <w: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w:r>
  </w:p>
  <w:p>
    <w:pPr>
      <w:pStyle w:val="9"/>
      <w:rPr>
        <w:rFonts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1028" o:spid="_x0000_s1028"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path/>
          <v:fill on="f" focussize="0,0"/>
          <v:stroke on="f" weight="0.5pt" joinstyle="miter"/>
          <v:imagedata o:title=""/>
          <o:lock v:ext="edit"/>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30164C"/>
    <w:multiLevelType w:val="singleLevel"/>
    <w:tmpl w:val="B030164C"/>
    <w:lvl w:ilvl="0" w:tentative="0">
      <w:start w:val="4"/>
      <w:numFmt w:val="chineseCounting"/>
      <w:suff w:val="nothing"/>
      <w:lvlText w:val="%1、"/>
      <w:lvlJc w:val="left"/>
      <w:rPr>
        <w:rFonts w:hint="eastAsia"/>
      </w:rPr>
    </w:lvl>
  </w:abstractNum>
  <w:abstractNum w:abstractNumId="1">
    <w:nsid w:val="B750DC7F"/>
    <w:multiLevelType w:val="singleLevel"/>
    <w:tmpl w:val="B750DC7F"/>
    <w:lvl w:ilvl="0" w:tentative="0">
      <w:start w:val="1"/>
      <w:numFmt w:val="chineseCounting"/>
      <w:suff w:val="nothing"/>
      <w:lvlText w:val="%1、"/>
      <w:lvlJc w:val="left"/>
      <w:rPr>
        <w:rFonts w:hint="eastAsia"/>
      </w:rPr>
    </w:lvl>
  </w:abstractNum>
  <w:abstractNum w:abstractNumId="2">
    <w:nsid w:val="C059663F"/>
    <w:multiLevelType w:val="singleLevel"/>
    <w:tmpl w:val="C059663F"/>
    <w:lvl w:ilvl="0" w:tentative="0">
      <w:start w:val="1"/>
      <w:numFmt w:val="decimal"/>
      <w:suff w:val="nothing"/>
      <w:lvlText w:val="%1、"/>
      <w:lvlJc w:val="left"/>
    </w:lvl>
  </w:abstractNum>
  <w:abstractNum w:abstractNumId="3">
    <w:nsid w:val="CF652CEC"/>
    <w:multiLevelType w:val="singleLevel"/>
    <w:tmpl w:val="CF652CEC"/>
    <w:lvl w:ilvl="0" w:tentative="0">
      <w:start w:val="9"/>
      <w:numFmt w:val="chineseCounting"/>
      <w:suff w:val="nothing"/>
      <w:lvlText w:val="%1、"/>
      <w:lvlJc w:val="left"/>
      <w:rPr>
        <w:rFonts w:hint="eastAsia"/>
      </w:rPr>
    </w:lvl>
  </w:abstractNum>
  <w:abstractNum w:abstractNumId="4">
    <w:nsid w:val="E2FA047D"/>
    <w:multiLevelType w:val="singleLevel"/>
    <w:tmpl w:val="E2FA047D"/>
    <w:lvl w:ilvl="0" w:tentative="0">
      <w:start w:val="3"/>
      <w:numFmt w:val="chineseCounting"/>
      <w:suff w:val="space"/>
      <w:lvlText w:val="第%1部分"/>
      <w:lvlJc w:val="left"/>
      <w:rPr>
        <w:rFonts w:hint="eastAsia"/>
      </w:rPr>
    </w:lvl>
  </w:abstractNum>
  <w:abstractNum w:abstractNumId="5">
    <w:nsid w:val="0D996064"/>
    <w:multiLevelType w:val="multilevel"/>
    <w:tmpl w:val="0D996064"/>
    <w:lvl w:ilvl="0" w:tentative="0">
      <w:start w:val="4"/>
      <w:numFmt w:val="japaneseCounting"/>
      <w:lvlText w:val="（%1）"/>
      <w:lvlJc w:val="left"/>
      <w:pPr>
        <w:ind w:left="1789" w:hanging="108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6">
    <w:nsid w:val="30041A5E"/>
    <w:multiLevelType w:val="singleLevel"/>
    <w:tmpl w:val="30041A5E"/>
    <w:lvl w:ilvl="0" w:tentative="0">
      <w:start w:val="2"/>
      <w:numFmt w:val="chineseCounting"/>
      <w:suff w:val="nothing"/>
      <w:lvlText w:val="（%1）"/>
      <w:lvlJc w:val="left"/>
      <w:rPr>
        <w:rFonts w:hint="eastAsia"/>
      </w:rPr>
    </w:lvl>
  </w:abstractNum>
  <w:abstractNum w:abstractNumId="7">
    <w:nsid w:val="330EBBA6"/>
    <w:multiLevelType w:val="singleLevel"/>
    <w:tmpl w:val="330EBBA6"/>
    <w:lvl w:ilvl="0" w:tentative="0">
      <w:start w:val="1"/>
      <w:numFmt w:val="decimal"/>
      <w:suff w:val="space"/>
      <w:lvlText w:val="%1."/>
      <w:lvlJc w:val="left"/>
    </w:lvl>
  </w:abstractNum>
  <w:abstractNum w:abstractNumId="8">
    <w:nsid w:val="3D3EAF02"/>
    <w:multiLevelType w:val="singleLevel"/>
    <w:tmpl w:val="3D3EAF02"/>
    <w:lvl w:ilvl="0" w:tentative="0">
      <w:start w:val="3"/>
      <w:numFmt w:val="chineseCounting"/>
      <w:suff w:val="nothing"/>
      <w:lvlText w:val="（%1）"/>
      <w:lvlJc w:val="left"/>
      <w:pPr>
        <w:ind w:left="210" w:firstLine="0"/>
      </w:pPr>
      <w:rPr>
        <w:rFonts w:hint="eastAsia"/>
      </w:rPr>
    </w:lvl>
  </w:abstractNum>
  <w:abstractNum w:abstractNumId="9">
    <w:nsid w:val="4800B657"/>
    <w:multiLevelType w:val="singleLevel"/>
    <w:tmpl w:val="4800B657"/>
    <w:lvl w:ilvl="0" w:tentative="0">
      <w:start w:val="1"/>
      <w:numFmt w:val="chineseCounting"/>
      <w:suff w:val="nothing"/>
      <w:lvlText w:val="（%1）"/>
      <w:lvlJc w:val="left"/>
      <w:rPr>
        <w:rFonts w:hint="eastAsia"/>
      </w:rPr>
    </w:lvl>
  </w:abstractNum>
  <w:abstractNum w:abstractNumId="10">
    <w:nsid w:val="7007A3BC"/>
    <w:multiLevelType w:val="singleLevel"/>
    <w:tmpl w:val="7007A3BC"/>
    <w:lvl w:ilvl="0" w:tentative="0">
      <w:start w:val="2"/>
      <w:numFmt w:val="chineseCounting"/>
      <w:suff w:val="nothing"/>
      <w:lvlText w:val="(%1）"/>
      <w:lvlJc w:val="left"/>
      <w:rPr>
        <w:rFonts w:hint="eastAsia"/>
      </w:rPr>
    </w:lvl>
  </w:abstractNum>
  <w:num w:numId="1">
    <w:abstractNumId w:val="3"/>
  </w:num>
  <w:num w:numId="2">
    <w:abstractNumId w:val="5"/>
  </w:num>
  <w:num w:numId="3">
    <w:abstractNumId w:val="4"/>
  </w:num>
  <w:num w:numId="4">
    <w:abstractNumId w:val="8"/>
  </w:num>
  <w:num w:numId="5">
    <w:abstractNumId w:val="1"/>
  </w:num>
  <w:num w:numId="6">
    <w:abstractNumId w:val="9"/>
  </w:num>
  <w:num w:numId="7">
    <w:abstractNumId w:val="10"/>
  </w:num>
  <w:num w:numId="8">
    <w:abstractNumId w:val="7"/>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2"/>
  </w:compat>
  <w:docVars>
    <w:docVar w:name="commondata" w:val="eyJoZGlkIjoiZmM0NTY2MDcyODQ2N2FkODM5ZTkwNDc3NmI1NDljNjA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473F7"/>
    <w:rsid w:val="00151806"/>
    <w:rsid w:val="00155108"/>
    <w:rsid w:val="00156C69"/>
    <w:rsid w:val="00157BAB"/>
    <w:rsid w:val="001654D1"/>
    <w:rsid w:val="00174518"/>
    <w:rsid w:val="0018106D"/>
    <w:rsid w:val="001877A7"/>
    <w:rsid w:val="00191536"/>
    <w:rsid w:val="00196687"/>
    <w:rsid w:val="001A33D4"/>
    <w:rsid w:val="001C0962"/>
    <w:rsid w:val="001D7531"/>
    <w:rsid w:val="001E737D"/>
    <w:rsid w:val="001F0592"/>
    <w:rsid w:val="001F320A"/>
    <w:rsid w:val="001F7506"/>
    <w:rsid w:val="002006CD"/>
    <w:rsid w:val="00202B36"/>
    <w:rsid w:val="00204B7A"/>
    <w:rsid w:val="00204CDE"/>
    <w:rsid w:val="00210C58"/>
    <w:rsid w:val="0021101A"/>
    <w:rsid w:val="00220536"/>
    <w:rsid w:val="00226F13"/>
    <w:rsid w:val="00235629"/>
    <w:rsid w:val="00260C38"/>
    <w:rsid w:val="002616C0"/>
    <w:rsid w:val="00265372"/>
    <w:rsid w:val="002662AA"/>
    <w:rsid w:val="00280496"/>
    <w:rsid w:val="00294DC9"/>
    <w:rsid w:val="00295495"/>
    <w:rsid w:val="002A1342"/>
    <w:rsid w:val="002A1D7B"/>
    <w:rsid w:val="002A31DE"/>
    <w:rsid w:val="002B2613"/>
    <w:rsid w:val="002B2A29"/>
    <w:rsid w:val="002D19B0"/>
    <w:rsid w:val="002D6D05"/>
    <w:rsid w:val="002F1818"/>
    <w:rsid w:val="002F43DE"/>
    <w:rsid w:val="002F567B"/>
    <w:rsid w:val="003216A9"/>
    <w:rsid w:val="0032357F"/>
    <w:rsid w:val="00335A74"/>
    <w:rsid w:val="0036561B"/>
    <w:rsid w:val="00366C02"/>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1CF3"/>
    <w:rsid w:val="00406254"/>
    <w:rsid w:val="00416204"/>
    <w:rsid w:val="00416CD4"/>
    <w:rsid w:val="004223DE"/>
    <w:rsid w:val="004260E3"/>
    <w:rsid w:val="00434489"/>
    <w:rsid w:val="00437085"/>
    <w:rsid w:val="00443880"/>
    <w:rsid w:val="004464F4"/>
    <w:rsid w:val="00471401"/>
    <w:rsid w:val="00473F31"/>
    <w:rsid w:val="0048263A"/>
    <w:rsid w:val="00484162"/>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07FA1"/>
    <w:rsid w:val="006101B1"/>
    <w:rsid w:val="00614E44"/>
    <w:rsid w:val="00617E86"/>
    <w:rsid w:val="0062270A"/>
    <w:rsid w:val="00622830"/>
    <w:rsid w:val="00623DA0"/>
    <w:rsid w:val="00625E33"/>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B4E85"/>
    <w:rsid w:val="006C1937"/>
    <w:rsid w:val="006F020C"/>
    <w:rsid w:val="006F2F08"/>
    <w:rsid w:val="007127B7"/>
    <w:rsid w:val="0071798E"/>
    <w:rsid w:val="00727533"/>
    <w:rsid w:val="007416B6"/>
    <w:rsid w:val="00746F48"/>
    <w:rsid w:val="0075404D"/>
    <w:rsid w:val="0076182A"/>
    <w:rsid w:val="00767B7E"/>
    <w:rsid w:val="007704D0"/>
    <w:rsid w:val="007740C9"/>
    <w:rsid w:val="007770C3"/>
    <w:rsid w:val="00784D24"/>
    <w:rsid w:val="00785FBA"/>
    <w:rsid w:val="00786E4A"/>
    <w:rsid w:val="007875EB"/>
    <w:rsid w:val="00790072"/>
    <w:rsid w:val="0079426B"/>
    <w:rsid w:val="00794852"/>
    <w:rsid w:val="007B06AF"/>
    <w:rsid w:val="007D1682"/>
    <w:rsid w:val="007D312A"/>
    <w:rsid w:val="007D3F19"/>
    <w:rsid w:val="007E23B0"/>
    <w:rsid w:val="007E79B6"/>
    <w:rsid w:val="007F1991"/>
    <w:rsid w:val="007F2C2F"/>
    <w:rsid w:val="007F55FC"/>
    <w:rsid w:val="007F5665"/>
    <w:rsid w:val="007F7396"/>
    <w:rsid w:val="00800112"/>
    <w:rsid w:val="00813348"/>
    <w:rsid w:val="00813366"/>
    <w:rsid w:val="008253BB"/>
    <w:rsid w:val="00833962"/>
    <w:rsid w:val="0083706E"/>
    <w:rsid w:val="008408F6"/>
    <w:rsid w:val="00841ABC"/>
    <w:rsid w:val="008423A5"/>
    <w:rsid w:val="00850625"/>
    <w:rsid w:val="00853718"/>
    <w:rsid w:val="00855221"/>
    <w:rsid w:val="00860645"/>
    <w:rsid w:val="00861DAF"/>
    <w:rsid w:val="00871F71"/>
    <w:rsid w:val="00872FD8"/>
    <w:rsid w:val="008811B8"/>
    <w:rsid w:val="00885AF4"/>
    <w:rsid w:val="008939CD"/>
    <w:rsid w:val="008944B9"/>
    <w:rsid w:val="008B768C"/>
    <w:rsid w:val="008C4DB1"/>
    <w:rsid w:val="008C4EAF"/>
    <w:rsid w:val="008C5176"/>
    <w:rsid w:val="008C7FD0"/>
    <w:rsid w:val="008D7D90"/>
    <w:rsid w:val="008E1DE7"/>
    <w:rsid w:val="008E707C"/>
    <w:rsid w:val="008F63E3"/>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127D"/>
    <w:rsid w:val="0098660A"/>
    <w:rsid w:val="009931C3"/>
    <w:rsid w:val="009B2C43"/>
    <w:rsid w:val="009B4EAE"/>
    <w:rsid w:val="009B7573"/>
    <w:rsid w:val="009C22F4"/>
    <w:rsid w:val="009C2E98"/>
    <w:rsid w:val="009C37FB"/>
    <w:rsid w:val="009D1219"/>
    <w:rsid w:val="009D3226"/>
    <w:rsid w:val="009D3447"/>
    <w:rsid w:val="009D4711"/>
    <w:rsid w:val="009E2C8D"/>
    <w:rsid w:val="009F1185"/>
    <w:rsid w:val="009F18CD"/>
    <w:rsid w:val="009F2A13"/>
    <w:rsid w:val="009F517C"/>
    <w:rsid w:val="009F7527"/>
    <w:rsid w:val="00A039ED"/>
    <w:rsid w:val="00A04EB0"/>
    <w:rsid w:val="00A0679A"/>
    <w:rsid w:val="00A13CC1"/>
    <w:rsid w:val="00A16847"/>
    <w:rsid w:val="00A237D8"/>
    <w:rsid w:val="00A268C4"/>
    <w:rsid w:val="00A307CD"/>
    <w:rsid w:val="00A331C8"/>
    <w:rsid w:val="00A35117"/>
    <w:rsid w:val="00A359D9"/>
    <w:rsid w:val="00A40A00"/>
    <w:rsid w:val="00A4142F"/>
    <w:rsid w:val="00A422EB"/>
    <w:rsid w:val="00A45BB7"/>
    <w:rsid w:val="00A56DF2"/>
    <w:rsid w:val="00A56E6E"/>
    <w:rsid w:val="00A67AB5"/>
    <w:rsid w:val="00A733B2"/>
    <w:rsid w:val="00A741C2"/>
    <w:rsid w:val="00A87F45"/>
    <w:rsid w:val="00A91760"/>
    <w:rsid w:val="00A93B00"/>
    <w:rsid w:val="00A93C21"/>
    <w:rsid w:val="00AA5F0B"/>
    <w:rsid w:val="00AB64C9"/>
    <w:rsid w:val="00AC3C6A"/>
    <w:rsid w:val="00AD0F83"/>
    <w:rsid w:val="00AD5620"/>
    <w:rsid w:val="00AD656B"/>
    <w:rsid w:val="00AD7C1B"/>
    <w:rsid w:val="00AE16BA"/>
    <w:rsid w:val="00AE1EBE"/>
    <w:rsid w:val="00B03C9D"/>
    <w:rsid w:val="00B05649"/>
    <w:rsid w:val="00B060AE"/>
    <w:rsid w:val="00B10517"/>
    <w:rsid w:val="00B14E76"/>
    <w:rsid w:val="00B161B8"/>
    <w:rsid w:val="00B2048C"/>
    <w:rsid w:val="00B25285"/>
    <w:rsid w:val="00B310B9"/>
    <w:rsid w:val="00B35F3F"/>
    <w:rsid w:val="00B36CBB"/>
    <w:rsid w:val="00B36E0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3963"/>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745AE"/>
    <w:rsid w:val="00DA634F"/>
    <w:rsid w:val="00DA65AC"/>
    <w:rsid w:val="00DB0A49"/>
    <w:rsid w:val="00DB1913"/>
    <w:rsid w:val="00DC410D"/>
    <w:rsid w:val="00DC5A81"/>
    <w:rsid w:val="00DC68CA"/>
    <w:rsid w:val="00DC7CBA"/>
    <w:rsid w:val="00DD73B7"/>
    <w:rsid w:val="00DE1F9B"/>
    <w:rsid w:val="00DF28BC"/>
    <w:rsid w:val="00DF34B9"/>
    <w:rsid w:val="00E01053"/>
    <w:rsid w:val="00E07ACF"/>
    <w:rsid w:val="00E202D7"/>
    <w:rsid w:val="00E21F0D"/>
    <w:rsid w:val="00E331A1"/>
    <w:rsid w:val="00E33202"/>
    <w:rsid w:val="00E336A9"/>
    <w:rsid w:val="00E472B1"/>
    <w:rsid w:val="00E50624"/>
    <w:rsid w:val="00E568DF"/>
    <w:rsid w:val="00E60880"/>
    <w:rsid w:val="00E64269"/>
    <w:rsid w:val="00E66797"/>
    <w:rsid w:val="00E82267"/>
    <w:rsid w:val="00E853CE"/>
    <w:rsid w:val="00E867B6"/>
    <w:rsid w:val="00E87F08"/>
    <w:rsid w:val="00EA010F"/>
    <w:rsid w:val="00EA3B1A"/>
    <w:rsid w:val="00EC0578"/>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25756"/>
    <w:rsid w:val="00F36D8F"/>
    <w:rsid w:val="00F417B1"/>
    <w:rsid w:val="00F45853"/>
    <w:rsid w:val="00F602DF"/>
    <w:rsid w:val="00F738F8"/>
    <w:rsid w:val="00F754A1"/>
    <w:rsid w:val="00F81FD9"/>
    <w:rsid w:val="00F841AA"/>
    <w:rsid w:val="00F84A94"/>
    <w:rsid w:val="00F87E96"/>
    <w:rsid w:val="00FA23E8"/>
    <w:rsid w:val="00FA296F"/>
    <w:rsid w:val="00FD1943"/>
    <w:rsid w:val="00FD3CC1"/>
    <w:rsid w:val="00FF1E02"/>
    <w:rsid w:val="00FF30B4"/>
    <w:rsid w:val="014112E8"/>
    <w:rsid w:val="01617879"/>
    <w:rsid w:val="01697421"/>
    <w:rsid w:val="01DC6B71"/>
    <w:rsid w:val="0226730F"/>
    <w:rsid w:val="025E5517"/>
    <w:rsid w:val="02E87D46"/>
    <w:rsid w:val="02F724CE"/>
    <w:rsid w:val="03435002"/>
    <w:rsid w:val="03560340"/>
    <w:rsid w:val="044572EB"/>
    <w:rsid w:val="045F3BE3"/>
    <w:rsid w:val="04724145"/>
    <w:rsid w:val="04EC4AF6"/>
    <w:rsid w:val="050E476F"/>
    <w:rsid w:val="05404642"/>
    <w:rsid w:val="059462CB"/>
    <w:rsid w:val="064B56FF"/>
    <w:rsid w:val="06FA5C0F"/>
    <w:rsid w:val="076D064D"/>
    <w:rsid w:val="079B77E3"/>
    <w:rsid w:val="07B465DE"/>
    <w:rsid w:val="083B75E5"/>
    <w:rsid w:val="08453F63"/>
    <w:rsid w:val="085738B6"/>
    <w:rsid w:val="0950231D"/>
    <w:rsid w:val="09C01733"/>
    <w:rsid w:val="0A05754C"/>
    <w:rsid w:val="0A097515"/>
    <w:rsid w:val="0A36053C"/>
    <w:rsid w:val="0A531AE8"/>
    <w:rsid w:val="0A61123E"/>
    <w:rsid w:val="0A71425E"/>
    <w:rsid w:val="0AF31B77"/>
    <w:rsid w:val="0B294D41"/>
    <w:rsid w:val="0B312656"/>
    <w:rsid w:val="0B3E44D8"/>
    <w:rsid w:val="0B937581"/>
    <w:rsid w:val="0BB871AB"/>
    <w:rsid w:val="0BF334E3"/>
    <w:rsid w:val="0C1F61C1"/>
    <w:rsid w:val="0C8E4943"/>
    <w:rsid w:val="0D02638B"/>
    <w:rsid w:val="0D4D7610"/>
    <w:rsid w:val="0D5A2C87"/>
    <w:rsid w:val="0D6F37ED"/>
    <w:rsid w:val="0DA52E9D"/>
    <w:rsid w:val="0DEC5AA6"/>
    <w:rsid w:val="0E1142E2"/>
    <w:rsid w:val="0E463A2A"/>
    <w:rsid w:val="0E9C4B8F"/>
    <w:rsid w:val="0ED37695"/>
    <w:rsid w:val="0F0B2FD1"/>
    <w:rsid w:val="0F2C10E4"/>
    <w:rsid w:val="0FEE2A67"/>
    <w:rsid w:val="103114C0"/>
    <w:rsid w:val="104D0767"/>
    <w:rsid w:val="10611F14"/>
    <w:rsid w:val="10876523"/>
    <w:rsid w:val="10C055FF"/>
    <w:rsid w:val="11112C0A"/>
    <w:rsid w:val="11EA1503"/>
    <w:rsid w:val="12024BC3"/>
    <w:rsid w:val="122059FB"/>
    <w:rsid w:val="124E7713"/>
    <w:rsid w:val="126B50D9"/>
    <w:rsid w:val="12D23ECC"/>
    <w:rsid w:val="12D85CEA"/>
    <w:rsid w:val="12EB5050"/>
    <w:rsid w:val="133920C2"/>
    <w:rsid w:val="1360679B"/>
    <w:rsid w:val="138F266C"/>
    <w:rsid w:val="14086C75"/>
    <w:rsid w:val="14AF35E3"/>
    <w:rsid w:val="15052E89"/>
    <w:rsid w:val="156922D4"/>
    <w:rsid w:val="15751A48"/>
    <w:rsid w:val="157F1C29"/>
    <w:rsid w:val="15E56355"/>
    <w:rsid w:val="15F7480C"/>
    <w:rsid w:val="16530BAB"/>
    <w:rsid w:val="16953C5D"/>
    <w:rsid w:val="16BB723D"/>
    <w:rsid w:val="16F34202"/>
    <w:rsid w:val="171C3FAD"/>
    <w:rsid w:val="176571A4"/>
    <w:rsid w:val="17855034"/>
    <w:rsid w:val="17A04EDA"/>
    <w:rsid w:val="17F43024"/>
    <w:rsid w:val="181D3017"/>
    <w:rsid w:val="18261F85"/>
    <w:rsid w:val="185A6602"/>
    <w:rsid w:val="18981489"/>
    <w:rsid w:val="19536054"/>
    <w:rsid w:val="19987BFC"/>
    <w:rsid w:val="19B1094A"/>
    <w:rsid w:val="19DF01A1"/>
    <w:rsid w:val="1A3C65C1"/>
    <w:rsid w:val="1A881FBC"/>
    <w:rsid w:val="1AC97CAA"/>
    <w:rsid w:val="1B3325B6"/>
    <w:rsid w:val="1B676A91"/>
    <w:rsid w:val="1BC226CB"/>
    <w:rsid w:val="1BDC0372"/>
    <w:rsid w:val="1BE22C40"/>
    <w:rsid w:val="1C2C3AAC"/>
    <w:rsid w:val="1CD47B15"/>
    <w:rsid w:val="1CF4448C"/>
    <w:rsid w:val="1D2045DE"/>
    <w:rsid w:val="1D303B37"/>
    <w:rsid w:val="1D7C033E"/>
    <w:rsid w:val="1DA07CC0"/>
    <w:rsid w:val="1DBA2CF1"/>
    <w:rsid w:val="1DCB06F0"/>
    <w:rsid w:val="1EF219EC"/>
    <w:rsid w:val="1F18659D"/>
    <w:rsid w:val="1F863938"/>
    <w:rsid w:val="1F947FB4"/>
    <w:rsid w:val="1F985472"/>
    <w:rsid w:val="203064EC"/>
    <w:rsid w:val="20F0312B"/>
    <w:rsid w:val="20FD4B31"/>
    <w:rsid w:val="219924E2"/>
    <w:rsid w:val="21BE18AC"/>
    <w:rsid w:val="223E3F05"/>
    <w:rsid w:val="22CA10E5"/>
    <w:rsid w:val="23064A00"/>
    <w:rsid w:val="23430748"/>
    <w:rsid w:val="23533917"/>
    <w:rsid w:val="23B37FC2"/>
    <w:rsid w:val="23EB6DA1"/>
    <w:rsid w:val="23F60518"/>
    <w:rsid w:val="240371BF"/>
    <w:rsid w:val="24C675B9"/>
    <w:rsid w:val="259D74B6"/>
    <w:rsid w:val="26020BD2"/>
    <w:rsid w:val="267430A3"/>
    <w:rsid w:val="273113A1"/>
    <w:rsid w:val="27A8271E"/>
    <w:rsid w:val="27BD234D"/>
    <w:rsid w:val="27C47834"/>
    <w:rsid w:val="281228D7"/>
    <w:rsid w:val="28C6090A"/>
    <w:rsid w:val="28CF5943"/>
    <w:rsid w:val="28FF6C9D"/>
    <w:rsid w:val="292F5F8E"/>
    <w:rsid w:val="29334CAB"/>
    <w:rsid w:val="296F674A"/>
    <w:rsid w:val="29B60F92"/>
    <w:rsid w:val="29C502ED"/>
    <w:rsid w:val="29FD04D3"/>
    <w:rsid w:val="2A0A194E"/>
    <w:rsid w:val="2A475ACF"/>
    <w:rsid w:val="2AFB1731"/>
    <w:rsid w:val="2B4B3414"/>
    <w:rsid w:val="2BD9218B"/>
    <w:rsid w:val="2BE81256"/>
    <w:rsid w:val="2C055DFE"/>
    <w:rsid w:val="2CFB01C8"/>
    <w:rsid w:val="2D82551F"/>
    <w:rsid w:val="2DA25A02"/>
    <w:rsid w:val="2DBC007C"/>
    <w:rsid w:val="2E2A15F2"/>
    <w:rsid w:val="2E392D23"/>
    <w:rsid w:val="2E5567E8"/>
    <w:rsid w:val="2E6F5405"/>
    <w:rsid w:val="2E732630"/>
    <w:rsid w:val="2E9B35A5"/>
    <w:rsid w:val="2EAF0DA3"/>
    <w:rsid w:val="2EBF5CD2"/>
    <w:rsid w:val="2ED56599"/>
    <w:rsid w:val="2F6A4A9A"/>
    <w:rsid w:val="31254632"/>
    <w:rsid w:val="312A26C6"/>
    <w:rsid w:val="31571E91"/>
    <w:rsid w:val="316919F7"/>
    <w:rsid w:val="31794182"/>
    <w:rsid w:val="31874287"/>
    <w:rsid w:val="319F7F4E"/>
    <w:rsid w:val="31B91CFD"/>
    <w:rsid w:val="324252D5"/>
    <w:rsid w:val="32F75F9E"/>
    <w:rsid w:val="33C824AC"/>
    <w:rsid w:val="33ED73D1"/>
    <w:rsid w:val="340B74B4"/>
    <w:rsid w:val="35557652"/>
    <w:rsid w:val="357F28FB"/>
    <w:rsid w:val="35864C54"/>
    <w:rsid w:val="35B6291E"/>
    <w:rsid w:val="363E223A"/>
    <w:rsid w:val="36B57D2A"/>
    <w:rsid w:val="36CC11AC"/>
    <w:rsid w:val="36D03B1A"/>
    <w:rsid w:val="3748024C"/>
    <w:rsid w:val="37823CF3"/>
    <w:rsid w:val="378A1739"/>
    <w:rsid w:val="37AF2B41"/>
    <w:rsid w:val="37F94764"/>
    <w:rsid w:val="3840235E"/>
    <w:rsid w:val="3843106D"/>
    <w:rsid w:val="384F0210"/>
    <w:rsid w:val="38591104"/>
    <w:rsid w:val="3871297C"/>
    <w:rsid w:val="388254AC"/>
    <w:rsid w:val="388D4E2F"/>
    <w:rsid w:val="38B81CC0"/>
    <w:rsid w:val="392624CD"/>
    <w:rsid w:val="39415462"/>
    <w:rsid w:val="395931B9"/>
    <w:rsid w:val="39AA68DE"/>
    <w:rsid w:val="39BE10DC"/>
    <w:rsid w:val="39C86969"/>
    <w:rsid w:val="3A6A4737"/>
    <w:rsid w:val="3A895F72"/>
    <w:rsid w:val="3B133609"/>
    <w:rsid w:val="3B365941"/>
    <w:rsid w:val="3B4449EE"/>
    <w:rsid w:val="3B666304"/>
    <w:rsid w:val="3BA04413"/>
    <w:rsid w:val="3BB14F7A"/>
    <w:rsid w:val="3BE7769B"/>
    <w:rsid w:val="3BF00656"/>
    <w:rsid w:val="3CA27A59"/>
    <w:rsid w:val="3D2C7FDA"/>
    <w:rsid w:val="3DAC0AB4"/>
    <w:rsid w:val="3E7A239F"/>
    <w:rsid w:val="3EA07A68"/>
    <w:rsid w:val="3F08103B"/>
    <w:rsid w:val="3F2C1DFE"/>
    <w:rsid w:val="408F6F19"/>
    <w:rsid w:val="40E53EE9"/>
    <w:rsid w:val="41041FDB"/>
    <w:rsid w:val="41A94443"/>
    <w:rsid w:val="42C7196F"/>
    <w:rsid w:val="42CD0ECB"/>
    <w:rsid w:val="42D775A2"/>
    <w:rsid w:val="42FA5840"/>
    <w:rsid w:val="430445D1"/>
    <w:rsid w:val="4354385A"/>
    <w:rsid w:val="44C40839"/>
    <w:rsid w:val="4509748D"/>
    <w:rsid w:val="45140A0C"/>
    <w:rsid w:val="45306297"/>
    <w:rsid w:val="45392C19"/>
    <w:rsid w:val="45880104"/>
    <w:rsid w:val="472E523B"/>
    <w:rsid w:val="477D1F78"/>
    <w:rsid w:val="4781417E"/>
    <w:rsid w:val="480E7C93"/>
    <w:rsid w:val="48281D5B"/>
    <w:rsid w:val="48611F84"/>
    <w:rsid w:val="489414AB"/>
    <w:rsid w:val="48A87651"/>
    <w:rsid w:val="48C02D5B"/>
    <w:rsid w:val="494246CD"/>
    <w:rsid w:val="49A84E20"/>
    <w:rsid w:val="4A1B668D"/>
    <w:rsid w:val="4A3C0D6F"/>
    <w:rsid w:val="4A75267F"/>
    <w:rsid w:val="4A916CD6"/>
    <w:rsid w:val="4AAB0F56"/>
    <w:rsid w:val="4ADB2DDC"/>
    <w:rsid w:val="4AEE50DE"/>
    <w:rsid w:val="4BB51CF7"/>
    <w:rsid w:val="4BE94C4D"/>
    <w:rsid w:val="4C087B35"/>
    <w:rsid w:val="4C277DFE"/>
    <w:rsid w:val="4C491A37"/>
    <w:rsid w:val="4C8844BB"/>
    <w:rsid w:val="4CA51041"/>
    <w:rsid w:val="4CDF3C0B"/>
    <w:rsid w:val="4CEC7082"/>
    <w:rsid w:val="4D1147F1"/>
    <w:rsid w:val="4D29402F"/>
    <w:rsid w:val="4D44754A"/>
    <w:rsid w:val="4D721030"/>
    <w:rsid w:val="4DAD1B21"/>
    <w:rsid w:val="4E54082B"/>
    <w:rsid w:val="4E5B2B6C"/>
    <w:rsid w:val="4E6B11A9"/>
    <w:rsid w:val="4EC6633D"/>
    <w:rsid w:val="4ECE2238"/>
    <w:rsid w:val="4FC94135"/>
    <w:rsid w:val="5055246C"/>
    <w:rsid w:val="50580BBF"/>
    <w:rsid w:val="50694D57"/>
    <w:rsid w:val="506C3CB5"/>
    <w:rsid w:val="50937769"/>
    <w:rsid w:val="50A256DD"/>
    <w:rsid w:val="50FA002D"/>
    <w:rsid w:val="50FC2388"/>
    <w:rsid w:val="514F6A2F"/>
    <w:rsid w:val="5192647C"/>
    <w:rsid w:val="51976518"/>
    <w:rsid w:val="51A01C50"/>
    <w:rsid w:val="52B35209"/>
    <w:rsid w:val="534C7ACF"/>
    <w:rsid w:val="535D1781"/>
    <w:rsid w:val="53E82E9A"/>
    <w:rsid w:val="541442D6"/>
    <w:rsid w:val="545A070B"/>
    <w:rsid w:val="54640B0D"/>
    <w:rsid w:val="54CC3AA0"/>
    <w:rsid w:val="54F732D6"/>
    <w:rsid w:val="55FC4CAC"/>
    <w:rsid w:val="56002C87"/>
    <w:rsid w:val="56BD2288"/>
    <w:rsid w:val="5702584F"/>
    <w:rsid w:val="5703395A"/>
    <w:rsid w:val="573154BF"/>
    <w:rsid w:val="57B307DF"/>
    <w:rsid w:val="57B5329E"/>
    <w:rsid w:val="57E00829"/>
    <w:rsid w:val="57F638EE"/>
    <w:rsid w:val="57F97AC8"/>
    <w:rsid w:val="583F2F21"/>
    <w:rsid w:val="58553501"/>
    <w:rsid w:val="58C154B6"/>
    <w:rsid w:val="59293F87"/>
    <w:rsid w:val="598A1754"/>
    <w:rsid w:val="59B11F88"/>
    <w:rsid w:val="59B53A2F"/>
    <w:rsid w:val="5A21714A"/>
    <w:rsid w:val="5A427549"/>
    <w:rsid w:val="5A4A0B5E"/>
    <w:rsid w:val="5AFA056B"/>
    <w:rsid w:val="5B677E08"/>
    <w:rsid w:val="5B68166F"/>
    <w:rsid w:val="5BB86418"/>
    <w:rsid w:val="5BE254C8"/>
    <w:rsid w:val="5C2E2250"/>
    <w:rsid w:val="5C653813"/>
    <w:rsid w:val="5CB511B1"/>
    <w:rsid w:val="5D465859"/>
    <w:rsid w:val="5E040E8E"/>
    <w:rsid w:val="5E411C7C"/>
    <w:rsid w:val="5E5C3780"/>
    <w:rsid w:val="5E6E1168"/>
    <w:rsid w:val="5F6E3227"/>
    <w:rsid w:val="5FEC1272"/>
    <w:rsid w:val="600862CB"/>
    <w:rsid w:val="60587ED0"/>
    <w:rsid w:val="60781BA9"/>
    <w:rsid w:val="61332136"/>
    <w:rsid w:val="618D2E7D"/>
    <w:rsid w:val="618F5009"/>
    <w:rsid w:val="61DE2982"/>
    <w:rsid w:val="62734ADF"/>
    <w:rsid w:val="63112FDE"/>
    <w:rsid w:val="63303E2A"/>
    <w:rsid w:val="644C5196"/>
    <w:rsid w:val="64755E6F"/>
    <w:rsid w:val="651B5911"/>
    <w:rsid w:val="65337744"/>
    <w:rsid w:val="654D45F8"/>
    <w:rsid w:val="658818B3"/>
    <w:rsid w:val="65AF6249"/>
    <w:rsid w:val="65E85193"/>
    <w:rsid w:val="660B77D0"/>
    <w:rsid w:val="667628F3"/>
    <w:rsid w:val="669300A8"/>
    <w:rsid w:val="66A07432"/>
    <w:rsid w:val="67307403"/>
    <w:rsid w:val="6751281B"/>
    <w:rsid w:val="67806FEE"/>
    <w:rsid w:val="67CF6146"/>
    <w:rsid w:val="67D933E9"/>
    <w:rsid w:val="68010A0C"/>
    <w:rsid w:val="680C577B"/>
    <w:rsid w:val="68196433"/>
    <w:rsid w:val="68253406"/>
    <w:rsid w:val="683309C9"/>
    <w:rsid w:val="6851590E"/>
    <w:rsid w:val="688A5D00"/>
    <w:rsid w:val="68BC0623"/>
    <w:rsid w:val="68FE0283"/>
    <w:rsid w:val="6974761A"/>
    <w:rsid w:val="697C54CD"/>
    <w:rsid w:val="69A21D0F"/>
    <w:rsid w:val="69F248F5"/>
    <w:rsid w:val="6A447039"/>
    <w:rsid w:val="6AC20FA8"/>
    <w:rsid w:val="6B3B3678"/>
    <w:rsid w:val="6B4A39B7"/>
    <w:rsid w:val="6B8502CA"/>
    <w:rsid w:val="6BE64B76"/>
    <w:rsid w:val="6C6C61BA"/>
    <w:rsid w:val="6D177FCA"/>
    <w:rsid w:val="6DF54D37"/>
    <w:rsid w:val="6DF63528"/>
    <w:rsid w:val="6E013268"/>
    <w:rsid w:val="6E422452"/>
    <w:rsid w:val="6E80735C"/>
    <w:rsid w:val="6E9543B1"/>
    <w:rsid w:val="6E9F2C18"/>
    <w:rsid w:val="6F157EC5"/>
    <w:rsid w:val="6F2C6030"/>
    <w:rsid w:val="6F9E620F"/>
    <w:rsid w:val="6FC42FB3"/>
    <w:rsid w:val="6FE675CB"/>
    <w:rsid w:val="702B2557"/>
    <w:rsid w:val="702B3A60"/>
    <w:rsid w:val="70EB70D3"/>
    <w:rsid w:val="710C62E8"/>
    <w:rsid w:val="71415E53"/>
    <w:rsid w:val="72734D90"/>
    <w:rsid w:val="7448105E"/>
    <w:rsid w:val="74BD520C"/>
    <w:rsid w:val="75AE5137"/>
    <w:rsid w:val="760159D2"/>
    <w:rsid w:val="763B1356"/>
    <w:rsid w:val="764B3C7B"/>
    <w:rsid w:val="76C02483"/>
    <w:rsid w:val="76C26D41"/>
    <w:rsid w:val="76CA5260"/>
    <w:rsid w:val="77B35A43"/>
    <w:rsid w:val="77DC72E7"/>
    <w:rsid w:val="77F8607E"/>
    <w:rsid w:val="786542F4"/>
    <w:rsid w:val="789013E3"/>
    <w:rsid w:val="79017FE8"/>
    <w:rsid w:val="79211ED0"/>
    <w:rsid w:val="79F177E7"/>
    <w:rsid w:val="7A5726BD"/>
    <w:rsid w:val="7ABD263C"/>
    <w:rsid w:val="7B1B4941"/>
    <w:rsid w:val="7B3F6659"/>
    <w:rsid w:val="7B4B61DA"/>
    <w:rsid w:val="7BA306F7"/>
    <w:rsid w:val="7BA80A6F"/>
    <w:rsid w:val="7BE84BB8"/>
    <w:rsid w:val="7C102C30"/>
    <w:rsid w:val="7C324FED"/>
    <w:rsid w:val="7CA22FFA"/>
    <w:rsid w:val="7CF4732A"/>
    <w:rsid w:val="7D535D98"/>
    <w:rsid w:val="7E8A202B"/>
    <w:rsid w:val="7E9A7EDA"/>
    <w:rsid w:val="7F5D40B4"/>
    <w:rsid w:val="7F5E1951"/>
    <w:rsid w:val="7F661619"/>
    <w:rsid w:val="7F877DEE"/>
    <w:rsid w:val="7FB4040F"/>
    <w:rsid w:val="7FDC7A09"/>
    <w:rsid w:val="7FEB107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qFormat="1" w:unhideWhenUsed="0" w:uiPriority="99" w:semiHidden="0" w:name="Plain Text" w:locked="1"/>
    <w:lsdException w:uiPriority="99" w:name="E-mail Signature" w:locked="1"/>
    <w:lsdException w:qFormat="1" w:unhideWhenUsed="0"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18"/>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19"/>
    <w:qFormat/>
    <w:uiPriority w:val="99"/>
    <w:pPr>
      <w:keepNext/>
      <w:keepLines/>
      <w:spacing w:before="260" w:after="260" w:line="416" w:lineRule="auto"/>
      <w:outlineLvl w:val="1"/>
    </w:pPr>
    <w:rPr>
      <w:rFonts w:ascii="Cambria" w:hAnsi="Cambria" w:cs="Cambria"/>
      <w:b/>
      <w:bCs/>
      <w:sz w:val="32"/>
      <w:szCs w:val="32"/>
    </w:rPr>
  </w:style>
  <w:style w:type="paragraph" w:styleId="5">
    <w:name w:val="heading 3"/>
    <w:basedOn w:val="1"/>
    <w:next w:val="1"/>
    <w:link w:val="20"/>
    <w:qFormat/>
    <w:uiPriority w:val="9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7"/>
    <w:qFormat/>
    <w:uiPriority w:val="99"/>
    <w:pPr>
      <w:spacing w:beforeLines="30"/>
    </w:pPr>
    <w:rPr>
      <w:rFonts w:ascii="仿宋_GB2312" w:eastAsia="仿宋_GB2312" w:cs="仿宋_GB2312"/>
      <w:kern w:val="0"/>
      <w:sz w:val="24"/>
      <w:szCs w:val="24"/>
    </w:rPr>
  </w:style>
  <w:style w:type="paragraph" w:styleId="6">
    <w:name w:val="toc 3"/>
    <w:basedOn w:val="1"/>
    <w:next w:val="1"/>
    <w:semiHidden/>
    <w:qFormat/>
    <w:uiPriority w:val="99"/>
    <w:pPr>
      <w:tabs>
        <w:tab w:val="right" w:leader="dot" w:pos="8296"/>
      </w:tabs>
      <w:ind w:left="840" w:leftChars="400"/>
    </w:pPr>
  </w:style>
  <w:style w:type="paragraph" w:styleId="7">
    <w:name w:val="Plain Text"/>
    <w:basedOn w:val="1"/>
    <w:link w:val="33"/>
    <w:qFormat/>
    <w:locked/>
    <w:uiPriority w:val="99"/>
    <w:rPr>
      <w:rFonts w:ascii="宋体" w:hAnsi="Courier New" w:eastAsia="仿宋_GB2312" w:cs="Courier New"/>
      <w:b/>
      <w:sz w:val="32"/>
    </w:rPr>
  </w:style>
  <w:style w:type="paragraph" w:styleId="8">
    <w:name w:val="Balloon Text"/>
    <w:basedOn w:val="1"/>
    <w:link w:val="22"/>
    <w:semiHidden/>
    <w:qFormat/>
    <w:uiPriority w:val="99"/>
    <w:rPr>
      <w:sz w:val="18"/>
      <w:szCs w:val="18"/>
    </w:rPr>
  </w:style>
  <w:style w:type="paragraph" w:styleId="9">
    <w:name w:val="footer"/>
    <w:basedOn w:val="1"/>
    <w:link w:val="26"/>
    <w:qFormat/>
    <w:uiPriority w:val="99"/>
    <w:pPr>
      <w:tabs>
        <w:tab w:val="center" w:pos="4153"/>
        <w:tab w:val="right" w:pos="8306"/>
      </w:tabs>
      <w:snapToGrid w:val="0"/>
      <w:jc w:val="left"/>
    </w:pPr>
    <w:rPr>
      <w:rFonts w:ascii="Calibri" w:hAnsi="Calibri" w:cs="Calibri"/>
      <w:kern w:val="0"/>
      <w:sz w:val="18"/>
      <w:szCs w:val="18"/>
    </w:rPr>
  </w:style>
  <w:style w:type="paragraph" w:styleId="10">
    <w:name w:val="header"/>
    <w:basedOn w:val="1"/>
    <w:link w:val="25"/>
    <w:semiHidden/>
    <w:qFormat/>
    <w:uiPriority w:val="99"/>
    <w:pPr>
      <w:pBdr>
        <w:bottom w:val="single" w:color="auto" w:sz="6" w:space="1"/>
      </w:pBdr>
      <w:tabs>
        <w:tab w:val="center" w:pos="4153"/>
        <w:tab w:val="right" w:pos="8306"/>
      </w:tabs>
      <w:snapToGrid w:val="0"/>
      <w:jc w:val="center"/>
    </w:pPr>
    <w:rPr>
      <w:rFonts w:ascii="Calibri" w:hAnsi="Calibri" w:cs="Calibri"/>
      <w:kern w:val="0"/>
      <w:sz w:val="18"/>
      <w:szCs w:val="18"/>
    </w:rPr>
  </w:style>
  <w:style w:type="paragraph" w:styleId="11">
    <w:name w:val="toc 1"/>
    <w:basedOn w:val="1"/>
    <w:next w:val="1"/>
    <w:semiHidden/>
    <w:qFormat/>
    <w:uiPriority w:val="99"/>
    <w:pPr>
      <w:tabs>
        <w:tab w:val="right" w:leader="dot" w:pos="8296"/>
      </w:tabs>
      <w:spacing w:before="93"/>
      <w:jc w:val="center"/>
    </w:pPr>
    <w:rPr>
      <w:rFonts w:ascii="仿宋" w:hAnsi="仿宋" w:eastAsia="仿宋" w:cs="仿宋"/>
      <w:sz w:val="28"/>
      <w:szCs w:val="28"/>
    </w:rPr>
  </w:style>
  <w:style w:type="paragraph" w:styleId="12">
    <w:name w:val="toc 2"/>
    <w:basedOn w:val="1"/>
    <w:next w:val="1"/>
    <w:semiHidden/>
    <w:qFormat/>
    <w:uiPriority w:val="99"/>
    <w:pPr>
      <w:tabs>
        <w:tab w:val="right" w:leader="dot" w:pos="8296"/>
      </w:tabs>
      <w:ind w:left="420" w:leftChars="200"/>
    </w:pPr>
  </w:style>
  <w:style w:type="paragraph" w:styleId="13">
    <w:name w:val="Normal (Web)"/>
    <w:basedOn w:val="1"/>
    <w:qFormat/>
    <w:locked/>
    <w:uiPriority w:val="0"/>
    <w:pPr>
      <w:spacing w:before="100" w:beforeAutospacing="1" w:after="100" w:afterAutospacing="1"/>
      <w:jc w:val="left"/>
    </w:pPr>
    <w:rPr>
      <w:kern w:val="0"/>
      <w:sz w:val="24"/>
    </w:rPr>
  </w:style>
  <w:style w:type="character" w:styleId="16">
    <w:name w:val="Strong"/>
    <w:basedOn w:val="15"/>
    <w:qFormat/>
    <w:uiPriority w:val="99"/>
    <w:rPr>
      <w:b/>
      <w:bCs/>
    </w:rPr>
  </w:style>
  <w:style w:type="character" w:styleId="17">
    <w:name w:val="Hyperlink"/>
    <w:basedOn w:val="15"/>
    <w:qFormat/>
    <w:uiPriority w:val="99"/>
    <w:rPr>
      <w:color w:val="0000FF"/>
      <w:u w:val="single"/>
    </w:rPr>
  </w:style>
  <w:style w:type="character" w:customStyle="1" w:styleId="18">
    <w:name w:val="标题 1 Char"/>
    <w:basedOn w:val="15"/>
    <w:link w:val="3"/>
    <w:qFormat/>
    <w:locked/>
    <w:uiPriority w:val="99"/>
    <w:rPr>
      <w:rFonts w:ascii="Times New Roman" w:hAnsi="Times New Roman" w:cs="Times New Roman"/>
      <w:b/>
      <w:bCs/>
      <w:kern w:val="44"/>
      <w:sz w:val="44"/>
      <w:szCs w:val="44"/>
    </w:rPr>
  </w:style>
  <w:style w:type="character" w:customStyle="1" w:styleId="19">
    <w:name w:val="标题 2 Char"/>
    <w:basedOn w:val="15"/>
    <w:link w:val="4"/>
    <w:qFormat/>
    <w:locked/>
    <w:uiPriority w:val="99"/>
    <w:rPr>
      <w:rFonts w:ascii="Cambria" w:hAnsi="Cambria" w:eastAsia="宋体" w:cs="Cambria"/>
      <w:b/>
      <w:bCs/>
      <w:kern w:val="2"/>
      <w:sz w:val="32"/>
      <w:szCs w:val="32"/>
    </w:rPr>
  </w:style>
  <w:style w:type="character" w:customStyle="1" w:styleId="20">
    <w:name w:val="标题 3 Char"/>
    <w:basedOn w:val="15"/>
    <w:link w:val="5"/>
    <w:qFormat/>
    <w:locked/>
    <w:uiPriority w:val="99"/>
    <w:rPr>
      <w:rFonts w:ascii="Times New Roman" w:hAnsi="Times New Roman" w:cs="Times New Roman"/>
      <w:b/>
      <w:bCs/>
      <w:kern w:val="2"/>
      <w:sz w:val="32"/>
      <w:szCs w:val="32"/>
    </w:rPr>
  </w:style>
  <w:style w:type="character" w:customStyle="1" w:styleId="21">
    <w:name w:val="Body Text Char"/>
    <w:basedOn w:val="15"/>
    <w:link w:val="2"/>
    <w:semiHidden/>
    <w:qFormat/>
    <w:locked/>
    <w:uiPriority w:val="99"/>
    <w:rPr>
      <w:rFonts w:ascii="Times New Roman" w:hAnsi="Times New Roman" w:cs="Times New Roman"/>
      <w:sz w:val="24"/>
      <w:szCs w:val="24"/>
    </w:rPr>
  </w:style>
  <w:style w:type="character" w:customStyle="1" w:styleId="22">
    <w:name w:val="批注框文本 Char"/>
    <w:basedOn w:val="15"/>
    <w:link w:val="8"/>
    <w:semiHidden/>
    <w:qFormat/>
    <w:locked/>
    <w:uiPriority w:val="99"/>
    <w:rPr>
      <w:rFonts w:ascii="Times New Roman" w:hAnsi="Times New Roman" w:cs="Times New Roman"/>
      <w:kern w:val="2"/>
      <w:sz w:val="18"/>
      <w:szCs w:val="18"/>
    </w:rPr>
  </w:style>
  <w:style w:type="character" w:customStyle="1" w:styleId="23">
    <w:name w:val="Footer Char"/>
    <w:basedOn w:val="15"/>
    <w:link w:val="9"/>
    <w:semiHidden/>
    <w:qFormat/>
    <w:locked/>
    <w:uiPriority w:val="99"/>
    <w:rPr>
      <w:rFonts w:ascii="Times New Roman" w:hAnsi="Times New Roman" w:cs="Times New Roman"/>
      <w:sz w:val="18"/>
      <w:szCs w:val="18"/>
    </w:rPr>
  </w:style>
  <w:style w:type="character" w:customStyle="1" w:styleId="24">
    <w:name w:val="Header Char"/>
    <w:basedOn w:val="15"/>
    <w:link w:val="10"/>
    <w:semiHidden/>
    <w:qFormat/>
    <w:locked/>
    <w:uiPriority w:val="99"/>
    <w:rPr>
      <w:rFonts w:ascii="Times New Roman" w:hAnsi="Times New Roman" w:cs="Times New Roman"/>
      <w:sz w:val="18"/>
      <w:szCs w:val="18"/>
    </w:rPr>
  </w:style>
  <w:style w:type="character" w:customStyle="1" w:styleId="25">
    <w:name w:val="页眉 Char"/>
    <w:link w:val="10"/>
    <w:semiHidden/>
    <w:qFormat/>
    <w:locked/>
    <w:uiPriority w:val="99"/>
    <w:rPr>
      <w:sz w:val="18"/>
      <w:szCs w:val="18"/>
    </w:rPr>
  </w:style>
  <w:style w:type="character" w:customStyle="1" w:styleId="26">
    <w:name w:val="页脚 Char"/>
    <w:link w:val="9"/>
    <w:qFormat/>
    <w:locked/>
    <w:uiPriority w:val="99"/>
    <w:rPr>
      <w:sz w:val="18"/>
      <w:szCs w:val="18"/>
    </w:rPr>
  </w:style>
  <w:style w:type="character" w:customStyle="1" w:styleId="27">
    <w:name w:val="正文文本 Char"/>
    <w:link w:val="2"/>
    <w:qFormat/>
    <w:locked/>
    <w:uiPriority w:val="99"/>
    <w:rPr>
      <w:rFonts w:ascii="仿宋_GB2312" w:hAnsi="Times New Roman" w:eastAsia="仿宋_GB2312" w:cs="仿宋_GB2312"/>
      <w:sz w:val="24"/>
      <w:szCs w:val="24"/>
    </w:rPr>
  </w:style>
  <w:style w:type="paragraph" w:customStyle="1" w:styleId="2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9">
    <w:name w:val="List Paragraph"/>
    <w:basedOn w:val="1"/>
    <w:qFormat/>
    <w:uiPriority w:val="99"/>
    <w:pPr>
      <w:ind w:firstLine="420" w:firstLineChars="200"/>
    </w:pPr>
  </w:style>
  <w:style w:type="paragraph" w:customStyle="1" w:styleId="30">
    <w:name w:val="TOC 标题1"/>
    <w:basedOn w:val="3"/>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31">
    <w:name w:val="TOC 标题2"/>
    <w:basedOn w:val="3"/>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32">
    <w:name w:val="Table Paragraph"/>
    <w:basedOn w:val="1"/>
    <w:qFormat/>
    <w:uiPriority w:val="1"/>
    <w:rPr>
      <w:rFonts w:ascii="宋体" w:hAnsi="宋体" w:cs="宋体"/>
    </w:rPr>
  </w:style>
  <w:style w:type="character" w:customStyle="1" w:styleId="33">
    <w:name w:val="纯文本 Char"/>
    <w:link w:val="7"/>
    <w:uiPriority w:val="99"/>
    <w:rPr>
      <w:rFonts w:ascii="宋体" w:hAnsi="Courier New" w:eastAsia="仿宋_GB2312" w:cs="Courier New"/>
      <w:b/>
      <w:kern w:val="2"/>
      <w:sz w:val="32"/>
      <w:szCs w:val="21"/>
    </w:rPr>
  </w:style>
  <w:style w:type="character" w:customStyle="1" w:styleId="34">
    <w:name w:val="NormalCharacter"/>
    <w:semiHidden/>
    <w:qFormat/>
    <w:uiPriority w:val="0"/>
    <w:rPr>
      <w:rFonts w:asciiTheme="minorHAnsi" w:hAnsiTheme="minorHAnsi" w:eastAsiaTheme="minorEastAsia" w:cstheme="minorBidi"/>
      <w:kern w:val="2"/>
      <w:sz w:val="21"/>
      <w:szCs w:val="24"/>
      <w:lang w:val="en-US" w:eastAsia="zh-CN" w:bidi="ar-SA"/>
    </w:rPr>
  </w:style>
  <w:style w:type="paragraph" w:customStyle="1" w:styleId="35">
    <w:name w:val="NormalIndent"/>
    <w:basedOn w:val="1"/>
    <w:qFormat/>
    <w:uiPriority w:val="0"/>
    <w:pPr>
      <w:ind w:firstLine="420" w:firstLineChars="200"/>
      <w:textAlignment w:val="baseline"/>
    </w:pPr>
    <w:rPr>
      <w:rFonts w:asciiTheme="minorHAnsi" w:hAnsiTheme="minorHAnsi" w:eastAsiaTheme="minorEastAsia" w:cstheme="minorBidi"/>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9"/>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38</Pages>
  <Words>17338</Words>
  <Characters>18541</Characters>
  <Lines>18</Lines>
  <Paragraphs>39</Paragraphs>
  <TotalTime>2866</TotalTime>
  <ScaleCrop>false</ScaleCrop>
  <LinksUpToDate>false</LinksUpToDate>
  <CharactersWithSpaces>18764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Administrator</cp:lastModifiedBy>
  <cp:lastPrinted>2020-07-23T02:58:00Z</cp:lastPrinted>
  <dcterms:modified xsi:type="dcterms:W3CDTF">2023-12-14T07:11:34Z</dcterms:modified>
  <dc:title>四川省***</dc:title>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6D0E0BE2E79B42CDBE631CC443FD6CF4</vt:lpwstr>
  </property>
</Properties>
</file>