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8441"/>
      <w:bookmarkStart w:id="2" w:name="_Toc15377193"/>
      <w:bookmarkStart w:id="3" w:name="_Toc1537742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598"/>
      <w:bookmarkStart w:id="7" w:name="_Toc15378442"/>
      <w:bookmarkStart w:id="8" w:name="_Toc15396476"/>
      <w:bookmarkStart w:id="9" w:name="_Toc15377194"/>
      <w:bookmarkStart w:id="10" w:name="_Toc1537742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val="en-US" w:eastAsia="zh-CN"/>
        </w:rPr>
        <w:t>元山</w:t>
      </w:r>
      <w:r>
        <w:rPr>
          <w:rFonts w:hint="eastAsia" w:ascii="方正小标宋简体" w:hAnsi="方正小标宋简体" w:eastAsia="方正小标宋简体" w:cs="方正小标宋简体"/>
          <w:sz w:val="72"/>
          <w:szCs w:val="72"/>
          <w:lang w:eastAsia="zh-CN"/>
        </w:rPr>
        <w:t>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
      <w:pPr>
        <w:pStyle w:val="38"/>
        <w:tabs>
          <w:tab w:val="right" w:leader="dot" w:pos="8306"/>
        </w:tabs>
        <w:rPr>
          <w:rFonts w:hint="eastAsia" w:ascii="仿宋" w:hAnsi="仿宋" w:eastAsia="仿宋" w:cs="仿宋"/>
          <w:b/>
          <w:sz w:val="24"/>
          <w:szCs w:val="24"/>
        </w:rPr>
      </w:pPr>
      <w:bookmarkStart w:id="12" w:name="_Toc15377196"/>
      <w:bookmarkStart w:id="13" w:name="_Toc15396599"/>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_Toc28688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第一部分 </w:t>
      </w:r>
      <w:r>
        <w:rPr>
          <w:rFonts w:hint="eastAsia" w:ascii="仿宋" w:hAnsi="仿宋" w:eastAsia="仿宋" w:cs="仿宋"/>
          <w:b/>
          <w:bCs w:val="0"/>
          <w:sz w:val="24"/>
          <w:szCs w:val="24"/>
        </w:rPr>
        <w:t>部门单位概况</w:t>
      </w:r>
      <w:r>
        <w:rPr>
          <w:rFonts w:hint="eastAsia" w:ascii="仿宋" w:hAnsi="仿宋" w:eastAsia="仿宋" w:cs="仿宋"/>
          <w:b/>
          <w:sz w:val="24"/>
          <w:szCs w:val="24"/>
        </w:rPr>
        <w:tab/>
      </w:r>
      <w:r>
        <w:rPr>
          <w:rFonts w:hint="eastAsia" w:ascii="仿宋" w:hAnsi="仿宋" w:eastAsia="仿宋" w:cs="仿宋"/>
          <w:b/>
          <w:sz w:val="24"/>
          <w:szCs w:val="24"/>
          <w:lang w:val="en-US" w:eastAsia="zh-CN"/>
        </w:rPr>
        <w:t>3</w:t>
      </w:r>
      <w:r>
        <w:rPr>
          <w:rFonts w:hint="eastAsia" w:ascii="仿宋" w:hAnsi="仿宋" w:eastAsia="仿宋" w:cs="仿宋"/>
          <w:b/>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_Toc12885 </w:instrText>
      </w:r>
      <w:r>
        <w:rPr>
          <w:rFonts w:hint="eastAsia" w:ascii="宋体" w:hAnsi="宋体" w:eastAsia="宋体" w:cs="宋体"/>
          <w:sz w:val="24"/>
          <w:szCs w:val="24"/>
        </w:rPr>
        <w:fldChar w:fldCharType="separate"/>
      </w:r>
      <w:r>
        <w:rPr>
          <w:rFonts w:hint="eastAsia" w:ascii="宋体" w:hAnsi="宋体" w:eastAsia="宋体" w:cs="宋体"/>
          <w:sz w:val="24"/>
          <w:szCs w:val="24"/>
        </w:rPr>
        <w:t>一、基本职能及主要工作</w:t>
      </w:r>
      <w:r>
        <w:rPr>
          <w:rFonts w:hint="eastAsia" w:ascii="宋体" w:hAnsi="宋体" w:eastAsia="宋体" w:cs="宋体"/>
          <w:sz w:val="24"/>
          <w:szCs w:val="24"/>
        </w:rPr>
        <w:tab/>
      </w:r>
      <w:r>
        <w:rPr>
          <w:rFonts w:hint="eastAsia" w:ascii="宋体" w:hAnsi="宋体" w:eastAsia="宋体" w:cs="宋体"/>
          <w:sz w:val="24"/>
          <w:szCs w:val="24"/>
          <w:lang w:val="en-US" w:eastAsia="zh-CN"/>
        </w:rPr>
        <w:t>3</w:t>
      </w:r>
      <w:r>
        <w:rPr>
          <w:rFonts w:hint="eastAsia" w:ascii="宋体" w:hAnsi="宋体" w:eastAsia="宋体" w:cs="宋体"/>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_Toc795 </w:instrText>
      </w:r>
      <w:r>
        <w:rPr>
          <w:rFonts w:hint="eastAsia" w:ascii="宋体" w:hAnsi="宋体" w:eastAsia="宋体" w:cs="宋体"/>
          <w:sz w:val="24"/>
          <w:szCs w:val="24"/>
        </w:rPr>
        <w:fldChar w:fldCharType="separate"/>
      </w:r>
      <w:r>
        <w:rPr>
          <w:rFonts w:hint="eastAsia" w:ascii="宋体" w:hAnsi="宋体" w:eastAsia="宋体" w:cs="宋体"/>
          <w:sz w:val="24"/>
          <w:szCs w:val="24"/>
        </w:rPr>
        <w:t>二、机构设置</w:t>
      </w:r>
      <w:r>
        <w:rPr>
          <w:rFonts w:hint="eastAsia" w:ascii="宋体" w:hAnsi="宋体" w:eastAsia="宋体" w:cs="宋体"/>
          <w:sz w:val="24"/>
          <w:szCs w:val="24"/>
        </w:rPr>
        <w:tab/>
      </w:r>
      <w:r>
        <w:rPr>
          <w:rFonts w:hint="eastAsia" w:ascii="宋体" w:hAnsi="宋体" w:eastAsia="宋体" w:cs="宋体"/>
          <w:sz w:val="24"/>
          <w:szCs w:val="24"/>
          <w:lang w:val="en-US" w:eastAsia="zh-CN"/>
        </w:rPr>
        <w:t>8</w:t>
      </w:r>
      <w:r>
        <w:rPr>
          <w:rFonts w:hint="eastAsia" w:ascii="宋体" w:hAnsi="宋体" w:eastAsia="宋体" w:cs="宋体"/>
          <w:sz w:val="24"/>
          <w:szCs w:val="24"/>
        </w:rPr>
        <w:fldChar w:fldCharType="end"/>
      </w:r>
    </w:p>
    <w:p>
      <w:pPr>
        <w:pStyle w:val="38"/>
        <w:tabs>
          <w:tab w:val="right" w:leader="dot" w:pos="8306"/>
        </w:tabs>
        <w:rPr>
          <w:rFonts w:hint="eastAsia" w:ascii="仿宋" w:hAnsi="仿宋" w:eastAsia="仿宋" w:cs="仿宋"/>
          <w:b/>
          <w:bCs w:val="0"/>
          <w:sz w:val="24"/>
          <w:szCs w:val="24"/>
          <w:lang w:val="en-US" w:eastAsia="zh-CN"/>
        </w:rPr>
      </w:pPr>
      <w:r>
        <w:rPr>
          <w:rFonts w:hint="eastAsia" w:ascii="仿宋" w:hAnsi="仿宋" w:eastAsia="仿宋" w:cs="仿宋"/>
          <w:b/>
          <w:bCs w:val="0"/>
          <w:sz w:val="24"/>
          <w:szCs w:val="24"/>
        </w:rPr>
        <w:fldChar w:fldCharType="begin"/>
      </w:r>
      <w:r>
        <w:rPr>
          <w:rFonts w:hint="eastAsia" w:ascii="仿宋" w:hAnsi="仿宋" w:eastAsia="仿宋" w:cs="仿宋"/>
          <w:b/>
          <w:bCs w:val="0"/>
          <w:sz w:val="24"/>
          <w:szCs w:val="24"/>
        </w:rPr>
        <w:instrText xml:space="preserve"> HYPERLINK \l _Toc10684 </w:instrText>
      </w:r>
      <w:r>
        <w:rPr>
          <w:rFonts w:hint="eastAsia" w:ascii="仿宋" w:hAnsi="仿宋" w:eastAsia="仿宋" w:cs="仿宋"/>
          <w:b/>
          <w:bCs w:val="0"/>
          <w:sz w:val="24"/>
          <w:szCs w:val="24"/>
        </w:rPr>
        <w:fldChar w:fldCharType="separate"/>
      </w:r>
      <w:r>
        <w:rPr>
          <w:rFonts w:hint="eastAsia" w:ascii="仿宋" w:hAnsi="仿宋" w:eastAsia="仿宋" w:cs="仿宋"/>
          <w:b/>
          <w:bCs w:val="0"/>
          <w:sz w:val="24"/>
          <w:szCs w:val="24"/>
        </w:rPr>
        <w:t>第二部分 202</w:t>
      </w:r>
      <w:r>
        <w:rPr>
          <w:rFonts w:hint="eastAsia" w:ascii="仿宋" w:hAnsi="仿宋" w:eastAsia="仿宋" w:cs="仿宋"/>
          <w:b/>
          <w:bCs w:val="0"/>
          <w:sz w:val="24"/>
          <w:szCs w:val="24"/>
          <w:lang w:val="en-US" w:eastAsia="zh-CN"/>
        </w:rPr>
        <w:t>2</w:t>
      </w:r>
      <w:r>
        <w:rPr>
          <w:rFonts w:hint="eastAsia" w:ascii="仿宋" w:hAnsi="仿宋" w:eastAsia="仿宋" w:cs="仿宋"/>
          <w:b/>
          <w:bCs w:val="0"/>
          <w:sz w:val="24"/>
          <w:szCs w:val="24"/>
        </w:rPr>
        <w:t>年度部门决算情况说明</w:t>
      </w:r>
      <w:r>
        <w:rPr>
          <w:rFonts w:hint="eastAsia" w:ascii="仿宋" w:hAnsi="仿宋" w:eastAsia="仿宋" w:cs="仿宋"/>
          <w:b/>
          <w:bCs w:val="0"/>
          <w:sz w:val="24"/>
          <w:szCs w:val="24"/>
        </w:rPr>
        <w:tab/>
      </w:r>
      <w:r>
        <w:rPr>
          <w:rFonts w:hint="eastAsia" w:ascii="仿宋" w:hAnsi="仿宋" w:eastAsia="仿宋" w:cs="仿宋"/>
          <w:b/>
          <w:bCs w:val="0"/>
          <w:sz w:val="24"/>
          <w:szCs w:val="24"/>
          <w:lang w:val="en-US" w:eastAsia="zh-CN"/>
        </w:rPr>
        <w:t>9</w:t>
      </w:r>
      <w:r>
        <w:rPr>
          <w:rFonts w:hint="eastAsia" w:ascii="仿宋" w:hAnsi="仿宋" w:eastAsia="仿宋" w:cs="仿宋"/>
          <w:b/>
          <w:bCs w:val="0"/>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_Toc3055 </w:instrText>
      </w:r>
      <w:r>
        <w:rPr>
          <w:rFonts w:hint="eastAsia" w:ascii="宋体" w:hAnsi="宋体" w:eastAsia="宋体" w:cs="宋体"/>
          <w:sz w:val="24"/>
          <w:szCs w:val="24"/>
        </w:rPr>
        <w:fldChar w:fldCharType="separate"/>
      </w:r>
      <w:r>
        <w:rPr>
          <w:rFonts w:hint="default" w:ascii="宋体" w:hAnsi="宋体" w:eastAsia="宋体" w:cs="宋体"/>
          <w:sz w:val="24"/>
          <w:szCs w:val="24"/>
        </w:rPr>
        <w:t>一、</w:t>
      </w:r>
      <w:r>
        <w:rPr>
          <w:rFonts w:hint="eastAsia" w:ascii="宋体" w:hAnsi="宋体" w:eastAsia="宋体" w:cs="宋体"/>
          <w:sz w:val="24"/>
          <w:szCs w:val="24"/>
        </w:rPr>
        <w:t>收入支出决算总体情况说明</w:t>
      </w:r>
      <w:r>
        <w:rPr>
          <w:rFonts w:hint="eastAsia" w:ascii="宋体" w:hAnsi="宋体" w:eastAsia="宋体" w:cs="宋体"/>
          <w:sz w:val="24"/>
          <w:szCs w:val="24"/>
        </w:rPr>
        <w:tab/>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_Toc16451 </w:instrText>
      </w:r>
      <w:r>
        <w:rPr>
          <w:rFonts w:hint="eastAsia" w:ascii="宋体" w:hAnsi="宋体" w:eastAsia="宋体" w:cs="宋体"/>
          <w:sz w:val="24"/>
          <w:szCs w:val="24"/>
        </w:rPr>
        <w:fldChar w:fldCharType="separate"/>
      </w:r>
      <w:r>
        <w:rPr>
          <w:rFonts w:hint="default" w:ascii="宋体" w:hAnsi="宋体" w:eastAsia="宋体" w:cs="宋体"/>
          <w:sz w:val="24"/>
          <w:szCs w:val="24"/>
        </w:rPr>
        <w:t>二、</w:t>
      </w:r>
      <w:r>
        <w:rPr>
          <w:rFonts w:hint="eastAsia" w:ascii="宋体" w:hAnsi="宋体" w:eastAsia="宋体" w:cs="宋体"/>
          <w:sz w:val="24"/>
          <w:szCs w:val="24"/>
        </w:rPr>
        <w:t>收入决算情况说明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9</w:t>
      </w:r>
      <w:r>
        <w:rPr>
          <w:rFonts w:hint="eastAsia" w:ascii="宋体" w:hAnsi="宋体" w:eastAsia="宋体" w:cs="宋体"/>
          <w:sz w:val="24"/>
          <w:szCs w:val="24"/>
        </w:rPr>
        <w:fldChar w:fldCharType="end"/>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_Toc19136 </w:instrText>
      </w:r>
      <w:r>
        <w:rPr>
          <w:rFonts w:hint="eastAsia" w:ascii="宋体" w:hAnsi="宋体" w:eastAsia="宋体" w:cs="宋体"/>
          <w:sz w:val="24"/>
          <w:szCs w:val="24"/>
        </w:rPr>
        <w:fldChar w:fldCharType="separate"/>
      </w:r>
      <w:r>
        <w:rPr>
          <w:rFonts w:hint="default" w:ascii="宋体" w:hAnsi="宋体" w:eastAsia="宋体" w:cs="宋体"/>
          <w:sz w:val="24"/>
          <w:szCs w:val="24"/>
        </w:rPr>
        <w:t>三、</w:t>
      </w:r>
      <w:r>
        <w:rPr>
          <w:rFonts w:hint="eastAsia" w:ascii="宋体" w:hAnsi="宋体" w:eastAsia="宋体" w:cs="宋体"/>
          <w:sz w:val="24"/>
          <w:szCs w:val="24"/>
        </w:rPr>
        <w:t>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0</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_Toc1825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1</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_Toc12581 </w:instrText>
      </w:r>
      <w:r>
        <w:rPr>
          <w:rFonts w:hint="eastAsia" w:ascii="宋体" w:hAnsi="宋体" w:eastAsia="宋体" w:cs="宋体"/>
          <w:sz w:val="24"/>
          <w:szCs w:val="24"/>
        </w:rPr>
        <w:fldChar w:fldCharType="separate"/>
      </w:r>
      <w:r>
        <w:rPr>
          <w:rFonts w:hint="eastAsia" w:ascii="宋体" w:hAnsi="宋体" w:eastAsia="宋体" w:cs="宋体"/>
          <w:sz w:val="24"/>
          <w:szCs w:val="24"/>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1</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_Toc22395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5</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_Toc1423 </w:instrText>
      </w:r>
      <w:r>
        <w:rPr>
          <w:rFonts w:hint="eastAsia" w:ascii="宋体" w:hAnsi="宋体" w:eastAsia="宋体" w:cs="宋体"/>
          <w:sz w:val="24"/>
          <w:szCs w:val="24"/>
        </w:rPr>
        <w:fldChar w:fldCharType="separate"/>
      </w:r>
      <w:r>
        <w:rPr>
          <w:rFonts w:hint="eastAsia" w:ascii="宋体" w:hAnsi="宋体" w:eastAsia="宋体" w:cs="宋体"/>
          <w:sz w:val="24"/>
          <w:szCs w:val="24"/>
        </w:rPr>
        <w:t>七、“三公”经费财政拨款支出决算情况说明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_Toc7093 </w:instrText>
      </w:r>
      <w:r>
        <w:rPr>
          <w:rFonts w:hint="eastAsia" w:ascii="宋体" w:hAnsi="宋体" w:eastAsia="宋体" w:cs="宋体"/>
          <w:sz w:val="24"/>
          <w:szCs w:val="24"/>
        </w:rPr>
        <w:fldChar w:fldCharType="separate"/>
      </w:r>
      <w:r>
        <w:rPr>
          <w:rFonts w:hint="eastAsia" w:ascii="宋体" w:hAnsi="宋体" w:eastAsia="宋体" w:cs="宋体"/>
          <w:sz w:val="24"/>
          <w:szCs w:val="24"/>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_Toc7376 </w:instrText>
      </w:r>
      <w:r>
        <w:rPr>
          <w:rFonts w:hint="eastAsia" w:ascii="宋体" w:hAnsi="宋体" w:eastAsia="宋体" w:cs="宋体"/>
          <w:sz w:val="24"/>
          <w:szCs w:val="24"/>
        </w:rPr>
        <w:fldChar w:fldCharType="separate"/>
      </w:r>
      <w:r>
        <w:rPr>
          <w:rFonts w:hint="eastAsia" w:ascii="宋体" w:hAnsi="宋体" w:eastAsia="宋体" w:cs="宋体"/>
          <w:sz w:val="24"/>
          <w:szCs w:val="24"/>
        </w:rPr>
        <w:t>九、国有资本经营预算支出决算情况说明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_Toc8396 </w:instrText>
      </w:r>
      <w:r>
        <w:rPr>
          <w:rFonts w:hint="eastAsia" w:ascii="宋体" w:hAnsi="宋体" w:eastAsia="宋体" w:cs="宋体"/>
          <w:sz w:val="24"/>
          <w:szCs w:val="24"/>
        </w:rPr>
        <w:fldChar w:fldCharType="separate"/>
      </w:r>
      <w:r>
        <w:rPr>
          <w:rFonts w:hint="eastAsia" w:ascii="宋体" w:hAnsi="宋体" w:eastAsia="宋体" w:cs="宋体"/>
          <w:sz w:val="24"/>
          <w:szCs w:val="24"/>
        </w:rPr>
        <w:t>十、其他重要事项的情况说明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7</w:t>
      </w:r>
    </w:p>
    <w:p>
      <w:pPr>
        <w:pStyle w:val="38"/>
        <w:tabs>
          <w:tab w:val="right" w:leader="dot" w:pos="8306"/>
        </w:tabs>
        <w:rPr>
          <w:rFonts w:hint="eastAsia" w:ascii="仿宋" w:hAnsi="仿宋" w:eastAsia="仿宋" w:cs="仿宋"/>
          <w:b/>
          <w:bCs w:val="0"/>
          <w:sz w:val="24"/>
          <w:szCs w:val="24"/>
          <w:lang w:val="en-US" w:eastAsia="zh-CN"/>
        </w:rPr>
      </w:pPr>
      <w:r>
        <w:rPr>
          <w:rFonts w:hint="eastAsia" w:ascii="仿宋" w:hAnsi="仿宋" w:eastAsia="仿宋" w:cs="仿宋"/>
          <w:b/>
          <w:bCs w:val="0"/>
          <w:sz w:val="24"/>
          <w:szCs w:val="24"/>
        </w:rPr>
        <w:fldChar w:fldCharType="begin"/>
      </w:r>
      <w:r>
        <w:rPr>
          <w:rFonts w:hint="eastAsia" w:ascii="仿宋" w:hAnsi="仿宋" w:eastAsia="仿宋" w:cs="仿宋"/>
          <w:b/>
          <w:bCs w:val="0"/>
          <w:sz w:val="24"/>
          <w:szCs w:val="24"/>
        </w:rPr>
        <w:instrText xml:space="preserve"> HYPERLINK \l _Toc18722 </w:instrText>
      </w:r>
      <w:r>
        <w:rPr>
          <w:rFonts w:hint="eastAsia" w:ascii="仿宋" w:hAnsi="仿宋" w:eastAsia="仿宋" w:cs="仿宋"/>
          <w:b/>
          <w:bCs w:val="0"/>
          <w:sz w:val="24"/>
          <w:szCs w:val="24"/>
        </w:rPr>
        <w:fldChar w:fldCharType="separate"/>
      </w:r>
      <w:r>
        <w:rPr>
          <w:rFonts w:hint="eastAsia" w:ascii="仿宋" w:hAnsi="仿宋" w:eastAsia="仿宋" w:cs="仿宋"/>
          <w:b/>
          <w:bCs w:val="0"/>
          <w:sz w:val="24"/>
          <w:szCs w:val="24"/>
        </w:rPr>
        <w:t>第三部分 名词解释</w:t>
      </w:r>
      <w:r>
        <w:rPr>
          <w:rFonts w:hint="eastAsia" w:ascii="仿宋" w:hAnsi="仿宋" w:eastAsia="仿宋" w:cs="仿宋"/>
          <w:b/>
          <w:bCs w:val="0"/>
          <w:sz w:val="24"/>
          <w:szCs w:val="24"/>
        </w:rPr>
        <w:tab/>
      </w:r>
      <w:r>
        <w:rPr>
          <w:rFonts w:hint="eastAsia" w:ascii="仿宋" w:hAnsi="仿宋" w:eastAsia="仿宋" w:cs="仿宋"/>
          <w:b/>
          <w:bCs w:val="0"/>
          <w:sz w:val="24"/>
          <w:szCs w:val="24"/>
          <w:lang w:val="en-US" w:eastAsia="zh-CN"/>
        </w:rPr>
        <w:t>1</w:t>
      </w:r>
      <w:r>
        <w:rPr>
          <w:rFonts w:hint="eastAsia" w:ascii="仿宋" w:hAnsi="仿宋" w:eastAsia="仿宋" w:cs="仿宋"/>
          <w:b/>
          <w:bCs w:val="0"/>
          <w:sz w:val="24"/>
          <w:szCs w:val="24"/>
        </w:rPr>
        <w:fldChar w:fldCharType="end"/>
      </w:r>
      <w:r>
        <w:rPr>
          <w:rFonts w:hint="eastAsia" w:ascii="仿宋" w:hAnsi="仿宋" w:eastAsia="仿宋" w:cs="仿宋"/>
          <w:b/>
          <w:bCs w:val="0"/>
          <w:sz w:val="24"/>
          <w:szCs w:val="24"/>
          <w:lang w:val="en-US" w:eastAsia="zh-CN"/>
        </w:rPr>
        <w:t>9</w:t>
      </w:r>
    </w:p>
    <w:p>
      <w:pPr>
        <w:pStyle w:val="38"/>
        <w:tabs>
          <w:tab w:val="right" w:leader="dot" w:pos="8306"/>
        </w:tabs>
        <w:rPr>
          <w:rFonts w:hint="eastAsia" w:ascii="仿宋" w:hAnsi="仿宋" w:eastAsia="仿宋" w:cs="仿宋"/>
          <w:b/>
          <w:bCs w:val="0"/>
          <w:sz w:val="24"/>
          <w:szCs w:val="24"/>
          <w:lang w:val="en-US" w:eastAsia="zh-CN"/>
        </w:rPr>
      </w:pPr>
      <w:r>
        <w:rPr>
          <w:rFonts w:hint="eastAsia" w:ascii="仿宋" w:hAnsi="仿宋" w:eastAsia="仿宋" w:cs="仿宋"/>
          <w:b/>
          <w:bCs w:val="0"/>
          <w:sz w:val="24"/>
          <w:szCs w:val="24"/>
        </w:rPr>
        <w:fldChar w:fldCharType="begin"/>
      </w:r>
      <w:r>
        <w:rPr>
          <w:rFonts w:hint="eastAsia" w:ascii="仿宋" w:hAnsi="仿宋" w:eastAsia="仿宋" w:cs="仿宋"/>
          <w:b/>
          <w:bCs w:val="0"/>
          <w:sz w:val="24"/>
          <w:szCs w:val="24"/>
        </w:rPr>
        <w:instrText xml:space="preserve"> HYPERLINK \l _Toc32757 </w:instrText>
      </w:r>
      <w:r>
        <w:rPr>
          <w:rFonts w:hint="eastAsia" w:ascii="仿宋" w:hAnsi="仿宋" w:eastAsia="仿宋" w:cs="仿宋"/>
          <w:b/>
          <w:bCs w:val="0"/>
          <w:sz w:val="24"/>
          <w:szCs w:val="24"/>
        </w:rPr>
        <w:fldChar w:fldCharType="separate"/>
      </w:r>
      <w:r>
        <w:rPr>
          <w:rFonts w:hint="eastAsia" w:ascii="仿宋" w:hAnsi="仿宋" w:eastAsia="仿宋" w:cs="仿宋"/>
          <w:b/>
          <w:bCs w:val="0"/>
          <w:sz w:val="24"/>
          <w:szCs w:val="24"/>
        </w:rPr>
        <w:t>第四部分 附件</w:t>
      </w:r>
      <w:r>
        <w:rPr>
          <w:rFonts w:hint="eastAsia" w:ascii="仿宋" w:hAnsi="仿宋" w:eastAsia="仿宋" w:cs="仿宋"/>
          <w:b/>
          <w:bCs w:val="0"/>
          <w:sz w:val="24"/>
          <w:szCs w:val="24"/>
        </w:rPr>
        <w:tab/>
      </w:r>
      <w:r>
        <w:rPr>
          <w:rFonts w:hint="eastAsia" w:ascii="仿宋" w:hAnsi="仿宋" w:eastAsia="仿宋" w:cs="仿宋"/>
          <w:b/>
          <w:bCs w:val="0"/>
          <w:sz w:val="24"/>
          <w:szCs w:val="24"/>
          <w:lang w:val="en-US" w:eastAsia="zh-CN"/>
        </w:rPr>
        <w:t>2</w:t>
      </w:r>
      <w:r>
        <w:rPr>
          <w:rFonts w:hint="eastAsia" w:ascii="仿宋" w:hAnsi="仿宋" w:eastAsia="仿宋" w:cs="仿宋"/>
          <w:b/>
          <w:bCs w:val="0"/>
          <w:sz w:val="24"/>
          <w:szCs w:val="24"/>
        </w:rPr>
        <w:fldChar w:fldCharType="end"/>
      </w:r>
      <w:r>
        <w:rPr>
          <w:rFonts w:hint="eastAsia" w:ascii="仿宋" w:hAnsi="仿宋" w:eastAsia="仿宋" w:cs="仿宋"/>
          <w:b/>
          <w:bCs w:val="0"/>
          <w:sz w:val="24"/>
          <w:szCs w:val="24"/>
          <w:lang w:val="en-US" w:eastAsia="zh-CN"/>
        </w:rPr>
        <w:t>4</w:t>
      </w:r>
    </w:p>
    <w:p>
      <w:pPr>
        <w:pStyle w:val="38"/>
        <w:tabs>
          <w:tab w:val="right" w:leader="dot" w:pos="8306"/>
        </w:tabs>
        <w:rPr>
          <w:rFonts w:hint="default" w:ascii="仿宋" w:hAnsi="仿宋" w:eastAsia="仿宋" w:cs="仿宋"/>
          <w:b/>
          <w:bCs w:val="0"/>
          <w:sz w:val="24"/>
          <w:szCs w:val="24"/>
          <w:lang w:val="en-US" w:eastAsia="zh-CN"/>
        </w:rPr>
      </w:pPr>
      <w:r>
        <w:rPr>
          <w:rFonts w:hint="eastAsia" w:ascii="仿宋" w:hAnsi="仿宋" w:eastAsia="仿宋" w:cs="仿宋"/>
          <w:b/>
          <w:bCs w:val="0"/>
          <w:sz w:val="24"/>
          <w:szCs w:val="24"/>
        </w:rPr>
        <w:fldChar w:fldCharType="begin"/>
      </w:r>
      <w:r>
        <w:rPr>
          <w:rFonts w:hint="eastAsia" w:ascii="仿宋" w:hAnsi="仿宋" w:eastAsia="仿宋" w:cs="仿宋"/>
          <w:b/>
          <w:bCs w:val="0"/>
          <w:sz w:val="24"/>
          <w:szCs w:val="24"/>
        </w:rPr>
        <w:instrText xml:space="preserve"> HYPERLINK \l _Toc18591 </w:instrText>
      </w:r>
      <w:r>
        <w:rPr>
          <w:rFonts w:hint="eastAsia" w:ascii="仿宋" w:hAnsi="仿宋" w:eastAsia="仿宋" w:cs="仿宋"/>
          <w:b/>
          <w:bCs w:val="0"/>
          <w:sz w:val="24"/>
          <w:szCs w:val="24"/>
        </w:rPr>
        <w:fldChar w:fldCharType="separate"/>
      </w:r>
      <w:r>
        <w:rPr>
          <w:rFonts w:hint="eastAsia" w:ascii="仿宋" w:hAnsi="仿宋" w:eastAsia="仿宋" w:cs="仿宋"/>
          <w:b/>
          <w:bCs w:val="0"/>
          <w:sz w:val="24"/>
          <w:szCs w:val="24"/>
        </w:rPr>
        <w:t>第五部分 附表</w:t>
      </w:r>
      <w:r>
        <w:rPr>
          <w:rFonts w:hint="eastAsia" w:ascii="仿宋" w:hAnsi="仿宋" w:eastAsia="仿宋" w:cs="仿宋"/>
          <w:b/>
          <w:bCs w:val="0"/>
          <w:sz w:val="24"/>
          <w:szCs w:val="24"/>
        </w:rPr>
        <w:tab/>
      </w:r>
      <w:r>
        <w:rPr>
          <w:rFonts w:hint="eastAsia" w:ascii="仿宋" w:hAnsi="仿宋" w:eastAsia="仿宋" w:cs="仿宋"/>
          <w:b/>
          <w:bCs w:val="0"/>
          <w:sz w:val="24"/>
          <w:szCs w:val="24"/>
        </w:rPr>
        <w:fldChar w:fldCharType="end"/>
      </w:r>
      <w:r>
        <w:rPr>
          <w:rFonts w:hint="eastAsia" w:ascii="仿宋" w:hAnsi="仿宋" w:eastAsia="仿宋" w:cs="仿宋"/>
          <w:b/>
          <w:bCs w:val="0"/>
          <w:sz w:val="24"/>
          <w:szCs w:val="24"/>
          <w:lang w:val="en-US" w:eastAsia="zh-CN"/>
        </w:rPr>
        <w:t>46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_Toc16505 </w:instrText>
      </w:r>
      <w:r>
        <w:rPr>
          <w:rFonts w:hint="eastAsia" w:ascii="宋体" w:hAnsi="宋体" w:eastAsia="宋体" w:cs="宋体"/>
          <w:sz w:val="24"/>
          <w:szCs w:val="24"/>
        </w:rPr>
        <w:fldChar w:fldCharType="separate"/>
      </w:r>
      <w:r>
        <w:rPr>
          <w:rFonts w:hint="eastAsia" w:ascii="宋体" w:hAnsi="宋体" w:eastAsia="宋体" w:cs="宋体"/>
          <w:sz w:val="24"/>
          <w:szCs w:val="24"/>
        </w:rPr>
        <w:t>一、收入支出决算总表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_Toc29501 </w:instrText>
      </w:r>
      <w:r>
        <w:rPr>
          <w:rFonts w:hint="eastAsia" w:ascii="宋体" w:hAnsi="宋体" w:eastAsia="宋体" w:cs="宋体"/>
          <w:sz w:val="24"/>
          <w:szCs w:val="24"/>
        </w:rPr>
        <w:fldChar w:fldCharType="separate"/>
      </w:r>
      <w:r>
        <w:rPr>
          <w:rFonts w:hint="eastAsia" w:ascii="宋体" w:hAnsi="宋体" w:eastAsia="宋体" w:cs="宋体"/>
          <w:sz w:val="24"/>
          <w:szCs w:val="24"/>
        </w:rPr>
        <w:t>二、收入决算表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_Toc25515 </w:instrText>
      </w:r>
      <w:r>
        <w:rPr>
          <w:rFonts w:hint="eastAsia" w:ascii="宋体" w:hAnsi="宋体" w:eastAsia="宋体" w:cs="宋体"/>
          <w:sz w:val="24"/>
          <w:szCs w:val="24"/>
        </w:rPr>
        <w:fldChar w:fldCharType="separate"/>
      </w:r>
      <w:r>
        <w:rPr>
          <w:rFonts w:hint="eastAsia" w:ascii="宋体" w:hAnsi="宋体" w:eastAsia="宋体" w:cs="宋体"/>
          <w:sz w:val="24"/>
          <w:szCs w:val="24"/>
        </w:rPr>
        <w:t>三、支出决算表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_Toc12578 </w:instrText>
      </w:r>
      <w:r>
        <w:rPr>
          <w:rFonts w:hint="eastAsia" w:ascii="宋体" w:hAnsi="宋体" w:eastAsia="宋体" w:cs="宋体"/>
          <w:sz w:val="24"/>
          <w:szCs w:val="24"/>
        </w:rPr>
        <w:fldChar w:fldCharType="separate"/>
      </w:r>
      <w:r>
        <w:rPr>
          <w:rFonts w:hint="eastAsia" w:ascii="宋体" w:hAnsi="宋体" w:eastAsia="宋体" w:cs="宋体"/>
          <w:sz w:val="24"/>
          <w:szCs w:val="24"/>
        </w:rPr>
        <w:t>四、财政拨款收入支出决算总表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_Toc419 </w:instrText>
      </w:r>
      <w:r>
        <w:rPr>
          <w:rFonts w:hint="eastAsia" w:ascii="宋体" w:hAnsi="宋体" w:eastAsia="宋体" w:cs="宋体"/>
          <w:sz w:val="24"/>
          <w:szCs w:val="24"/>
        </w:rPr>
        <w:fldChar w:fldCharType="separate"/>
      </w:r>
      <w:r>
        <w:rPr>
          <w:rFonts w:hint="eastAsia" w:ascii="宋体" w:hAnsi="宋体" w:eastAsia="宋体" w:cs="宋体"/>
          <w:sz w:val="24"/>
          <w:szCs w:val="24"/>
        </w:rPr>
        <w:t>五、财政拨款支出决算明细表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_Toc26081 </w:instrText>
      </w:r>
      <w:r>
        <w:rPr>
          <w:rFonts w:hint="eastAsia" w:ascii="宋体" w:hAnsi="宋体" w:eastAsia="宋体" w:cs="宋体"/>
          <w:sz w:val="24"/>
          <w:szCs w:val="24"/>
        </w:rPr>
        <w:fldChar w:fldCharType="separate"/>
      </w:r>
      <w:r>
        <w:rPr>
          <w:rFonts w:hint="eastAsia" w:ascii="宋体" w:hAnsi="宋体" w:eastAsia="宋体" w:cs="宋体"/>
          <w:sz w:val="24"/>
          <w:szCs w:val="24"/>
        </w:rPr>
        <w:t>六、一般公共预算财政拨款支出决算表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_Toc30360 </w:instrText>
      </w:r>
      <w:r>
        <w:rPr>
          <w:rFonts w:hint="eastAsia" w:ascii="宋体" w:hAnsi="宋体" w:eastAsia="宋体" w:cs="宋体"/>
          <w:sz w:val="24"/>
          <w:szCs w:val="24"/>
        </w:rPr>
        <w:fldChar w:fldCharType="separate"/>
      </w:r>
      <w:r>
        <w:rPr>
          <w:rFonts w:hint="eastAsia" w:ascii="宋体" w:hAnsi="宋体" w:eastAsia="宋体" w:cs="宋体"/>
          <w:sz w:val="24"/>
          <w:szCs w:val="24"/>
        </w:rPr>
        <w:t>七、一般公共预算财政拨款支出决算明细表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_Toc4114 </w:instrText>
      </w:r>
      <w:r>
        <w:rPr>
          <w:rFonts w:hint="eastAsia" w:ascii="宋体" w:hAnsi="宋体" w:eastAsia="宋体" w:cs="宋体"/>
          <w:sz w:val="24"/>
          <w:szCs w:val="24"/>
        </w:rPr>
        <w:fldChar w:fldCharType="separate"/>
      </w:r>
      <w:r>
        <w:rPr>
          <w:rFonts w:hint="eastAsia" w:ascii="宋体" w:hAnsi="宋体" w:eastAsia="宋体" w:cs="宋体"/>
          <w:sz w:val="24"/>
          <w:szCs w:val="24"/>
        </w:rPr>
        <w:t>八、一般公共预算财政拨款基本支出决算表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_Toc5365 </w:instrText>
      </w:r>
      <w:r>
        <w:rPr>
          <w:rFonts w:hint="eastAsia" w:ascii="宋体" w:hAnsi="宋体" w:eastAsia="宋体" w:cs="宋体"/>
          <w:sz w:val="24"/>
          <w:szCs w:val="24"/>
        </w:rPr>
        <w:fldChar w:fldCharType="separate"/>
      </w:r>
      <w:r>
        <w:rPr>
          <w:rFonts w:hint="eastAsia" w:ascii="宋体" w:hAnsi="宋体" w:eastAsia="宋体" w:cs="宋体"/>
          <w:sz w:val="24"/>
          <w:szCs w:val="24"/>
        </w:rPr>
        <w:t>九、一般公共预算财政拨款项目支出决算表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_Toc13767 </w:instrText>
      </w:r>
      <w:r>
        <w:rPr>
          <w:rFonts w:hint="eastAsia" w:ascii="宋体" w:hAnsi="宋体" w:eastAsia="宋体" w:cs="宋体"/>
          <w:sz w:val="24"/>
          <w:szCs w:val="24"/>
        </w:rPr>
        <w:fldChar w:fldCharType="separate"/>
      </w:r>
      <w:r>
        <w:rPr>
          <w:rFonts w:hint="eastAsia" w:ascii="宋体" w:hAnsi="宋体" w:eastAsia="宋体" w:cs="宋体"/>
          <w:sz w:val="24"/>
          <w:szCs w:val="24"/>
        </w:rPr>
        <w:t>十、政府性基金预算财政拨款收入支出决算表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_Toc6802 </w:instrText>
      </w:r>
      <w:r>
        <w:rPr>
          <w:rFonts w:hint="eastAsia" w:ascii="宋体" w:hAnsi="宋体" w:eastAsia="宋体" w:cs="宋体"/>
          <w:sz w:val="24"/>
          <w:szCs w:val="24"/>
        </w:rPr>
        <w:fldChar w:fldCharType="separate"/>
      </w:r>
      <w:r>
        <w:rPr>
          <w:rFonts w:hint="eastAsia" w:ascii="宋体" w:hAnsi="宋体" w:eastAsia="宋体" w:cs="宋体"/>
          <w:sz w:val="24"/>
          <w:szCs w:val="24"/>
        </w:rPr>
        <w:t>十一、国有资本经营预算财政拨款收入支出决算表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_Toc21848 </w:instrText>
      </w:r>
      <w:r>
        <w:rPr>
          <w:rFonts w:hint="eastAsia" w:ascii="宋体" w:hAnsi="宋体" w:eastAsia="宋体" w:cs="宋体"/>
          <w:sz w:val="24"/>
          <w:szCs w:val="24"/>
        </w:rPr>
        <w:fldChar w:fldCharType="separate"/>
      </w:r>
      <w:r>
        <w:rPr>
          <w:rFonts w:hint="eastAsia" w:ascii="宋体" w:hAnsi="宋体" w:eastAsia="宋体" w:cs="宋体"/>
          <w:sz w:val="24"/>
          <w:szCs w:val="24"/>
        </w:rPr>
        <w:t>十二、国有资本经营预算财政拨款支出决算表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_Toc27842 </w:instrText>
      </w:r>
      <w:r>
        <w:rPr>
          <w:rFonts w:hint="eastAsia" w:ascii="宋体" w:hAnsi="宋体" w:eastAsia="宋体" w:cs="宋体"/>
          <w:sz w:val="24"/>
          <w:szCs w:val="24"/>
        </w:rPr>
        <w:fldChar w:fldCharType="separate"/>
      </w:r>
      <w:r>
        <w:rPr>
          <w:rFonts w:hint="eastAsia" w:ascii="宋体" w:hAnsi="宋体" w:eastAsia="宋体" w:cs="宋体"/>
          <w:sz w:val="24"/>
          <w:szCs w:val="24"/>
        </w:rPr>
        <w:t>十三、财政拨款“三公”经费支出决算表</w:t>
      </w:r>
      <w:r>
        <w:rPr>
          <w:rFonts w:hint="eastAsia" w:ascii="宋体" w:hAnsi="宋体" w:eastAsia="宋体" w:cs="宋体"/>
          <w:sz w:val="24"/>
          <w:szCs w:val="24"/>
        </w:rPr>
        <w:tab/>
      </w:r>
      <w:r>
        <w:rPr>
          <w:rFonts w:hint="eastAsia" w:ascii="宋体" w:hAnsi="宋体" w:eastAsia="宋体" w:cs="宋体"/>
          <w:sz w:val="24"/>
          <w:szCs w:val="24"/>
          <w:lang w:val="en-US" w:eastAsia="zh-CN"/>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39"/>
        <w:keepNext w:val="0"/>
        <w:keepLines w:val="0"/>
        <w:pageBreakBefore w:val="0"/>
        <w:widowControl/>
        <w:tabs>
          <w:tab w:val="right" w:leader="dot" w:pos="8306"/>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p>
    <w:p>
      <w:pPr>
        <w:pStyle w:val="39"/>
        <w:tabs>
          <w:tab w:val="right" w:leader="dot" w:pos="8306"/>
        </w:tabs>
        <w:rPr>
          <w:rFonts w:hint="eastAsia" w:ascii="宋体" w:hAnsi="宋体" w:eastAsia="宋体" w:cs="宋体"/>
          <w:sz w:val="24"/>
          <w:szCs w:val="24"/>
        </w:rPr>
      </w:pPr>
      <w:r>
        <w:rPr>
          <w:rFonts w:hint="eastAsia" w:ascii="宋体" w:hAnsi="宋体" w:eastAsia="宋体" w:cs="宋体"/>
          <w:sz w:val="24"/>
          <w:szCs w:val="24"/>
        </w:rPr>
        <w:br w:type="page"/>
      </w:r>
    </w:p>
    <w:p>
      <w:pPr>
        <w:pStyle w:val="3"/>
        <w:jc w:val="center"/>
        <w:rPr>
          <w:rStyle w:val="31"/>
          <w:rFonts w:ascii="黑体" w:hAnsi="黑体" w:eastAsia="黑体"/>
          <w:b/>
          <w:bCs w:val="0"/>
        </w:rPr>
      </w:pPr>
      <w:r>
        <w:rPr>
          <w:rFonts w:hint="eastAsia" w:ascii="黑体" w:hAnsi="黑体" w:eastAsia="黑体"/>
          <w:b w:val="0"/>
        </w:rPr>
        <w:t xml:space="preserve">第一部分 </w:t>
      </w:r>
      <w:r>
        <w:rPr>
          <w:rStyle w:val="31"/>
          <w:rFonts w:hint="eastAsia" w:ascii="黑体" w:hAnsi="黑体" w:eastAsia="黑体"/>
          <w:b w:val="0"/>
          <w:bCs w:val="0"/>
        </w:rPr>
        <w:t>部门单位概况</w:t>
      </w:r>
      <w:bookmarkEnd w:id="12"/>
      <w:bookmarkEnd w:id="13"/>
    </w:p>
    <w:p>
      <w:pPr>
        <w:widowControl/>
        <w:jc w:val="left"/>
        <w:rPr>
          <w:rFonts w:ascii="黑体" w:eastAsia="黑体"/>
          <w:sz w:val="32"/>
          <w:szCs w:val="32"/>
        </w:rPr>
      </w:pPr>
    </w:p>
    <w:p>
      <w:pPr>
        <w:pStyle w:val="4"/>
        <w:rPr>
          <w:rStyle w:val="32"/>
          <w:rFonts w:ascii="仿宋" w:hAnsi="仿宋" w:eastAsia="仿宋"/>
          <w:b w:val="0"/>
          <w:bCs w:val="0"/>
        </w:rPr>
      </w:pPr>
      <w:bookmarkStart w:id="14" w:name="_Toc15396600"/>
      <w:bookmarkStart w:id="15" w:name="_Toc15377197"/>
      <w:r>
        <w:rPr>
          <w:rFonts w:hint="eastAsia" w:ascii="黑体" w:hAnsi="黑体" w:eastAsia="黑体"/>
          <w:b w:val="0"/>
        </w:rPr>
        <w:t>一、基</w:t>
      </w:r>
      <w:r>
        <w:rPr>
          <w:rStyle w:val="32"/>
          <w:rFonts w:hint="eastAsia" w:ascii="黑体" w:hAnsi="黑体" w:eastAsia="黑体"/>
          <w:b w:val="0"/>
          <w:bCs w:val="0"/>
        </w:rPr>
        <w:t>本职能及主要工作</w:t>
      </w:r>
      <w:bookmarkEnd w:id="14"/>
      <w:bookmarkEnd w:id="15"/>
    </w:p>
    <w:p>
      <w:pPr>
        <w:spacing w:line="600" w:lineRule="exact"/>
        <w:ind w:firstLine="640" w:firstLineChars="200"/>
        <w:rPr>
          <w:rFonts w:hint="eastAsia" w:ascii="仿宋" w:hAnsi="仿宋" w:eastAsia="仿宋" w:cs="Times New Roman"/>
          <w:bCs/>
          <w:kern w:val="0"/>
          <w:sz w:val="32"/>
          <w:szCs w:val="32"/>
          <w:lang w:val="en-US" w:eastAsia="zh-CN" w:bidi="ar-SA"/>
        </w:rPr>
      </w:pPr>
      <w:bookmarkStart w:id="16" w:name="_Toc15377198"/>
      <w:bookmarkStart w:id="17" w:name="_Toc15378445"/>
      <w:r>
        <w:rPr>
          <w:rFonts w:hint="eastAsia" w:ascii="仿宋" w:hAnsi="仿宋" w:eastAsia="仿宋" w:cs="Times New Roman"/>
          <w:bCs/>
          <w:kern w:val="0"/>
          <w:sz w:val="32"/>
          <w:szCs w:val="32"/>
          <w:lang w:val="en-US" w:eastAsia="zh-CN" w:bidi="ar-SA"/>
        </w:rPr>
        <w:t>（一）主要职能。</w:t>
      </w:r>
      <w:bookmarkEnd w:id="16"/>
      <w:bookmarkEnd w:id="17"/>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2、制定并组织实施村镇建设规划，部署重点工程建设，地方道路建设及公共设施，水利设施的管理，负责土地、林木、水等自然资源和生态环境的保护，做好护林防火工作。</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600" w:lineRule="exact"/>
        <w:ind w:firstLine="640" w:firstLineChars="200"/>
        <w:rPr>
          <w:rFonts w:hint="eastAsia" w:ascii="仿宋" w:hAnsi="仿宋" w:eastAsia="仿宋" w:cs="Times New Roman"/>
          <w:bCs/>
          <w:kern w:val="0"/>
          <w:sz w:val="32"/>
          <w:szCs w:val="32"/>
          <w:lang w:val="en-US" w:eastAsia="zh-CN" w:bidi="ar-SA"/>
        </w:rPr>
      </w:pPr>
      <w:bookmarkStart w:id="18" w:name="_Toc15378446"/>
      <w:bookmarkStart w:id="19" w:name="_Toc15377199"/>
      <w:r>
        <w:rPr>
          <w:rFonts w:hint="eastAsia" w:ascii="仿宋" w:hAnsi="仿宋" w:eastAsia="仿宋" w:cs="Times New Roman"/>
          <w:bCs/>
          <w:kern w:val="0"/>
          <w:sz w:val="32"/>
          <w:szCs w:val="32"/>
          <w:lang w:val="en-US" w:eastAsia="zh-CN" w:bidi="ar-SA"/>
        </w:rPr>
        <w:t>（二）2022年重点工作完成情况。</w:t>
      </w:r>
      <w:bookmarkEnd w:id="18"/>
      <w:bookmarkEnd w:id="19"/>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党的建设全面</w:t>
      </w:r>
      <w:r>
        <w:rPr>
          <w:rFonts w:hint="eastAsia" w:ascii="楷体" w:hAnsi="楷体" w:eastAsia="楷体" w:cs="楷体"/>
          <w:b/>
          <w:bCs/>
          <w:color w:val="000000" w:themeColor="text1"/>
          <w:sz w:val="32"/>
          <w:szCs w:val="32"/>
          <w:lang w:eastAsia="zh-CN"/>
          <w14:textFill>
            <w14:solidFill>
              <w14:schemeClr w14:val="tx1"/>
            </w14:solidFill>
          </w14:textFill>
        </w:rPr>
        <w:t>加强</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一是坚持把党的政治建设摆在首位，第一时间组织全镇党员学习党的</w:t>
      </w:r>
      <w:bookmarkStart w:id="73" w:name="_GoBack"/>
      <w:bookmarkEnd w:id="73"/>
      <w:r>
        <w:rPr>
          <w:rFonts w:hint="eastAsia" w:ascii="仿宋" w:hAnsi="仿宋" w:eastAsia="仿宋" w:cs="Times New Roman"/>
          <w:bCs/>
          <w:kern w:val="0"/>
          <w:sz w:val="32"/>
          <w:szCs w:val="32"/>
          <w:lang w:val="en-US" w:eastAsia="zh-CN" w:bidi="ar-SA"/>
        </w:rPr>
        <w:t>二十大精神，撰写心得体会50篇，持续深入学习习近平总书记系列重要讲话精神和《中国共产党章程（修正案）》等内容。二是严格落实党内组织生活，召开专题民主生活会3次，规范开展“三会一课”、主题党日活动共46次，班子成员讲党课24次，第一书记讲党课10次，全年召开理论中心组学习12次，研究党建课题5项。三是做到重要工作严格把关，跟踪问效，全面加强党员队伍建设，结合优秀农民工定向回引培养，全年新发展党员9名，其中7名优秀农民工。四是年初与村党组织书记签订《党建责任书》11份。五是对基层党组织党务工作存在的突出问题开展了全面清查，列出了问题清单及具体表现，共摸排出1个问题，并提出对策措施1条，现问题已彻底整改。六是加强党风廉政建设，实施“4321”精准监督，建立“三张清单”，执行“四责协同”、廉政风险“联防联控”、纪检监察“三公三化”，健全重要权利事项风险清单，规范行权流程，宣传好全省党风廉政建设社会评价工作，党风廉政建设社会评价满意度不断提升。</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楷体" w:cs="仿宋_GB2312"/>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w:t>
      </w:r>
      <w:r>
        <w:rPr>
          <w:rFonts w:hint="eastAsia" w:ascii="楷体" w:hAnsi="楷体" w:eastAsia="楷体" w:cs="楷体"/>
          <w:b/>
          <w:bCs/>
          <w:color w:val="000000" w:themeColor="text1"/>
          <w:sz w:val="32"/>
          <w:szCs w:val="32"/>
          <w:lang w:eastAsia="zh-CN"/>
          <w14:textFill>
            <w14:solidFill>
              <w14:schemeClr w14:val="tx1"/>
            </w14:solidFill>
          </w14:textFill>
        </w:rPr>
        <w:t>乡村振兴稳步推动</w:t>
      </w:r>
    </w:p>
    <w:p>
      <w:pPr>
        <w:spacing w:line="600" w:lineRule="exact"/>
        <w:ind w:firstLine="640" w:firstLineChars="200"/>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紧紧围绕“两不愁四保障”开展查漏补缺，确保脱贫攻坚成果有效巩固，开展日常排查，建立问题清单，会商制定整改措施，限定整改时限。二是通过群众自主申报、村级排查、部门线索反馈等方式进行防止返贫动态监测工作，从排查到纳入监测户，形成闭环程序，杜绝漏测、失帮。今年来，通过日常排查和2次集中排查，全镇共新识别监测户3户7人。三是切实加强驻村帮扶，督促驻村工作队员全面了解村情，因村施策制定长期帮扶规划和年度帮扶计划，并严格按计划组织实施，配合村两委完成全年建强村党组织、推进强村富民、提升治理水平、为民办事服务的目标任务。</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产业发展提质增效</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大力外引内扶5家新型农业经营主体发展，“深圳中谷元农业”投资3000万元在粮丰、白坝、广爱发展万亩柑橘产业，“中化农业”携手新鑫农业专业合作社投资3000万元在粮丰、福泉、时古发展万亩优质粮油，“嘉乡源畜牧有限公司”投资3250万元建设年出栏2000头肉牛养殖场，“广元浩蓬农业养殖有限公司”投资1500万元在石楼村建设现代农业种养循环基地，“巨星农牧有限公司”在同桥村建成万头规模种猪培育场。二是新招引“四川酉鸡农业发展有限公司”落地时古村，新建存栏30万羽蛋鸡养殖场、四川耕读集团在白坝村新建存栏900余头肉牛规模养殖场，均计划12月份建成投产。三是回引28位在外成功人士返乡创业，新建标准稻鱼、稻鳖、稻虾养殖基地1500亩、桑葚基地500亩、果药种植700余亩。四是成立农民专业合作社37家，培育扶持海山家庭农场、瑞盛果蔬家庭农场等家庭农场45家，创建省级专业合作社2家，国家级专业合作社1个，市级家庭农场3家，县级家庭农场14家。五是新培育年出栏生猪50头以上64户、500头以上1户、家禽1000只以上164户、5000只以上2户、培育年出栏50只以上肉羊22户、为元山的经济发展带来新的生机与活力。</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w:t>
      </w:r>
      <w:r>
        <w:rPr>
          <w:rFonts w:hint="eastAsia" w:ascii="楷体" w:hAnsi="楷体" w:eastAsia="楷体" w:cs="楷体"/>
          <w:b/>
          <w:bCs/>
          <w:color w:val="000000" w:themeColor="text1"/>
          <w:sz w:val="32"/>
          <w:szCs w:val="32"/>
          <w:lang w:eastAsia="zh-CN"/>
          <w14:textFill>
            <w14:solidFill>
              <w14:schemeClr w14:val="tx1"/>
            </w14:solidFill>
          </w14:textFill>
        </w:rPr>
        <w:t>项目投资</w:t>
      </w:r>
      <w:r>
        <w:rPr>
          <w:rFonts w:hint="eastAsia" w:ascii="楷体" w:hAnsi="楷体" w:eastAsia="楷体" w:cs="楷体"/>
          <w:b/>
          <w:bCs/>
          <w:color w:val="000000" w:themeColor="text1"/>
          <w:sz w:val="32"/>
          <w:szCs w:val="32"/>
          <w14:textFill>
            <w14:solidFill>
              <w14:schemeClr w14:val="tx1"/>
            </w14:solidFill>
          </w14:textFill>
        </w:rPr>
        <w:t>成果显著</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我镇大力推进招商引资工作，截至11月，完成招商引资签约资金1亿元，预计全年完成1亿五千万元。一是新签项目遍地开花。光明医院、剑阁县元山镇土鸡产业项目相继成功落地，元山镇医疗卫生和土鸡产业迈上新台阶。二是投资“新血液”接踵而至。光明医院建设项目取得进展，主体建设基本完成。冉辰农业有限公司、广元市嘉乡源畜牧有限公司计划扩大规模，增添投资建设配套产业。三是全程跟踪服务。按照“一核两带三基地”的产业格局，坚持“项目跟着产业走”，不断加大水利、电力、道路等基础设施建设，进一步优化投资环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5.</w:t>
      </w:r>
      <w:r>
        <w:rPr>
          <w:rFonts w:hint="eastAsia" w:ascii="楷体" w:hAnsi="楷体" w:eastAsia="楷体" w:cs="楷体"/>
          <w:b/>
          <w:bCs/>
          <w:color w:val="000000" w:themeColor="text1"/>
          <w:sz w:val="32"/>
          <w:szCs w:val="32"/>
          <w:lang w:eastAsia="zh-CN"/>
          <w14:textFill>
            <w14:solidFill>
              <w14:schemeClr w14:val="tx1"/>
            </w14:solidFill>
          </w14:textFill>
        </w:rPr>
        <w:t>社会大局和谐稳定</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安全生产真抓实管，严守红线思维、底线思维，做实做细排查、整治工作，推动行业领域专项整治，定期组织专项行动，不定期明察暗访，对问题和隐患详细登记造册，检查记录充实规范，隐患整改明确到人，注重整改期间的时效性和实际性，对违法行为绝不姑息，固定证据，移交至执法部门。二是综治维稳有效推进，定期召开综治工作相关会议，每季度至少3次，动态摸排辖区内矛盾纠纷，及时化解，发放相关宣传资料2000余份。元山镇司法所为群众提供法律咨询178人次，举办法律知识讲座3场次，并协助办理诉讼和非诉讼案件，代写法律文书，为当事人避免和挽回经济损失10余万元。调处各类矛盾纠纷233起，调处成功233起。</w:t>
      </w:r>
    </w:p>
    <w:p>
      <w:pPr>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Times New Roman"/>
          <w:bCs/>
          <w:kern w:val="0"/>
          <w:sz w:val="32"/>
          <w:szCs w:val="32"/>
          <w:lang w:val="en-US" w:eastAsia="zh-CN" w:bidi="ar-SA"/>
        </w:rPr>
        <w:t>三是基础设施更趋健全，2022年新建村组道路19.4公里，改扩建6.7公里，整治山坪塘4口，整治维护灌溉渠1.2公里，新建提灌站3座，确保生产供水充足。</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6.</w:t>
      </w:r>
      <w:r>
        <w:rPr>
          <w:rFonts w:hint="eastAsia" w:ascii="楷体" w:hAnsi="楷体" w:eastAsia="楷体" w:cs="楷体"/>
          <w:b/>
          <w:bCs/>
          <w:color w:val="000000" w:themeColor="text1"/>
          <w:sz w:val="32"/>
          <w:szCs w:val="32"/>
          <w:lang w:eastAsia="zh-CN"/>
          <w14:textFill>
            <w14:solidFill>
              <w14:schemeClr w14:val="tx1"/>
            </w14:solidFill>
          </w14:textFill>
        </w:rPr>
        <w:t>抓实抓细疫情防控</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抓党建促防疫，强化战斗堡垒。我镇与梓潼县文兴镇成立交通卡口疫情防控临时联合党支部，激发广大党员在疫情防控中的先锋模范作用和党组织战斗堡垒作用，凝心聚力守好剑阁疫情防控“南大门”。同时，严格落实镇干部+村干部+村医+民警+网格员的“五包一”包保责任制，压实疫情防控责任，精准防控，巩固联防联控成效，提升服务保障能力。二是科学谋划部署、强化排查管控。在我镇辖区内超限站和黑土坝两个交通卡口，镇、村干部24小时轮流值班，坚决贯彻落实“入川即检”“入广即检”防疫政策要求，严格执行“六查一扫一测一登记”。建立周边10余乡镇联防联控信息共享微信群，强化返乡人员报备及点对点落实管控措施。三是广泛宣传动员，强化群防群控。通过悬挂条幅、张贴标语和通告、车载喇叭等形式多样的宣传方式，提高全民对疫情的认识，通过网格化管理积极开展“敲门行动”挨家挨户上门摸排，进行“拉网式”“地毯式”全覆盖、无死角排查，确保全员核酸检测和风险人员排查不漏一户，不落一人。今年来，元山镇疫情防控财政投入15万元，社会捐助防疫物资5万余元，积极帮助解决群众生活物资保障、全员核酸服务、居家隔离管控等方面的急难愁盼问题100余件。</w:t>
      </w:r>
    </w:p>
    <w:p>
      <w:pPr>
        <w:pStyle w:val="4"/>
        <w:rPr>
          <w:rStyle w:val="32"/>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20"/>
      <w:bookmarkEnd w:id="21"/>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剑阁县元山镇人民政府下属二级单位0个，其中行政单位0个，参照公务员法管理的事业单位0个，其他事业单位0个。</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无纳入剑阁县元山镇人民政府2022年度部门决算编制范围的二级预算单位。</w:t>
      </w:r>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br w:type="page"/>
      </w:r>
    </w:p>
    <w:p>
      <w:pPr>
        <w:pStyle w:val="3"/>
        <w:ind w:right="440"/>
        <w:jc w:val="center"/>
        <w:rPr>
          <w:rStyle w:val="31"/>
          <w:rFonts w:ascii="黑体" w:hAnsi="黑体" w:eastAsia="黑体"/>
          <w:b w:val="0"/>
          <w:bCs/>
        </w:rPr>
      </w:pPr>
      <w:bookmarkStart w:id="22" w:name="_Toc15396602"/>
      <w:bookmarkStart w:id="23" w:name="_Toc15377204"/>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Style w:val="31"/>
          <w:rFonts w:hint="eastAsia" w:ascii="黑体" w:hAnsi="黑体" w:eastAsia="黑体"/>
          <w:b w:val="0"/>
          <w:bCs/>
        </w:rPr>
        <w:t>部门决算情况说明</w:t>
      </w:r>
      <w:bookmarkEnd w:id="22"/>
      <w:bookmarkEnd w:id="23"/>
    </w:p>
    <w:p/>
    <w:p>
      <w:pPr>
        <w:pStyle w:val="30"/>
        <w:numPr>
          <w:ilvl w:val="0"/>
          <w:numId w:val="1"/>
        </w:numPr>
        <w:spacing w:line="600" w:lineRule="exact"/>
        <w:ind w:firstLineChars="0"/>
        <w:outlineLvl w:val="1"/>
        <w:rPr>
          <w:rStyle w:val="32"/>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2022年度收、支总计1651.43万元。与2021年相比，收、支总计各减少55.43万元，下降3.25%。主要变动原因是人员退休调出，在编人数减少，机关人员及运行经费减少。</w:t>
      </w:r>
    </w:p>
    <w:p>
      <w:pPr>
        <w:pStyle w:val="2"/>
        <w:jc w:val="center"/>
      </w:pPr>
      <w:r>
        <w:drawing>
          <wp:inline distT="0" distB="0" distL="114300" distR="114300">
            <wp:extent cx="3724275" cy="3333750"/>
            <wp:effectExtent l="4445" t="5080" r="5080" b="1397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jc w:val="center"/>
      </w:pPr>
      <w:r>
        <w:rPr>
          <w:rFonts w:hint="eastAsia" w:ascii="仿宋" w:hAnsi="仿宋" w:eastAsia="仿宋" w:cs="仿宋"/>
          <w:color w:val="000000"/>
          <w:sz w:val="28"/>
          <w:szCs w:val="28"/>
        </w:rPr>
        <w:t>图</w:t>
      </w:r>
      <w:r>
        <w:rPr>
          <w:rFonts w:ascii="仿宋" w:hAnsi="仿宋" w:eastAsia="仿宋" w:cs="仿宋"/>
          <w:color w:val="000000"/>
          <w:sz w:val="28"/>
          <w:szCs w:val="28"/>
        </w:rPr>
        <w:t>1</w:t>
      </w:r>
      <w:r>
        <w:rPr>
          <w:rFonts w:hint="eastAsia" w:ascii="仿宋" w:hAnsi="仿宋" w:eastAsia="仿宋" w:cs="仿宋"/>
          <w:color w:val="000000"/>
          <w:sz w:val="28"/>
          <w:szCs w:val="28"/>
        </w:rPr>
        <w:t>：收</w:t>
      </w:r>
      <w:r>
        <w:rPr>
          <w:rFonts w:hint="eastAsia" w:ascii="仿宋" w:hAnsi="仿宋" w:eastAsia="仿宋" w:cs="仿宋"/>
          <w:color w:val="000000"/>
          <w:sz w:val="28"/>
          <w:szCs w:val="28"/>
          <w:lang w:eastAsia="zh-CN"/>
        </w:rPr>
        <w:t>、支</w:t>
      </w:r>
      <w:r>
        <w:rPr>
          <w:rFonts w:hint="eastAsia" w:ascii="仿宋" w:hAnsi="仿宋" w:eastAsia="仿宋" w:cs="仿宋"/>
          <w:color w:val="000000"/>
          <w:sz w:val="28"/>
          <w:szCs w:val="28"/>
        </w:rPr>
        <w:t>决算总计变动情况图</w:t>
      </w:r>
    </w:p>
    <w:p>
      <w:pPr>
        <w:pStyle w:val="30"/>
        <w:numPr>
          <w:ilvl w:val="0"/>
          <w:numId w:val="1"/>
        </w:numPr>
        <w:spacing w:line="600" w:lineRule="exact"/>
        <w:ind w:firstLineChars="0"/>
        <w:outlineLvl w:val="1"/>
        <w:rPr>
          <w:rStyle w:val="32"/>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1651.43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1651.43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3"/>
        <w:ind w:left="0" w:leftChars="0" w:firstLine="0" w:firstLineChars="0"/>
        <w:jc w:val="center"/>
      </w:pPr>
      <w:r>
        <w:drawing>
          <wp:inline distT="0" distB="0" distL="114300" distR="114300">
            <wp:extent cx="4762500" cy="2743200"/>
            <wp:effectExtent l="4445" t="4445" r="14605" b="1460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hint="eastAsia" w:ascii="仿宋_GB2312" w:eastAsia="仿宋_GB2312"/>
          <w:color w:val="FF0000"/>
          <w:sz w:val="32"/>
          <w:szCs w:val="32"/>
          <w:lang w:eastAsia="zh-CN"/>
        </w:rPr>
      </w:pPr>
      <w:r>
        <w:rPr>
          <w:rFonts w:hint="eastAsia" w:ascii="仿宋" w:hAnsi="仿宋" w:eastAsia="仿宋" w:cs="仿宋"/>
          <w:color w:val="000000"/>
          <w:sz w:val="28"/>
          <w:szCs w:val="28"/>
        </w:rPr>
        <w:t>图</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：收入决算结构图</w:t>
      </w:r>
    </w:p>
    <w:p>
      <w:pPr>
        <w:pStyle w:val="6"/>
      </w:pPr>
    </w:p>
    <w:p>
      <w:pPr>
        <w:pStyle w:val="30"/>
        <w:numPr>
          <w:ilvl w:val="0"/>
          <w:numId w:val="1"/>
        </w:numPr>
        <w:spacing w:line="600" w:lineRule="exact"/>
        <w:ind w:firstLineChars="0"/>
        <w:outlineLvl w:val="1"/>
        <w:rPr>
          <w:rStyle w:val="32"/>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val="en-US" w:eastAsia="zh-CN"/>
        </w:rPr>
        <w:t>1651.43</w:t>
      </w:r>
      <w:r>
        <w:rPr>
          <w:rFonts w:hint="eastAsia" w:ascii="仿宋" w:hAnsi="仿宋" w:eastAsia="仿宋"/>
          <w:sz w:val="32"/>
          <w:szCs w:val="32"/>
        </w:rPr>
        <w:t>万元，其中：基本支出</w:t>
      </w:r>
      <w:r>
        <w:rPr>
          <w:rFonts w:hint="eastAsia" w:ascii="仿宋" w:hAnsi="仿宋" w:eastAsia="仿宋"/>
          <w:sz w:val="32"/>
          <w:szCs w:val="32"/>
          <w:lang w:val="en-US" w:eastAsia="zh-CN"/>
        </w:rPr>
        <w:t>1127.79</w:t>
      </w:r>
      <w:r>
        <w:rPr>
          <w:rFonts w:hint="eastAsia" w:ascii="仿宋" w:hAnsi="仿宋" w:eastAsia="仿宋"/>
          <w:sz w:val="32"/>
          <w:szCs w:val="32"/>
        </w:rPr>
        <w:t>万元，占</w:t>
      </w:r>
      <w:r>
        <w:rPr>
          <w:rFonts w:hint="eastAsia" w:ascii="仿宋" w:hAnsi="仿宋" w:eastAsia="仿宋"/>
          <w:sz w:val="32"/>
          <w:szCs w:val="32"/>
          <w:lang w:val="en-US" w:eastAsia="zh-CN"/>
        </w:rPr>
        <w:t>68.29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523.65</w:t>
      </w:r>
      <w:r>
        <w:rPr>
          <w:rFonts w:hint="eastAsia" w:ascii="仿宋" w:hAnsi="仿宋" w:eastAsia="仿宋"/>
          <w:sz w:val="32"/>
          <w:szCs w:val="32"/>
        </w:rPr>
        <w:t>万元，占</w:t>
      </w:r>
      <w:r>
        <w:rPr>
          <w:rFonts w:hint="eastAsia" w:ascii="仿宋" w:hAnsi="仿宋" w:eastAsia="仿宋"/>
          <w:sz w:val="32"/>
          <w:szCs w:val="32"/>
          <w:lang w:val="en-US" w:eastAsia="zh-CN"/>
        </w:rPr>
        <w:t>31.71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3"/>
        <w:ind w:left="0" w:leftChars="0" w:firstLine="0" w:firstLineChars="0"/>
      </w:pPr>
      <w:r>
        <w:drawing>
          <wp:inline distT="0" distB="0" distL="114300" distR="114300">
            <wp:extent cx="5269865" cy="2691130"/>
            <wp:effectExtent l="4445" t="4445" r="21590" b="952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pPr>
      <w:r>
        <w:rPr>
          <w:rFonts w:hint="eastAsia" w:ascii="仿宋" w:hAnsi="仿宋" w:eastAsia="仿宋" w:cs="仿宋"/>
          <w:color w:val="000000"/>
          <w:sz w:val="28"/>
          <w:szCs w:val="28"/>
        </w:rPr>
        <w:t>图</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支出</w:t>
      </w:r>
      <w:r>
        <w:rPr>
          <w:rFonts w:hint="eastAsia" w:ascii="仿宋" w:hAnsi="仿宋" w:eastAsia="仿宋" w:cs="仿宋"/>
          <w:color w:val="000000"/>
          <w:sz w:val="28"/>
          <w:szCs w:val="28"/>
        </w:rPr>
        <w:t>决算结构图</w:t>
      </w:r>
    </w:p>
    <w:p>
      <w:pPr>
        <w:spacing w:line="600" w:lineRule="exact"/>
        <w:ind w:firstLine="640" w:firstLineChars="200"/>
        <w:outlineLvl w:val="1"/>
        <w:rPr>
          <w:rStyle w:val="32"/>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rPr>
          <w:rFonts w:hint="default" w:ascii="仿宋" w:hAnsi="仿宋" w:eastAsia="仿宋"/>
          <w:b/>
          <w:sz w:val="32"/>
          <w:szCs w:val="32"/>
          <w:lang w:val="en-US" w:eastAsia="zh-CN"/>
        </w:rPr>
      </w:pPr>
      <w:r>
        <w:drawing>
          <wp:anchor distT="0" distB="0" distL="114300" distR="114300" simplePos="0" relativeHeight="251659264" behindDoc="1" locked="0" layoutInCell="1" allowOverlap="1">
            <wp:simplePos x="0" y="0"/>
            <wp:positionH relativeFrom="column">
              <wp:posOffset>506730</wp:posOffset>
            </wp:positionH>
            <wp:positionV relativeFrom="paragraph">
              <wp:posOffset>1504315</wp:posOffset>
            </wp:positionV>
            <wp:extent cx="4297680" cy="2947035"/>
            <wp:effectExtent l="4445" t="5080" r="22225" b="19685"/>
            <wp:wrapNone/>
            <wp:docPr id="10" name="图片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val="en-US" w:eastAsia="zh-CN"/>
        </w:rPr>
        <w:t>1651.43</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年相比，收、支总计各</w:t>
      </w:r>
      <w:r>
        <w:rPr>
          <w:rFonts w:hint="eastAsia" w:ascii="仿宋" w:hAnsi="仿宋" w:eastAsia="仿宋" w:cs="Times New Roman"/>
          <w:sz w:val="32"/>
          <w:szCs w:val="32"/>
          <w:lang w:val="en-US" w:eastAsia="zh-CN"/>
        </w:rPr>
        <w:t>减少55.43</w:t>
      </w:r>
      <w:r>
        <w:rPr>
          <w:rFonts w:hint="eastAsia" w:ascii="仿宋" w:hAnsi="仿宋" w:eastAsia="仿宋" w:cs="Times New Roman"/>
          <w:sz w:val="32"/>
          <w:szCs w:val="32"/>
        </w:rPr>
        <w:t>万元，</w:t>
      </w:r>
      <w:r>
        <w:rPr>
          <w:rFonts w:hint="eastAsia" w:ascii="仿宋" w:hAnsi="仿宋" w:eastAsia="仿宋" w:cs="Times New Roman"/>
          <w:sz w:val="32"/>
          <w:szCs w:val="32"/>
          <w:lang w:val="en-US" w:eastAsia="zh-CN"/>
        </w:rPr>
        <w:t>下降3.25</w:t>
      </w:r>
      <w:r>
        <w:rPr>
          <w:rFonts w:hint="eastAsia" w:ascii="仿宋" w:hAnsi="仿宋" w:eastAsia="仿宋" w:cs="Times New Roman"/>
          <w:sz w:val="32"/>
          <w:szCs w:val="32"/>
        </w:rPr>
        <w:t>%。主要变动原因是</w:t>
      </w:r>
      <w:r>
        <w:rPr>
          <w:rFonts w:hint="eastAsia" w:ascii="仿宋" w:hAnsi="仿宋" w:eastAsia="仿宋" w:cs="Times New Roman"/>
          <w:bCs/>
          <w:kern w:val="0"/>
          <w:sz w:val="32"/>
          <w:szCs w:val="32"/>
          <w:lang w:val="en-US" w:eastAsia="zh-CN" w:bidi="ar-SA"/>
        </w:rPr>
        <w:t>人员退休调出，在编人数减少，机关人员及运行经费减少</w:t>
      </w:r>
      <w:r>
        <w:rPr>
          <w:rFonts w:hint="eastAsia" w:ascii="仿宋" w:hAnsi="仿宋" w:eastAsia="仿宋" w:cs="Times New Roman"/>
          <w:sz w:val="32"/>
          <w:szCs w:val="32"/>
          <w:lang w:val="en-US" w:eastAsia="zh-CN"/>
        </w:rPr>
        <w:t>。</w:t>
      </w:r>
    </w:p>
    <w:p>
      <w:pPr>
        <w:spacing w:line="600" w:lineRule="exact"/>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p>
    <w:p>
      <w:pPr>
        <w:spacing w:line="600" w:lineRule="exact"/>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p>
    <w:p>
      <w:pPr>
        <w:pStyle w:val="13"/>
        <w:jc w:val="both"/>
      </w:pPr>
    </w:p>
    <w:p>
      <w:pPr>
        <w:spacing w:line="600" w:lineRule="exact"/>
        <w:rPr>
          <w:rFonts w:ascii="仿宋" w:hAnsi="仿宋" w:eastAsia="仿宋"/>
          <w:b/>
          <w:sz w:val="32"/>
          <w:szCs w:val="32"/>
        </w:rPr>
      </w:pPr>
    </w:p>
    <w:p>
      <w:pPr>
        <w:spacing w:line="600" w:lineRule="exact"/>
        <w:rPr>
          <w:rFonts w:ascii="仿宋" w:hAnsi="仿宋" w:eastAsia="仿宋"/>
          <w:b/>
          <w:sz w:val="32"/>
          <w:szCs w:val="32"/>
        </w:rPr>
      </w:pPr>
    </w:p>
    <w:p>
      <w:pPr>
        <w:spacing w:line="600" w:lineRule="exact"/>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p>
    <w:p>
      <w:pPr>
        <w:spacing w:line="600" w:lineRule="exact"/>
        <w:rPr>
          <w:rFonts w:ascii="仿宋" w:hAnsi="仿宋" w:eastAsia="仿宋"/>
          <w:b/>
          <w:sz w:val="32"/>
          <w:szCs w:val="32"/>
        </w:rPr>
      </w:pPr>
    </w:p>
    <w:p>
      <w:pPr>
        <w:spacing w:line="600" w:lineRule="exact"/>
        <w:rPr>
          <w:rFonts w:ascii="仿宋" w:hAnsi="仿宋" w:eastAsia="仿宋"/>
          <w:b/>
          <w:sz w:val="32"/>
          <w:szCs w:val="32"/>
        </w:rPr>
      </w:pPr>
    </w:p>
    <w:p>
      <w:pPr>
        <w:spacing w:line="600" w:lineRule="exact"/>
        <w:jc w:val="center"/>
      </w:pPr>
      <w:r>
        <w:rPr>
          <w:rFonts w:hint="eastAsia" w:ascii="仿宋" w:hAnsi="仿宋" w:eastAsia="仿宋" w:cs="仿宋"/>
          <w:color w:val="000000"/>
          <w:sz w:val="28"/>
          <w:szCs w:val="28"/>
          <w:lang w:eastAsia="zh-CN"/>
        </w:rPr>
        <w:t>图4：财政拨款收、支决算总计变动情况</w:t>
      </w:r>
    </w:p>
    <w:p>
      <w:pPr>
        <w:spacing w:line="600" w:lineRule="exact"/>
        <w:ind w:firstLine="640" w:firstLineChars="200"/>
        <w:outlineLvl w:val="1"/>
        <w:rPr>
          <w:rStyle w:val="32"/>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rPr>
          <w:rFonts w:hint="eastAsia" w:ascii="仿宋" w:hAnsi="仿宋" w:eastAsia="仿宋" w:cs="Times New Roman"/>
          <w:sz w:val="32"/>
          <w:szCs w:val="32"/>
          <w:lang w:val="en-US"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1651.43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val="en-US" w:eastAsia="zh-CN"/>
        </w:rPr>
        <w:t>减少</w:t>
      </w:r>
      <w:r>
        <w:rPr>
          <w:rFonts w:hint="eastAsia" w:ascii="仿宋" w:hAnsi="仿宋" w:eastAsia="仿宋" w:cs="Times New Roman"/>
          <w:sz w:val="32"/>
          <w:szCs w:val="32"/>
          <w:lang w:val="en-US" w:eastAsia="zh-CN"/>
        </w:rPr>
        <w:t>25.43</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cs="Times New Roman"/>
          <w:sz w:val="32"/>
          <w:szCs w:val="32"/>
          <w:lang w:val="en-US" w:eastAsia="zh-CN"/>
        </w:rPr>
        <w:t>1.52</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cs="Times New Roman"/>
          <w:sz w:val="32"/>
          <w:szCs w:val="32"/>
        </w:rPr>
        <w:t>是</w:t>
      </w:r>
      <w:r>
        <w:rPr>
          <w:rFonts w:hint="eastAsia" w:ascii="仿宋" w:hAnsi="仿宋" w:eastAsia="仿宋" w:cs="Times New Roman"/>
          <w:bCs/>
          <w:kern w:val="0"/>
          <w:sz w:val="32"/>
          <w:szCs w:val="32"/>
          <w:lang w:val="en-US" w:eastAsia="zh-CN" w:bidi="ar-SA"/>
        </w:rPr>
        <w:t>人员退休调出，在编人数减少，机关人员及运行经费减少</w:t>
      </w:r>
      <w:r>
        <w:rPr>
          <w:rFonts w:hint="eastAsia" w:ascii="仿宋" w:hAnsi="仿宋" w:eastAsia="仿宋" w:cs="Times New Roman"/>
          <w:sz w:val="32"/>
          <w:szCs w:val="32"/>
          <w:lang w:val="en-US" w:eastAsia="zh-CN"/>
        </w:rPr>
        <w:t>。</w:t>
      </w:r>
    </w:p>
    <w:p>
      <w:pPr>
        <w:pStyle w:val="13"/>
        <w:rPr>
          <w:rFonts w:hint="eastAsia" w:ascii="仿宋" w:hAnsi="仿宋" w:eastAsia="仿宋" w:cs="Times New Roman"/>
          <w:sz w:val="32"/>
          <w:szCs w:val="32"/>
          <w:lang w:val="en-US" w:eastAsia="zh-CN"/>
        </w:rPr>
      </w:pPr>
    </w:p>
    <w:p>
      <w:pPr>
        <w:pStyle w:val="6"/>
      </w:pPr>
    </w:p>
    <w:p>
      <w:pPr>
        <w:spacing w:line="600" w:lineRule="exact"/>
        <w:rPr>
          <w:rFonts w:hint="eastAsia" w:ascii="仿宋" w:hAnsi="仿宋" w:eastAsia="仿宋"/>
          <w:sz w:val="32"/>
          <w:szCs w:val="32"/>
          <w:lang w:eastAsia="zh-CN"/>
        </w:rPr>
      </w:pPr>
      <w:r>
        <w:drawing>
          <wp:anchor distT="0" distB="0" distL="114300" distR="114300" simplePos="0" relativeHeight="251660288" behindDoc="0" locked="0" layoutInCell="1" allowOverlap="1">
            <wp:simplePos x="0" y="0"/>
            <wp:positionH relativeFrom="column">
              <wp:posOffset>279400</wp:posOffset>
            </wp:positionH>
            <wp:positionV relativeFrom="paragraph">
              <wp:posOffset>187325</wp:posOffset>
            </wp:positionV>
            <wp:extent cx="4686300" cy="3333750"/>
            <wp:effectExtent l="4445" t="5080" r="14605" b="13970"/>
            <wp:wrapNone/>
            <wp:docPr id="11" name="图片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2"/>
        <w:rPr>
          <w:rFonts w:hint="eastAsia" w:ascii="仿宋" w:hAnsi="仿宋" w:eastAsia="仿宋"/>
          <w:b/>
          <w:sz w:val="32"/>
          <w:szCs w:val="32"/>
        </w:rPr>
      </w:pPr>
      <w:bookmarkStart w:id="35" w:name="_Toc15377211"/>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ind w:firstLine="640" w:firstLineChars="200"/>
        <w:outlineLvl w:val="2"/>
        <w:rPr>
          <w:rFonts w:hint="eastAsia" w:ascii="仿宋" w:hAnsi="仿宋" w:eastAsia="仿宋"/>
          <w:b/>
          <w:sz w:val="32"/>
          <w:szCs w:val="32"/>
        </w:rPr>
      </w:pPr>
    </w:p>
    <w:p>
      <w:pPr>
        <w:spacing w:line="600" w:lineRule="exact"/>
        <w:jc w:val="center"/>
        <w:outlineLvl w:val="2"/>
        <w:rPr>
          <w:rFonts w:hint="eastAsia" w:ascii="仿宋" w:hAnsi="仿宋" w:eastAsia="仿宋"/>
          <w:b/>
          <w:sz w:val="32"/>
          <w:szCs w:val="32"/>
        </w:rPr>
      </w:pPr>
      <w:r>
        <w:rPr>
          <w:rFonts w:hint="eastAsia" w:ascii="仿宋" w:hAnsi="仿宋" w:eastAsia="仿宋" w:cs="仿宋"/>
          <w:color w:val="000000"/>
          <w:sz w:val="28"/>
          <w:szCs w:val="28"/>
          <w:lang w:eastAsia="zh-CN"/>
        </w:rPr>
        <w:t>图5：一般公共预算财政拨款支出决算变动情况</w:t>
      </w:r>
    </w:p>
    <w:p>
      <w:pPr>
        <w:spacing w:line="600" w:lineRule="exact"/>
        <w:ind w:firstLine="640"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3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1651.43</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w:t>
      </w:r>
      <w:r>
        <w:rPr>
          <w:rFonts w:hint="eastAsia" w:ascii="仿宋" w:hAnsi="仿宋" w:eastAsia="仿宋"/>
          <w:b/>
          <w:bCs w:val="0"/>
          <w:sz w:val="32"/>
          <w:szCs w:val="32"/>
        </w:rPr>
        <w:t>务支出</w:t>
      </w:r>
      <w:r>
        <w:rPr>
          <w:rFonts w:hint="eastAsia" w:ascii="仿宋" w:hAnsi="仿宋" w:eastAsia="仿宋"/>
          <w:sz w:val="32"/>
          <w:szCs w:val="32"/>
          <w:lang w:val="en-US" w:eastAsia="zh-CN"/>
        </w:rPr>
        <w:t>544.66</w:t>
      </w:r>
      <w:r>
        <w:rPr>
          <w:rFonts w:hint="eastAsia" w:ascii="仿宋" w:hAnsi="仿宋" w:eastAsia="仿宋"/>
          <w:sz w:val="32"/>
          <w:szCs w:val="32"/>
        </w:rPr>
        <w:t>万元，占</w:t>
      </w:r>
      <w:r>
        <w:rPr>
          <w:rFonts w:hint="eastAsia" w:ascii="仿宋" w:hAnsi="仿宋" w:eastAsia="仿宋"/>
          <w:sz w:val="32"/>
          <w:szCs w:val="32"/>
          <w:lang w:val="en-US" w:eastAsia="zh-CN"/>
        </w:rPr>
        <w:t>32.98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val="0"/>
          <w:bCs w:val="0"/>
          <w:sz w:val="32"/>
          <w:szCs w:val="32"/>
          <w:lang w:val="en-US" w:eastAsia="zh-CN"/>
        </w:rPr>
        <w:t>57.51</w:t>
      </w:r>
      <w:r>
        <w:rPr>
          <w:rFonts w:hint="eastAsia" w:ascii="仿宋" w:hAnsi="仿宋" w:eastAsia="仿宋"/>
          <w:b w:val="0"/>
          <w:bCs w:val="0"/>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3.48</w:t>
      </w:r>
      <w:r>
        <w:rPr>
          <w:rFonts w:hint="eastAsia" w:ascii="仿宋" w:hAnsi="仿宋" w:eastAsia="仿宋" w:cs="Times New Roman"/>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233.18</w:t>
      </w:r>
      <w:r>
        <w:rPr>
          <w:rFonts w:hint="eastAsia" w:ascii="仿宋" w:hAnsi="仿宋" w:eastAsia="仿宋"/>
          <w:sz w:val="32"/>
          <w:szCs w:val="32"/>
        </w:rPr>
        <w:t>万元，占</w:t>
      </w:r>
      <w:r>
        <w:rPr>
          <w:rFonts w:hint="eastAsia" w:ascii="仿宋" w:hAnsi="仿宋" w:eastAsia="仿宋"/>
          <w:sz w:val="32"/>
          <w:szCs w:val="32"/>
          <w:lang w:val="en-US" w:eastAsia="zh-CN"/>
        </w:rPr>
        <w:t>14.12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39.84</w:t>
      </w:r>
      <w:r>
        <w:rPr>
          <w:rFonts w:hint="eastAsia" w:ascii="仿宋" w:hAnsi="仿宋" w:eastAsia="仿宋"/>
          <w:sz w:val="32"/>
          <w:szCs w:val="32"/>
        </w:rPr>
        <w:t>万元，占</w:t>
      </w:r>
      <w:r>
        <w:rPr>
          <w:rFonts w:hint="eastAsia" w:ascii="仿宋" w:hAnsi="仿宋" w:eastAsia="仿宋"/>
          <w:sz w:val="32"/>
          <w:szCs w:val="32"/>
          <w:lang w:val="en-US" w:eastAsia="zh-CN"/>
        </w:rPr>
        <w:t>2.41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节能环保支出</w:t>
      </w:r>
      <w:r>
        <w:rPr>
          <w:rFonts w:hint="eastAsia" w:ascii="仿宋" w:hAnsi="仿宋" w:eastAsia="仿宋"/>
          <w:b w:val="0"/>
          <w:bCs w:val="0"/>
          <w:sz w:val="32"/>
          <w:szCs w:val="32"/>
          <w:lang w:val="en-US" w:eastAsia="zh-CN"/>
        </w:rPr>
        <w:t>220.00万元，占13.32%；</w:t>
      </w:r>
      <w:r>
        <w:rPr>
          <w:rFonts w:hint="eastAsia" w:ascii="仿宋" w:hAnsi="仿宋" w:eastAsia="仿宋" w:cs="Times New Roman"/>
          <w:b/>
          <w:sz w:val="32"/>
          <w:szCs w:val="32"/>
        </w:rPr>
        <w:t>城乡社区</w:t>
      </w:r>
      <w:r>
        <w:rPr>
          <w:rFonts w:hint="eastAsia" w:ascii="仿宋" w:hAnsi="仿宋" w:eastAsia="仿宋"/>
          <w:b/>
          <w:bCs/>
          <w:sz w:val="32"/>
          <w:szCs w:val="32"/>
        </w:rPr>
        <w:t>支出</w:t>
      </w:r>
      <w:r>
        <w:rPr>
          <w:rFonts w:hint="eastAsia" w:ascii="仿宋" w:hAnsi="仿宋" w:eastAsia="仿宋"/>
          <w:sz w:val="32"/>
          <w:szCs w:val="32"/>
          <w:lang w:val="en-US" w:eastAsia="zh-CN"/>
        </w:rPr>
        <w:t>8.8</w:t>
      </w:r>
      <w:r>
        <w:rPr>
          <w:rFonts w:hint="eastAsia" w:ascii="仿宋" w:hAnsi="仿宋" w:eastAsia="仿宋"/>
          <w:b w:val="0"/>
          <w:bCs w:val="0"/>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0.53</w:t>
      </w:r>
      <w:r>
        <w:rPr>
          <w:rFonts w:hint="eastAsia" w:ascii="仿宋" w:hAnsi="仿宋" w:eastAsia="仿宋" w:cs="Times New Roman"/>
          <w:sz w:val="32"/>
          <w:szCs w:val="32"/>
        </w:rPr>
        <w:t>%</w:t>
      </w:r>
      <w:r>
        <w:rPr>
          <w:rFonts w:hint="eastAsia" w:ascii="仿宋" w:hAnsi="仿宋" w:eastAsia="仿宋"/>
          <w:sz w:val="32"/>
          <w:szCs w:val="32"/>
        </w:rPr>
        <w:t>；</w:t>
      </w:r>
      <w:r>
        <w:rPr>
          <w:rFonts w:hint="eastAsia" w:ascii="仿宋" w:hAnsi="仿宋" w:eastAsia="仿宋" w:cs="Times New Roman"/>
          <w:b/>
          <w:sz w:val="32"/>
          <w:szCs w:val="32"/>
        </w:rPr>
        <w:t>农林水</w:t>
      </w:r>
      <w:r>
        <w:rPr>
          <w:rFonts w:hint="eastAsia" w:ascii="仿宋" w:hAnsi="仿宋" w:eastAsia="仿宋"/>
          <w:b/>
          <w:bCs/>
          <w:sz w:val="32"/>
          <w:szCs w:val="32"/>
        </w:rPr>
        <w:t>支出</w:t>
      </w:r>
      <w:r>
        <w:rPr>
          <w:rFonts w:hint="eastAsia" w:ascii="仿宋" w:hAnsi="仿宋" w:eastAsia="仿宋"/>
          <w:sz w:val="32"/>
          <w:szCs w:val="32"/>
          <w:lang w:val="en-US" w:eastAsia="zh-CN"/>
        </w:rPr>
        <w:t>487.49</w:t>
      </w:r>
      <w:r>
        <w:rPr>
          <w:rFonts w:hint="eastAsia" w:ascii="仿宋" w:hAnsi="仿宋" w:eastAsia="仿宋"/>
          <w:b w:val="0"/>
          <w:bCs w:val="0"/>
          <w:sz w:val="32"/>
          <w:szCs w:val="32"/>
        </w:rPr>
        <w:t>万元</w:t>
      </w:r>
      <w:r>
        <w:rPr>
          <w:rFonts w:hint="eastAsia" w:ascii="仿宋" w:hAnsi="仿宋" w:eastAsia="仿宋"/>
          <w:b/>
          <w:bCs/>
          <w:sz w:val="32"/>
          <w:szCs w:val="32"/>
        </w:rPr>
        <w:t>，</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29.52</w:t>
      </w:r>
      <w:r>
        <w:rPr>
          <w:rFonts w:hint="eastAsia" w:ascii="仿宋" w:hAnsi="仿宋" w:eastAsia="仿宋" w:cs="Times New Roman"/>
          <w:sz w:val="32"/>
          <w:szCs w:val="32"/>
        </w:rPr>
        <w:t>%</w:t>
      </w:r>
      <w:r>
        <w:rPr>
          <w:rFonts w:hint="eastAsia" w:ascii="仿宋" w:hAnsi="仿宋" w:eastAsia="仿宋"/>
          <w:sz w:val="32"/>
          <w:szCs w:val="32"/>
        </w:rPr>
        <w:t>；</w:t>
      </w:r>
      <w:r>
        <w:rPr>
          <w:rFonts w:hint="eastAsia" w:ascii="仿宋" w:hAnsi="仿宋" w:eastAsia="仿宋" w:cs="Times New Roman"/>
          <w:b/>
          <w:sz w:val="32"/>
          <w:szCs w:val="32"/>
        </w:rPr>
        <w:t>住房保障</w:t>
      </w:r>
      <w:r>
        <w:rPr>
          <w:rFonts w:hint="eastAsia" w:ascii="仿宋" w:hAnsi="仿宋" w:eastAsia="仿宋" w:cs="Times New Roman"/>
          <w:b/>
          <w:bCs/>
          <w:sz w:val="32"/>
          <w:szCs w:val="32"/>
        </w:rPr>
        <w:t>支出</w:t>
      </w:r>
      <w:r>
        <w:rPr>
          <w:rFonts w:hint="eastAsia" w:ascii="仿宋" w:hAnsi="仿宋" w:eastAsia="仿宋"/>
          <w:sz w:val="32"/>
          <w:szCs w:val="32"/>
          <w:lang w:val="en-US" w:eastAsia="zh-CN"/>
        </w:rPr>
        <w:t>59.75</w:t>
      </w:r>
      <w:r>
        <w:rPr>
          <w:rFonts w:hint="eastAsia" w:ascii="仿宋" w:hAnsi="仿宋" w:eastAsia="仿宋"/>
          <w:sz w:val="32"/>
          <w:szCs w:val="32"/>
        </w:rPr>
        <w:t>万元，占</w:t>
      </w:r>
      <w:r>
        <w:rPr>
          <w:rFonts w:hint="eastAsia" w:ascii="仿宋" w:hAnsi="仿宋" w:eastAsia="仿宋"/>
          <w:sz w:val="32"/>
          <w:szCs w:val="32"/>
          <w:lang w:val="en-US" w:eastAsia="zh-CN"/>
        </w:rPr>
        <w:t>3.62</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cs="Times New Roman"/>
          <w:b/>
          <w:sz w:val="32"/>
          <w:szCs w:val="32"/>
        </w:rPr>
        <w:t>灾害防治及应急管理支出</w:t>
      </w:r>
      <w:r>
        <w:rPr>
          <w:rFonts w:hint="eastAsia" w:ascii="仿宋" w:hAnsi="仿宋" w:eastAsia="仿宋"/>
          <w:sz w:val="32"/>
          <w:szCs w:val="32"/>
          <w:lang w:val="en-US" w:eastAsia="zh-CN"/>
        </w:rPr>
        <w:t>0.2</w:t>
      </w:r>
      <w:r>
        <w:rPr>
          <w:rFonts w:hint="eastAsia" w:ascii="仿宋" w:hAnsi="仿宋" w:eastAsia="仿宋"/>
          <w:b w:val="0"/>
          <w:bCs w:val="0"/>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0.01</w:t>
      </w:r>
      <w:r>
        <w:rPr>
          <w:rFonts w:hint="eastAsia" w:ascii="仿宋" w:hAnsi="仿宋" w:eastAsia="仿宋" w:cs="Times New Roman"/>
          <w:sz w:val="32"/>
          <w:szCs w:val="32"/>
        </w:rPr>
        <w:t>%</w:t>
      </w:r>
      <w:r>
        <w:rPr>
          <w:rFonts w:hint="eastAsia" w:ascii="仿宋" w:hAnsi="仿宋" w:eastAsia="仿宋"/>
          <w:sz w:val="32"/>
          <w:szCs w:val="32"/>
        </w:rPr>
        <w:t>。</w:t>
      </w:r>
    </w:p>
    <w:p>
      <w:pPr>
        <w:pStyle w:val="13"/>
        <w:ind w:left="0" w:leftChars="0" w:firstLine="0" w:firstLineChars="0"/>
      </w:pPr>
      <w:r>
        <w:drawing>
          <wp:inline distT="0" distB="0" distL="114300" distR="114300">
            <wp:extent cx="5269865" cy="3270250"/>
            <wp:effectExtent l="4445" t="4445" r="21590" b="2095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sz w:val="32"/>
          <w:szCs w:val="32"/>
        </w:rPr>
      </w:pPr>
      <w:r>
        <w:rPr>
          <w:rFonts w:hint="eastAsia" w:ascii="仿宋" w:hAnsi="仿宋" w:eastAsia="仿宋" w:cs="仿宋"/>
          <w:color w:val="000000"/>
          <w:sz w:val="28"/>
          <w:szCs w:val="28"/>
          <w:lang w:eastAsia="zh-CN"/>
        </w:rPr>
        <w:t>图6：一般公共预算财政拨款支出决算结构</w:t>
      </w:r>
    </w:p>
    <w:p>
      <w:pPr>
        <w:spacing w:line="600" w:lineRule="exact"/>
        <w:ind w:firstLine="640"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0"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sz w:val="32"/>
          <w:szCs w:val="32"/>
          <w:lang w:val="en-US" w:eastAsia="zh-CN"/>
        </w:rPr>
        <w:t>1651.43万元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pPr>
      <w:r>
        <w:rPr>
          <w:rStyle w:val="20"/>
          <w:rFonts w:hint="eastAsia" w:ascii="仿宋" w:hAnsi="仿宋" w:eastAsia="仿宋"/>
          <w:bCs/>
          <w:sz w:val="32"/>
          <w:szCs w:val="32"/>
          <w:lang w:val="en-US" w:eastAsia="zh-CN"/>
        </w:rPr>
        <w:t>1</w:t>
      </w:r>
      <w:r>
        <w:rPr>
          <w:rStyle w:val="20"/>
          <w:rFonts w:ascii="仿宋" w:hAnsi="仿宋" w:eastAsia="仿宋"/>
          <w:bCs/>
          <w:sz w:val="32"/>
          <w:szCs w:val="32"/>
        </w:rPr>
        <w:t>.</w:t>
      </w:r>
      <w:r>
        <w:rPr>
          <w:rStyle w:val="20"/>
          <w:rFonts w:hint="eastAsia" w:ascii="仿宋" w:hAnsi="仿宋" w:eastAsia="仿宋"/>
          <w:bCs/>
          <w:sz w:val="32"/>
          <w:szCs w:val="32"/>
        </w:rPr>
        <w:t>一般公共服务（类）人大事务（款）</w:t>
      </w:r>
      <w:r>
        <w:rPr>
          <w:rStyle w:val="20"/>
          <w:rFonts w:hint="eastAsia" w:ascii="仿宋" w:hAnsi="仿宋" w:eastAsia="仿宋"/>
          <w:bCs/>
          <w:sz w:val="32"/>
          <w:szCs w:val="32"/>
          <w:lang w:val="en-US" w:eastAsia="zh-CN"/>
        </w:rPr>
        <w:t>代表工作</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1.86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一般公共服务（类）政府办公厅（室）及相关机构事务（款）行政运行（项）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517.91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一般公共服务（类）政府办公厅（室）及相关机构事务（款）一般行政管理事务（项）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11.42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一般公共服务（类）政府办公厅（室）及相关机构事务（款）事业运行（项）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10.8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w:t>
      </w:r>
      <w:r>
        <w:rPr>
          <w:rStyle w:val="20"/>
          <w:rFonts w:hint="eastAsia" w:ascii="仿宋" w:hAnsi="仿宋" w:eastAsia="仿宋"/>
          <w:bCs/>
          <w:sz w:val="32"/>
          <w:szCs w:val="32"/>
          <w:lang w:val="en-US" w:eastAsia="zh-CN"/>
        </w:rPr>
        <w:t>统计信息事务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其他统计信息事务支出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w:t>
      </w:r>
      <w:r>
        <w:rPr>
          <w:rStyle w:val="20"/>
          <w:rFonts w:hint="eastAsia" w:ascii="仿宋" w:hAnsi="仿宋" w:eastAsia="仿宋"/>
          <w:bCs/>
          <w:sz w:val="32"/>
          <w:szCs w:val="32"/>
          <w:lang w:val="en-US" w:eastAsia="zh-CN"/>
        </w:rPr>
        <w:t>党委办公厅（室）及相关机构事务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一般行政管理事务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w:t>
      </w:r>
      <w:r>
        <w:rPr>
          <w:rStyle w:val="20"/>
          <w:rFonts w:hint="eastAsia" w:ascii="仿宋" w:hAnsi="仿宋" w:eastAsia="仿宋"/>
          <w:bCs/>
          <w:sz w:val="32"/>
          <w:szCs w:val="32"/>
          <w:lang w:val="en-US" w:eastAsia="zh-CN"/>
        </w:rPr>
        <w:t>宣传</w:t>
      </w:r>
      <w:r>
        <w:rPr>
          <w:rStyle w:val="20"/>
          <w:rFonts w:hint="eastAsia" w:ascii="仿宋" w:hAnsi="仿宋" w:eastAsia="仿宋"/>
          <w:bCs/>
          <w:sz w:val="32"/>
          <w:szCs w:val="32"/>
        </w:rPr>
        <w:t>事务（款）其他</w:t>
      </w:r>
      <w:r>
        <w:rPr>
          <w:rStyle w:val="20"/>
          <w:rFonts w:hint="eastAsia" w:ascii="仿宋" w:hAnsi="仿宋" w:eastAsia="仿宋"/>
          <w:bCs/>
          <w:sz w:val="32"/>
          <w:szCs w:val="32"/>
          <w:lang w:val="en-US" w:eastAsia="zh-CN"/>
        </w:rPr>
        <w:t>宣传</w:t>
      </w:r>
      <w:r>
        <w:rPr>
          <w:rStyle w:val="20"/>
          <w:rFonts w:hint="eastAsia" w:ascii="仿宋" w:hAnsi="仿宋" w:eastAsia="仿宋"/>
          <w:bCs/>
          <w:sz w:val="32"/>
          <w:szCs w:val="32"/>
        </w:rPr>
        <w:t>事务支出（项）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57.51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20"/>
          <w:rFonts w:hint="eastAsia" w:ascii="仿宋" w:hAnsi="仿宋" w:eastAsia="仿宋"/>
          <w:bCs/>
          <w:sz w:val="32"/>
          <w:szCs w:val="32"/>
          <w:lang w:val="en-US" w:eastAsia="zh-CN"/>
        </w:rPr>
        <w:t>2</w:t>
      </w:r>
      <w:r>
        <w:rPr>
          <w:rStyle w:val="20"/>
          <w:rFonts w:ascii="仿宋" w:hAnsi="仿宋" w:eastAsia="仿宋"/>
          <w:bCs/>
          <w:sz w:val="32"/>
          <w:szCs w:val="32"/>
        </w:rPr>
        <w:t>.</w:t>
      </w:r>
      <w:r>
        <w:rPr>
          <w:rStyle w:val="20"/>
          <w:rFonts w:hint="eastAsia" w:ascii="仿宋" w:hAnsi="仿宋" w:eastAsia="仿宋"/>
          <w:bCs/>
          <w:sz w:val="32"/>
          <w:szCs w:val="32"/>
        </w:rPr>
        <w:t>文化旅游体育与传媒支出（类）文化和旅游（款）群众文化（项）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0.66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文化旅游体育与传媒支出（类）文化和旅游（款）文化和旅游管理事务（项）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56.85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20"/>
          <w:rFonts w:hint="eastAsia" w:ascii="仿宋" w:hAnsi="仿宋" w:eastAsia="仿宋"/>
          <w:bCs/>
          <w:sz w:val="32"/>
          <w:szCs w:val="32"/>
          <w:lang w:val="en-US" w:eastAsia="zh-CN"/>
        </w:rPr>
        <w:t>3</w:t>
      </w:r>
      <w:r>
        <w:rPr>
          <w:rStyle w:val="20"/>
          <w:rFonts w:ascii="仿宋" w:hAnsi="仿宋" w:eastAsia="仿宋"/>
          <w:bCs/>
          <w:sz w:val="32"/>
          <w:szCs w:val="32"/>
        </w:rPr>
        <w:t>.</w:t>
      </w:r>
      <w:r>
        <w:rPr>
          <w:rStyle w:val="20"/>
          <w:rFonts w:hint="eastAsia" w:ascii="仿宋" w:hAnsi="仿宋" w:eastAsia="仿宋"/>
          <w:bCs/>
          <w:sz w:val="32"/>
          <w:szCs w:val="32"/>
        </w:rPr>
        <w:t>社会保障和就业支出（类）</w:t>
      </w:r>
      <w:r>
        <w:rPr>
          <w:rStyle w:val="20"/>
          <w:rFonts w:hint="eastAsia" w:ascii="仿宋" w:hAnsi="仿宋" w:eastAsia="仿宋"/>
          <w:bCs/>
          <w:sz w:val="32"/>
          <w:szCs w:val="32"/>
          <w:lang w:val="en-US" w:eastAsia="zh-CN"/>
        </w:rPr>
        <w:t>民政</w:t>
      </w:r>
      <w:r>
        <w:rPr>
          <w:rStyle w:val="20"/>
          <w:rFonts w:hint="eastAsia" w:ascii="仿宋" w:hAnsi="仿宋" w:eastAsia="仿宋"/>
          <w:bCs/>
          <w:sz w:val="32"/>
          <w:szCs w:val="32"/>
        </w:rPr>
        <w:t>管理事务（款）</w:t>
      </w:r>
      <w:r>
        <w:rPr>
          <w:rStyle w:val="20"/>
          <w:rFonts w:hint="eastAsia" w:ascii="仿宋" w:hAnsi="仿宋" w:eastAsia="仿宋"/>
          <w:bCs/>
          <w:sz w:val="32"/>
          <w:szCs w:val="32"/>
          <w:lang w:val="en-US" w:eastAsia="zh-CN"/>
        </w:rPr>
        <w:t>基层政权建设和社区治理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153.51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社会保障和就业支出（类）行政事业单位养老支出（款）</w:t>
      </w:r>
      <w:r>
        <w:rPr>
          <w:rStyle w:val="20"/>
          <w:rFonts w:hint="eastAsia" w:ascii="仿宋" w:hAnsi="仿宋" w:eastAsia="仿宋"/>
          <w:bCs/>
          <w:sz w:val="32"/>
          <w:szCs w:val="32"/>
          <w:lang w:val="en-US" w:eastAsia="zh-CN"/>
        </w:rPr>
        <w:t>机关事业单位基本养老保险缴费支出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79.67</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4</w:t>
      </w:r>
      <w:r>
        <w:rPr>
          <w:rStyle w:val="20"/>
          <w:rFonts w:ascii="仿宋" w:hAnsi="仿宋" w:eastAsia="仿宋"/>
          <w:bCs/>
          <w:sz w:val="32"/>
          <w:szCs w:val="32"/>
        </w:rPr>
        <w:t>.</w:t>
      </w:r>
      <w:r>
        <w:rPr>
          <w:rStyle w:val="20"/>
          <w:rFonts w:hint="eastAsia" w:ascii="仿宋" w:hAnsi="仿宋" w:eastAsia="仿宋"/>
          <w:bCs/>
          <w:sz w:val="32"/>
          <w:szCs w:val="32"/>
        </w:rPr>
        <w:t>卫生健康支出（类）行政事业单位医疗（款）行政单位医疗（项）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39.84</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5</w:t>
      </w:r>
      <w:r>
        <w:rPr>
          <w:rStyle w:val="20"/>
          <w:rFonts w:ascii="仿宋" w:hAnsi="仿宋" w:eastAsia="仿宋"/>
          <w:bCs/>
          <w:sz w:val="32"/>
          <w:szCs w:val="32"/>
        </w:rPr>
        <w:t>.</w:t>
      </w:r>
      <w:r>
        <w:rPr>
          <w:rStyle w:val="20"/>
          <w:rFonts w:hint="eastAsia" w:ascii="仿宋" w:hAnsi="仿宋" w:eastAsia="仿宋"/>
          <w:bCs/>
          <w:sz w:val="32"/>
          <w:szCs w:val="32"/>
          <w:lang w:val="en-US" w:eastAsia="zh-CN"/>
        </w:rPr>
        <w:t>节能环保</w:t>
      </w:r>
      <w:r>
        <w:rPr>
          <w:rStyle w:val="20"/>
          <w:rFonts w:hint="eastAsia" w:ascii="仿宋" w:hAnsi="仿宋" w:eastAsia="仿宋"/>
          <w:bCs/>
          <w:sz w:val="32"/>
          <w:szCs w:val="32"/>
        </w:rPr>
        <w:t>支出（类）</w:t>
      </w:r>
      <w:r>
        <w:rPr>
          <w:rStyle w:val="20"/>
          <w:rFonts w:hint="eastAsia" w:ascii="仿宋" w:hAnsi="仿宋" w:eastAsia="仿宋"/>
          <w:bCs/>
          <w:sz w:val="32"/>
          <w:szCs w:val="32"/>
          <w:lang w:val="en-US" w:eastAsia="zh-CN"/>
        </w:rPr>
        <w:t>其他节能环保支出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其他节能环保支出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220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6</w:t>
      </w:r>
      <w:r>
        <w:rPr>
          <w:rStyle w:val="20"/>
          <w:rFonts w:ascii="仿宋" w:hAnsi="仿宋" w:eastAsia="仿宋"/>
          <w:bCs/>
          <w:sz w:val="32"/>
          <w:szCs w:val="32"/>
        </w:rPr>
        <w:t>.</w:t>
      </w:r>
      <w:r>
        <w:rPr>
          <w:rStyle w:val="20"/>
          <w:rFonts w:hint="eastAsia" w:ascii="仿宋" w:hAnsi="仿宋" w:eastAsia="仿宋"/>
          <w:bCs/>
          <w:sz w:val="32"/>
          <w:szCs w:val="32"/>
        </w:rPr>
        <w:t>城乡社区支出（类）城乡社区环境卫生（款）城乡社区环境卫生（项）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8.80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7</w:t>
      </w:r>
      <w:r>
        <w:rPr>
          <w:rStyle w:val="20"/>
          <w:rFonts w:ascii="仿宋" w:hAnsi="仿宋" w:eastAsia="仿宋"/>
          <w:bCs/>
          <w:sz w:val="32"/>
          <w:szCs w:val="32"/>
        </w:rPr>
        <w:t>.</w:t>
      </w:r>
      <w:r>
        <w:rPr>
          <w:rStyle w:val="20"/>
          <w:rFonts w:hint="eastAsia" w:ascii="仿宋" w:hAnsi="仿宋" w:eastAsia="仿宋"/>
          <w:bCs/>
          <w:sz w:val="32"/>
          <w:szCs w:val="32"/>
        </w:rPr>
        <w:t>农林水支出（类）农业农村（款）事业运行（项）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209.46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农林水支出（类）农业农村（款）</w:t>
      </w:r>
      <w:r>
        <w:rPr>
          <w:rStyle w:val="20"/>
          <w:rFonts w:hint="eastAsia" w:ascii="仿宋" w:hAnsi="仿宋" w:eastAsia="仿宋"/>
          <w:bCs/>
          <w:sz w:val="32"/>
          <w:szCs w:val="32"/>
          <w:lang w:val="en-US" w:eastAsia="zh-CN"/>
        </w:rPr>
        <w:t>防灾减灾</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24.70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农林水支出（类）林业和草原（款）林业草原防灾减灾（项）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w:t>
      </w:r>
      <w:r>
        <w:rPr>
          <w:rStyle w:val="20"/>
          <w:rFonts w:hint="eastAsia" w:ascii="仿宋" w:hAnsi="仿宋" w:eastAsia="仿宋"/>
          <w:bCs/>
          <w:sz w:val="32"/>
          <w:szCs w:val="32"/>
          <w:lang w:val="en-US" w:eastAsia="zh-CN"/>
        </w:rPr>
        <w:t>水利</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抗旱</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w:t>
      </w:r>
      <w:r>
        <w:rPr>
          <w:rStyle w:val="20"/>
          <w:rFonts w:hint="eastAsia" w:ascii="仿宋" w:hAnsi="仿宋" w:eastAsia="仿宋" w:cs="Times New Roman"/>
          <w:bCs/>
          <w:sz w:val="32"/>
          <w:szCs w:val="32"/>
          <w:lang w:val="en-US" w:eastAsia="zh-CN"/>
        </w:rPr>
        <w:t>巩固拓展脱贫攻坚成果同乡村振兴有效衔接（款）其他巩固拓展脱贫攻坚成果同乡村振兴有效衔接</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16.66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农林水支出（类）农村综合改革（款）对村民委员会和村党支部的补助（项）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206.67</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农林水支出（类）农村综合改革（款）</w:t>
      </w:r>
      <w:r>
        <w:rPr>
          <w:rStyle w:val="20"/>
          <w:rFonts w:hint="eastAsia" w:ascii="仿宋" w:hAnsi="仿宋" w:eastAsia="仿宋"/>
          <w:bCs/>
          <w:sz w:val="32"/>
          <w:szCs w:val="32"/>
          <w:lang w:val="en-US" w:eastAsia="zh-CN"/>
        </w:rPr>
        <w:t>其他农村综合改革支出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20.00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8</w:t>
      </w:r>
      <w:r>
        <w:rPr>
          <w:rStyle w:val="20"/>
          <w:rFonts w:ascii="仿宋" w:hAnsi="仿宋" w:eastAsia="仿宋"/>
          <w:bCs/>
          <w:sz w:val="32"/>
          <w:szCs w:val="32"/>
        </w:rPr>
        <w:t>.</w:t>
      </w:r>
      <w:r>
        <w:rPr>
          <w:rStyle w:val="20"/>
          <w:rFonts w:hint="eastAsia" w:ascii="仿宋" w:hAnsi="仿宋" w:eastAsia="仿宋"/>
          <w:bCs/>
          <w:sz w:val="32"/>
          <w:szCs w:val="32"/>
        </w:rPr>
        <w:t>住房保障支出（类）住房改革支出（款）住房公积金（项）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59.75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Style w:val="20"/>
          <w:rFonts w:hint="eastAsia" w:ascii="仿宋" w:hAnsi="仿宋" w:eastAsia="仿宋"/>
          <w:bCs/>
          <w:sz w:val="32"/>
          <w:szCs w:val="32"/>
          <w:lang w:val="en-US" w:eastAsia="zh-CN"/>
        </w:rPr>
        <w:t>9</w:t>
      </w:r>
      <w:r>
        <w:rPr>
          <w:rStyle w:val="20"/>
          <w:rFonts w:ascii="仿宋" w:hAnsi="仿宋" w:eastAsia="仿宋"/>
          <w:bCs/>
          <w:sz w:val="32"/>
          <w:szCs w:val="32"/>
        </w:rPr>
        <w:t>.</w:t>
      </w:r>
      <w:r>
        <w:rPr>
          <w:rStyle w:val="20"/>
          <w:rFonts w:hint="eastAsia" w:ascii="仿宋" w:hAnsi="仿宋" w:eastAsia="仿宋"/>
          <w:bCs/>
          <w:sz w:val="32"/>
          <w:szCs w:val="32"/>
        </w:rPr>
        <w:t>灾害防治及应急管理支出（类）</w:t>
      </w:r>
      <w:r>
        <w:rPr>
          <w:rStyle w:val="20"/>
          <w:rFonts w:hint="eastAsia" w:ascii="仿宋" w:hAnsi="仿宋" w:eastAsia="仿宋"/>
          <w:bCs/>
          <w:sz w:val="32"/>
          <w:szCs w:val="32"/>
          <w:lang w:val="en-US" w:eastAsia="zh-CN"/>
        </w:rPr>
        <w:t>应急管理事务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应急管理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0.20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tabs>
          <w:tab w:val="right" w:pos="8306"/>
        </w:tabs>
        <w:spacing w:line="600" w:lineRule="exact"/>
        <w:ind w:firstLine="640"/>
        <w:outlineLvl w:val="1"/>
        <w:rPr>
          <w:rStyle w:val="32"/>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1127.79</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1006.26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121.53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2"/>
          <w:rFonts w:ascii="黑体" w:hAnsi="黑体" w:eastAsia="黑体"/>
          <w:b w:val="0"/>
        </w:rPr>
      </w:pPr>
      <w:bookmarkStart w:id="42" w:name="_Toc15396609"/>
      <w:bookmarkStart w:id="43" w:name="_Toc15377215"/>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4.5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主要原因是严格执行中央八项规定，厉行节约。</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4.5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pPr>
      <w:r>
        <w:drawing>
          <wp:anchor distT="0" distB="0" distL="114300" distR="114300" simplePos="0" relativeHeight="251659264" behindDoc="1" locked="0" layoutInCell="1" allowOverlap="1">
            <wp:simplePos x="0" y="0"/>
            <wp:positionH relativeFrom="column">
              <wp:posOffset>523240</wp:posOffset>
            </wp:positionH>
            <wp:positionV relativeFrom="paragraph">
              <wp:posOffset>49530</wp:posOffset>
            </wp:positionV>
            <wp:extent cx="4338320" cy="2431415"/>
            <wp:effectExtent l="5080" t="4445" r="19050" b="21590"/>
            <wp:wrapNone/>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6"/>
        <w:ind w:left="0" w:leftChars="0" w:firstLine="0" w:firstLineChars="0"/>
        <w:rPr>
          <w:rFonts w:hint="eastAsia"/>
        </w:rPr>
      </w:pPr>
    </w:p>
    <w:p>
      <w:pPr>
        <w:spacing w:line="600" w:lineRule="exact"/>
        <w:ind w:firstLine="640"/>
        <w:rPr>
          <w:rFonts w:hint="eastAsia" w:ascii="仿宋" w:hAnsi="仿宋" w:eastAsia="仿宋" w:cs="仿宋"/>
          <w:color w:val="000000"/>
          <w:sz w:val="32"/>
          <w:szCs w:val="32"/>
        </w:rPr>
      </w:pPr>
    </w:p>
    <w:p>
      <w:pPr>
        <w:spacing w:line="600" w:lineRule="exact"/>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jc w:val="center"/>
        <w:rPr>
          <w:rFonts w:hint="eastAsia" w:ascii="仿宋" w:hAnsi="仿宋" w:eastAsia="仿宋" w:cs="仿宋"/>
          <w:color w:val="000000"/>
          <w:sz w:val="32"/>
          <w:szCs w:val="32"/>
        </w:rPr>
      </w:pPr>
      <w:r>
        <w:rPr>
          <w:rFonts w:hint="eastAsia" w:ascii="仿宋" w:hAnsi="仿宋" w:eastAsia="仿宋" w:cs="仿宋"/>
          <w:color w:val="000000"/>
          <w:sz w:val="28"/>
          <w:szCs w:val="28"/>
          <w:lang w:eastAsia="zh-CN"/>
        </w:rPr>
        <w:t>图</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eastAsia="zh-CN"/>
        </w:rPr>
        <w:t>：“三公”经费财政拨款支出结构</w:t>
      </w:r>
    </w:p>
    <w:p>
      <w:pPr>
        <w:pStyle w:val="13"/>
        <w:ind w:left="0" w:leftChars="0" w:firstLine="0" w:firstLineChars="0"/>
        <w:rPr>
          <w:rFonts w:hint="eastAsia"/>
          <w:lang w:eastAsia="zh-CN"/>
        </w:rPr>
      </w:pPr>
    </w:p>
    <w:p>
      <w:pPr>
        <w:spacing w:line="600" w:lineRule="exact"/>
        <w:ind w:firstLine="640"/>
        <w:rPr>
          <w:rStyle w:val="20"/>
          <w:rFonts w:hint="eastAsia" w:ascii="仿宋" w:hAnsi="仿宋" w:eastAsia="仿宋"/>
          <w:b w:val="0"/>
          <w:bCs/>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4.5</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减少1.11万元，下降19.79%。</w:t>
      </w:r>
      <w:r>
        <w:rPr>
          <w:rFonts w:hint="eastAsia" w:ascii="仿宋_GB2312" w:eastAsia="仿宋_GB2312"/>
          <w:sz w:val="32"/>
          <w:szCs w:val="32"/>
        </w:rPr>
        <w:t>主要原因是</w:t>
      </w:r>
      <w:r>
        <w:rPr>
          <w:rFonts w:hint="eastAsia" w:ascii="仿宋" w:hAnsi="仿宋" w:eastAsia="仿宋"/>
          <w:color w:val="000000"/>
          <w:sz w:val="32"/>
          <w:szCs w:val="32"/>
        </w:rPr>
        <w:t>严格执行中央八项规定，厉行节约</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4.5</w:t>
      </w:r>
      <w:r>
        <w:rPr>
          <w:rFonts w:hint="eastAsia" w:ascii="仿宋_GB2312" w:eastAsia="仿宋_GB2312"/>
          <w:sz w:val="32"/>
          <w:szCs w:val="32"/>
        </w:rPr>
        <w:t>万元，</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sz w:val="32"/>
          <w:szCs w:val="32"/>
        </w:rPr>
        <w:t>。国内公务接待</w:t>
      </w:r>
      <w:r>
        <w:rPr>
          <w:rFonts w:hint="eastAsia" w:ascii="仿宋_GB2312" w:hAnsi="仿宋" w:eastAsia="仿宋_GB2312"/>
          <w:sz w:val="32"/>
          <w:szCs w:val="32"/>
          <w:lang w:val="en-US" w:eastAsia="zh-CN"/>
        </w:rPr>
        <w:t>130</w:t>
      </w:r>
      <w:r>
        <w:rPr>
          <w:rFonts w:hint="eastAsia" w:ascii="仿宋_GB2312" w:eastAsia="仿宋_GB2312"/>
          <w:color w:val="000000"/>
          <w:sz w:val="32"/>
          <w:szCs w:val="32"/>
        </w:rPr>
        <w:t>批次，</w:t>
      </w:r>
      <w:r>
        <w:rPr>
          <w:rFonts w:hint="eastAsia" w:ascii="仿宋_GB2312" w:hAnsi="仿宋" w:eastAsia="仿宋_GB2312"/>
          <w:sz w:val="32"/>
          <w:szCs w:val="32"/>
          <w:lang w:val="en-US" w:eastAsia="zh-CN"/>
        </w:rPr>
        <w:t>725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5.61</w:t>
      </w:r>
      <w:r>
        <w:rPr>
          <w:rFonts w:hint="eastAsia" w:ascii="仿宋_GB2312" w:eastAsia="仿宋_GB2312"/>
          <w:sz w:val="32"/>
          <w:szCs w:val="32"/>
        </w:rPr>
        <w:t>万元，具体内容包括：</w:t>
      </w:r>
      <w:r>
        <w:rPr>
          <w:rFonts w:hint="eastAsia" w:ascii="仿宋_GB2312" w:eastAsia="仿宋_GB2312"/>
          <w:color w:val="000000"/>
          <w:sz w:val="32"/>
          <w:szCs w:val="32"/>
          <w:lang w:eastAsia="zh-CN"/>
        </w:rPr>
        <w:t>接受上级检查及</w:t>
      </w:r>
      <w:r>
        <w:rPr>
          <w:rFonts w:hint="eastAsia" w:ascii="仿宋_GB2312" w:eastAsia="仿宋_GB2312"/>
          <w:color w:val="000000"/>
          <w:sz w:val="32"/>
          <w:szCs w:val="32"/>
          <w:lang w:val="en-US" w:eastAsia="zh-CN"/>
        </w:rPr>
        <w:t>有</w:t>
      </w:r>
      <w:r>
        <w:rPr>
          <w:rFonts w:hint="eastAsia" w:ascii="仿宋_GB2312" w:eastAsia="仿宋_GB2312"/>
          <w:color w:val="000000"/>
          <w:sz w:val="32"/>
          <w:szCs w:val="32"/>
          <w:lang w:eastAsia="zh-CN"/>
        </w:rPr>
        <w:t>关单位交流工作情况及接受相关部门</w:t>
      </w:r>
      <w:r>
        <w:rPr>
          <w:rFonts w:hint="eastAsia" w:ascii="仿宋_GB2312" w:eastAsia="仿宋_GB2312"/>
          <w:color w:val="000000"/>
          <w:sz w:val="32"/>
          <w:szCs w:val="32"/>
          <w:lang w:val="en-US" w:eastAsia="zh-CN"/>
        </w:rPr>
        <w:t>督查</w:t>
      </w:r>
      <w:r>
        <w:rPr>
          <w:rFonts w:hint="eastAsia" w:ascii="仿宋_GB2312" w:eastAsia="仿宋_GB2312"/>
          <w:color w:val="000000"/>
          <w:sz w:val="32"/>
          <w:szCs w:val="32"/>
          <w:lang w:eastAsia="zh-CN"/>
        </w:rPr>
        <w:t>指导工作发生的接待支出</w:t>
      </w:r>
      <w:r>
        <w:rPr>
          <w:rFonts w:hint="eastAsia" w:ascii="仿宋_GB2312" w:eastAsia="仿宋_GB2312"/>
          <w:color w:val="000000"/>
          <w:sz w:val="32"/>
          <w:szCs w:val="32"/>
        </w:rPr>
        <w:t>。</w:t>
      </w:r>
    </w:p>
    <w:p>
      <w:pPr>
        <w:spacing w:line="600" w:lineRule="exact"/>
        <w:ind w:firstLine="640"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6" w:name="_Toc15377218"/>
      <w:bookmarkStart w:id="47" w:name="_Toc15396610"/>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2"/>
          <w:rFonts w:ascii="黑体" w:hAnsi="黑体" w:eastAsia="黑体"/>
          <w:b w:val="0"/>
        </w:rPr>
      </w:pPr>
      <w:bookmarkStart w:id="48" w:name="_Toc15396611"/>
      <w:bookmarkStart w:id="49" w:name="_Toc15377219"/>
      <w:r>
        <w:rPr>
          <w:rStyle w:val="32"/>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2"/>
          <w:rFonts w:ascii="黑体" w:hAnsi="黑体" w:eastAsia="黑体"/>
          <w:b w:val="0"/>
        </w:rPr>
      </w:pPr>
      <w:bookmarkStart w:id="50" w:name="_Toc15396612"/>
      <w:bookmarkStart w:id="51" w:name="_Toc15377221"/>
      <w:r>
        <w:rPr>
          <w:rStyle w:val="32"/>
          <w:rFonts w:hint="eastAsia" w:ascii="黑体" w:hAnsi="黑体" w:eastAsia="黑体"/>
          <w:b w:val="0"/>
        </w:rPr>
        <w:t>其他重要事项的情况说明</w:t>
      </w:r>
      <w:bookmarkEnd w:id="50"/>
      <w:bookmarkEnd w:id="51"/>
    </w:p>
    <w:p>
      <w:pPr>
        <w:spacing w:line="600" w:lineRule="exact"/>
        <w:ind w:firstLine="640"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 w:hAnsi="仿宋" w:eastAsia="仿宋"/>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lang w:val="en-US" w:eastAsia="zh-CN"/>
        </w:rPr>
        <w:t>121.53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减少63.79</w:t>
      </w:r>
      <w:r>
        <w:rPr>
          <w:rFonts w:hint="eastAsia" w:ascii="仿宋_GB2312" w:eastAsia="仿宋_GB2312"/>
          <w:sz w:val="32"/>
          <w:szCs w:val="32"/>
        </w:rPr>
        <w:t>万元，</w:t>
      </w:r>
      <w:r>
        <w:rPr>
          <w:rFonts w:hint="eastAsia" w:ascii="仿宋_GB2312" w:eastAsia="仿宋_GB2312"/>
          <w:sz w:val="32"/>
          <w:szCs w:val="32"/>
          <w:lang w:val="en-US" w:eastAsia="zh-CN"/>
        </w:rPr>
        <w:t>下降34.42</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s="Times New Roman"/>
          <w:bCs/>
          <w:kern w:val="0"/>
          <w:sz w:val="32"/>
          <w:szCs w:val="32"/>
          <w:lang w:val="en-US" w:eastAsia="zh-CN" w:bidi="ar-SA"/>
        </w:rPr>
        <w:t>机关</w:t>
      </w:r>
      <w:r>
        <w:rPr>
          <w:rFonts w:hint="eastAsia" w:ascii="仿宋" w:hAnsi="仿宋" w:eastAsia="仿宋"/>
          <w:color w:val="000000"/>
          <w:sz w:val="32"/>
          <w:szCs w:val="32"/>
        </w:rPr>
        <w:t>严格执行中央八项规定，厉行节约</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单位在编人员减少，公用经费减少</w:t>
      </w:r>
      <w:r>
        <w:rPr>
          <w:rFonts w:hint="eastAsia" w:ascii="仿宋" w:hAnsi="仿宋" w:eastAsia="仿宋" w:cs="Times New Roman"/>
          <w:bCs/>
          <w:kern w:val="0"/>
          <w:sz w:val="32"/>
          <w:szCs w:val="32"/>
          <w:lang w:val="en-US" w:eastAsia="zh-CN" w:bidi="ar-SA"/>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日，共有车辆0辆，其中：主要领导干部用车0辆、机要通信用车0辆、应急保障用车0辆、其他用车0辆。单价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剑阁县元山镇</w:t>
      </w:r>
      <w:r>
        <w:rPr>
          <w:rFonts w:hint="eastAsia" w:ascii="仿宋_GB2312" w:hAnsi="仿宋_GB2312" w:eastAsia="仿宋_GB2312" w:cs="仿宋_GB2312"/>
          <w:sz w:val="32"/>
          <w:szCs w:val="32"/>
        </w:rPr>
        <w:t>人民政府在年初预算编制阶段，组织对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w:t>
      </w:r>
      <w:r>
        <w:rPr>
          <w:rFonts w:hint="eastAsia" w:ascii="仿宋_GB2312" w:hAnsi="仿宋_GB2312" w:eastAsia="仿宋_GB2312" w:cs="仿宋_GB2312"/>
          <w:sz w:val="32"/>
          <w:szCs w:val="32"/>
          <w:lang w:val="en-US" w:eastAsia="zh-CN"/>
        </w:rPr>
        <w:t>小伙食补助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剑阁县元山镇</w:t>
      </w:r>
      <w:r>
        <w:rPr>
          <w:rFonts w:hint="eastAsia" w:ascii="仿宋_GB2312" w:hAnsi="仿宋_GB2312" w:eastAsia="仿宋_GB2312" w:cs="仿宋_GB2312"/>
          <w:sz w:val="32"/>
          <w:szCs w:val="32"/>
        </w:rPr>
        <w:t>人民政府部门整体绩效评价报告》见附件（第四部分）。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（一）一般公共预算拨款收入：指县级财政当年拨付的资金。</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）人大事务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代表工作</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反映人大代表开展各类视察等方面的支出</w:t>
      </w:r>
      <w:r>
        <w:rPr>
          <w:rFonts w:hint="default" w:ascii="仿宋_GB2312" w:hAnsi="仿宋_GB2312" w:cs="仿宋_GB2312"/>
          <w:b w:val="0"/>
          <w:bCs/>
          <w:sz w:val="32"/>
          <w:szCs w:val="32"/>
          <w:lang w:val="en-US" w:eastAsia="zh-CN"/>
        </w:rPr>
        <w:t>。</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行政运行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指反映行政单位（包括实行公务员管理的事业单位）的基本支出。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）政府办公厅（室）及相关机构事务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一般公共服务（类）统计信息事务（款）其他统计信息事务支出（项）</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指反映除上述项目以外的其他统计信息事务支出。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）党委办公厅（室）及相关机构事务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一般行政管理事务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一般公共服务</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）宣传事务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其他宣传事务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指反映除上述项目以外其他用于中国共产党宣传部门的事务支出。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群众文化</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指反映群众文化方面的支出，包括基层文化馆（站）、群众艺术馆支出等。</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文化旅游体育与传媒</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）文化和旅游</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文化和旅游管理事务</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指反映文化和旅游管理事务支出。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）社会保障和就业（类</w:t>
      </w:r>
      <w:r>
        <w:rPr>
          <w:rFonts w:hint="eastAsia" w:ascii="仿宋_GB2312" w:hAnsi="仿宋_GB2312" w:cs="仿宋_GB2312"/>
          <w:b w:val="0"/>
          <w:bCs/>
          <w:sz w:val="32"/>
          <w:szCs w:val="32"/>
          <w:lang w:val="en-US" w:eastAsia="zh-CN"/>
        </w:rPr>
        <w:t>）民政管理事务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基层政权建设和社区治理</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（十二）社会保障和就业（类）行政事业单位离退休（款）机关事业单位基本养老保险缴费支出（项）：指部门实施养老保险制度由单位缴纳的养老保险费的支出。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（十</w:t>
      </w:r>
      <w:r>
        <w:rPr>
          <w:rFonts w:hint="eastAsia" w:ascii="仿宋_GB2312" w:hAnsi="仿宋_GB2312" w:cs="仿宋_GB2312"/>
          <w:b w:val="0"/>
          <w:bCs/>
          <w:sz w:val="32"/>
          <w:szCs w:val="32"/>
          <w:lang w:val="en-US" w:eastAsia="zh-CN"/>
        </w:rPr>
        <w:t>三</w:t>
      </w:r>
      <w:r>
        <w:rPr>
          <w:rFonts w:hint="default" w:ascii="仿宋_GB2312" w:hAnsi="仿宋_GB2312" w:cs="仿宋_GB2312"/>
          <w:b w:val="0"/>
          <w:bCs/>
          <w:sz w:val="32"/>
          <w:szCs w:val="32"/>
          <w:lang w:val="en-US" w:eastAsia="zh-CN"/>
        </w:rPr>
        <w:t>）卫生健康（类）行政事业单位医疗（款）行政单位医疗（项）：指局机关及参公管理事业单位用于缴纳单位基本医疗保险支出。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节能环保支出（类）其他节能环保支出（款）其他节能环保支出（项）</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反映除上述项目以外的其他用于节能环保方面的支出。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（十五</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城乡社区</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城乡社区环境卫生</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反映城乡社区道路清扫、垃圾清运与处理、公厕建设与维护、园林绿化等方面的支出。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（十六</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事业运行</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反映用于农业事业单位基本支出，事业单位设施、系统运行与资产维护等方面的支出。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（十七</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林业和草原</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林业草原防灾减灾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反映用于病虫害等有害生物灾害、森林草原防火、野生动物疫病灾害等方面的支出。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（十八</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农业农村</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防灾减灾</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反映对农业生产因遭受自然、生物灾害损失给予的补助，促进农业防灾增产措施补助，海滩救助补助，因其他灾害导致农牧渔业生产者损失给予的补助。</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（十九</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水利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抗旱</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反映抗旱业务支出。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Times New Roman" w:eastAsia="仿宋_GB2312" w:cs="Times New Roman"/>
          <w:b w:val="0"/>
          <w:bCs w:val="0"/>
          <w:color w:val="auto"/>
          <w:kern w:val="2"/>
          <w:sz w:val="32"/>
          <w:szCs w:val="32"/>
          <w:lang w:val="en-US" w:eastAsia="zh-CN" w:bidi="ar-SA"/>
        </w:rPr>
        <w:t>巩固拓展脱贫攻坚成果同乡村振兴有效衔接</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w:t>
      </w:r>
      <w:r>
        <w:rPr>
          <w:rFonts w:hint="eastAsia" w:ascii="仿宋_GB2312" w:hAnsi="Times New Roman" w:eastAsia="仿宋_GB2312" w:cs="Times New Roman"/>
          <w:b w:val="0"/>
          <w:bCs w:val="0"/>
          <w:color w:val="auto"/>
          <w:kern w:val="2"/>
          <w:sz w:val="32"/>
          <w:szCs w:val="32"/>
          <w:lang w:val="en-US" w:eastAsia="zh-CN" w:bidi="ar-SA"/>
        </w:rPr>
        <w:t>巩固拓展脱贫攻坚成果同乡村振兴有效衔接</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反映除上述项目以外其他用于巩固拓展脱贫攻坚成果同乡村振兴有效衔接方面的支出。</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（二十一</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对村民委员会和村党支部的补助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10"/>
        <w:numPr>
          <w:ilvl w:val="0"/>
          <w:numId w:val="0"/>
        </w:numPr>
        <w:ind w:firstLine="640" w:firstLineChars="200"/>
        <w:rPr>
          <w:rFonts w:hint="eastAsia"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（二十二</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农林水</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农村综合改革</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其他农村综合改革</w:t>
      </w:r>
      <w:r>
        <w:rPr>
          <w:rFonts w:hint="default" w:ascii="仿宋_GB2312" w:hAnsi="仿宋_GB2312" w:cs="仿宋_GB2312"/>
          <w:b w:val="0"/>
          <w:bCs/>
          <w:sz w:val="32"/>
          <w:szCs w:val="32"/>
          <w:lang w:val="en-US" w:eastAsia="zh-CN"/>
        </w:rPr>
        <w:t>（项）：</w:t>
      </w:r>
      <w:r>
        <w:rPr>
          <w:rFonts w:hint="eastAsia" w:ascii="仿宋_GB2312" w:hAnsi="仿宋_GB2312" w:cs="仿宋_GB2312"/>
          <w:b w:val="0"/>
          <w:bCs/>
          <w:sz w:val="32"/>
          <w:szCs w:val="32"/>
          <w:lang w:val="en-US" w:eastAsia="zh-CN"/>
        </w:rPr>
        <w:t>反映上述项目以外其他用于农村综合改革方面的支出。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（二十三</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eastAsia" w:ascii="仿宋_GB2312" w:hAnsi="仿宋_GB2312" w:cs="仿宋_GB2312"/>
          <w:b w:val="0"/>
          <w:bCs/>
          <w:sz w:val="32"/>
          <w:szCs w:val="32"/>
          <w:lang w:val="en-US" w:eastAsia="zh-CN"/>
        </w:rPr>
        <w:t>（二十四</w:t>
      </w: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灾害防治及应急管理</w:t>
      </w:r>
      <w:r>
        <w:rPr>
          <w:rFonts w:hint="default" w:ascii="仿宋_GB2312" w:hAnsi="仿宋_GB2312" w:cs="仿宋_GB2312"/>
          <w:b w:val="0"/>
          <w:bCs/>
          <w:sz w:val="32"/>
          <w:szCs w:val="32"/>
          <w:lang w:val="en-US" w:eastAsia="zh-CN"/>
        </w:rPr>
        <w:t>（类）</w:t>
      </w:r>
      <w:r>
        <w:rPr>
          <w:rFonts w:hint="eastAsia" w:ascii="仿宋_GB2312" w:hAnsi="仿宋_GB2312" w:cs="仿宋_GB2312"/>
          <w:b w:val="0"/>
          <w:bCs/>
          <w:sz w:val="32"/>
          <w:szCs w:val="32"/>
          <w:lang w:val="en-US" w:eastAsia="zh-CN"/>
        </w:rPr>
        <w:t>应急管理事务</w:t>
      </w:r>
      <w:r>
        <w:rPr>
          <w:rFonts w:hint="default" w:ascii="仿宋_GB2312" w:hAnsi="仿宋_GB2312" w:cs="仿宋_GB2312"/>
          <w:b w:val="0"/>
          <w:bCs/>
          <w:sz w:val="32"/>
          <w:szCs w:val="32"/>
          <w:lang w:val="en-US" w:eastAsia="zh-CN"/>
        </w:rPr>
        <w:t>（款）</w:t>
      </w:r>
      <w:r>
        <w:rPr>
          <w:rFonts w:hint="eastAsia" w:ascii="仿宋_GB2312" w:hAnsi="仿宋_GB2312" w:cs="仿宋_GB2312"/>
          <w:b w:val="0"/>
          <w:bCs/>
          <w:sz w:val="32"/>
          <w:szCs w:val="32"/>
          <w:lang w:val="en-US" w:eastAsia="zh-CN"/>
        </w:rPr>
        <w:t>应急管理</w:t>
      </w:r>
      <w:r>
        <w:rPr>
          <w:rFonts w:hint="default" w:ascii="仿宋_GB2312" w:hAnsi="仿宋_GB2312" w:cs="仿宋_GB2312"/>
          <w:b w:val="0"/>
          <w:bCs/>
          <w:sz w:val="32"/>
          <w:szCs w:val="32"/>
          <w:lang w:val="en-US" w:eastAsia="zh-CN"/>
        </w:rPr>
        <w:t>（项）：指</w:t>
      </w:r>
      <w:r>
        <w:rPr>
          <w:rFonts w:hint="eastAsia" w:ascii="仿宋_GB2312" w:hAnsi="仿宋_GB2312" w:cs="仿宋_GB2312"/>
          <w:b w:val="0"/>
          <w:bCs/>
          <w:sz w:val="32"/>
          <w:szCs w:val="32"/>
          <w:lang w:val="en-US" w:eastAsia="zh-CN"/>
        </w:rPr>
        <w:t>用于应急管理的法律法规制定修订，应急预案演练，协调保障等方面的支出</w:t>
      </w:r>
      <w:r>
        <w:rPr>
          <w:rFonts w:hint="default" w:ascii="仿宋_GB2312" w:hAnsi="仿宋_GB2312" w:cs="仿宋_GB2312"/>
          <w:b w:val="0"/>
          <w:bCs/>
          <w:sz w:val="32"/>
          <w:szCs w:val="32"/>
          <w:lang w:val="en-US" w:eastAsia="zh-CN"/>
        </w:rPr>
        <w:t>。</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二十五</w:t>
      </w:r>
      <w:r>
        <w:rPr>
          <w:rFonts w:hint="default" w:ascii="仿宋_GB2312" w:hAnsi="仿宋_GB2312" w:cs="仿宋_GB2312"/>
          <w:b w:val="0"/>
          <w:bCs/>
          <w:sz w:val="32"/>
          <w:szCs w:val="32"/>
          <w:lang w:val="en-US" w:eastAsia="zh-CN"/>
        </w:rPr>
        <w:t>）基本支出：指为保证机构正常运转，完成日常工作任务而发生的人员支出和公用支出。</w:t>
      </w:r>
    </w:p>
    <w:p>
      <w:pPr>
        <w:pStyle w:val="10"/>
        <w:numPr>
          <w:ilvl w:val="0"/>
          <w:numId w:val="0"/>
        </w:numPr>
        <w:ind w:firstLine="640" w:firstLineChars="200"/>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二十六</w:t>
      </w:r>
      <w:r>
        <w:rPr>
          <w:rFonts w:hint="default" w:ascii="仿宋_GB2312" w:hAnsi="仿宋_GB2312" w:cs="仿宋_GB2312"/>
          <w:b w:val="0"/>
          <w:bCs/>
          <w:sz w:val="32"/>
          <w:szCs w:val="32"/>
          <w:lang w:val="en-US" w:eastAsia="zh-CN"/>
        </w:rPr>
        <w:t>）项目支出：指在基本支出之外为完成特定行政任务和事业发展目标所发生的支出。</w:t>
      </w:r>
    </w:p>
    <w:p>
      <w:pPr>
        <w:pStyle w:val="10"/>
        <w:numPr>
          <w:ilvl w:val="0"/>
          <w:numId w:val="0"/>
        </w:numPr>
        <w:ind w:firstLine="640" w:firstLineChars="200"/>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二十七</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31"/>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粗宋简体" w:hAnsi="方正粗宋简体" w:eastAsia="方正粗宋简体" w:cs="方正粗宋简体"/>
          <w:b/>
          <w:bCs/>
          <w:sz w:val="40"/>
          <w:szCs w:val="40"/>
          <w:lang w:val="en-US" w:eastAsia="zh-CN"/>
        </w:rPr>
      </w:pPr>
      <w:r>
        <w:rPr>
          <w:rFonts w:hint="eastAsia" w:ascii="方正小标宋简体" w:hAnsi="宋体" w:eastAsia="方正小标宋简体"/>
          <w:kern w:val="0"/>
          <w:sz w:val="40"/>
          <w:szCs w:val="44"/>
        </w:rPr>
        <w:t>202</w:t>
      </w:r>
      <w:r>
        <w:rPr>
          <w:rFonts w:hint="eastAsia" w:ascii="方正小标宋简体" w:hAnsi="宋体" w:eastAsia="方正小标宋简体"/>
          <w:kern w:val="0"/>
          <w:sz w:val="40"/>
          <w:szCs w:val="44"/>
          <w:lang w:val="en-US" w:eastAsia="zh-CN"/>
        </w:rPr>
        <w:t>2</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val="en-US" w:eastAsia="zh-CN"/>
        </w:rPr>
        <w:t>剑阁县元山镇人民政府</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部门整体绩效评价报告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粗宋简体" w:hAnsi="方正粗宋简体" w:eastAsia="方正粗宋简体" w:cs="方正粗宋简体"/>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rPr>
          <w:rFonts w:hint="default" w:ascii="仿宋_GB2312" w:hAnsi="仿宋_GB2312" w:eastAsia="仿宋_GB2312" w:cs="仿宋_GB2312"/>
          <w:color w:val="000000"/>
          <w:kern w:val="0"/>
          <w:sz w:val="32"/>
          <w:szCs w:val="32"/>
          <w:lang w:val="en-US" w:eastAsia="zh-CN" w:bidi="ar"/>
        </w:rPr>
      </w:pPr>
      <w:r>
        <w:rPr>
          <w:rFonts w:hint="eastAsia" w:ascii="楷体_GB2312" w:hAnsi="华文仿宋" w:eastAsia="楷体_GB2312" w:cs="Times New Roman"/>
          <w:b/>
          <w:kern w:val="2"/>
          <w:sz w:val="32"/>
          <w:szCs w:val="32"/>
          <w:lang w:val="en-US" w:eastAsia="zh-CN" w:bidi="ar-SA"/>
        </w:rPr>
        <w:t xml:space="preserve">　 （一）单位机构组成 </w:t>
      </w:r>
      <w:r>
        <w:rPr>
          <w:rFonts w:hint="eastAsia" w:ascii="仿宋_GB2312" w:hAnsi="仿宋_GB2312" w:eastAsia="仿宋_GB2312" w:cs="仿宋_GB2312"/>
          <w:color w:val="000000"/>
          <w:kern w:val="0"/>
          <w:sz w:val="32"/>
          <w:szCs w:val="32"/>
          <w:lang w:val="en-US" w:eastAsia="zh-CN" w:bidi="ar"/>
        </w:rPr>
        <w:t xml:space="preserve">                                              </w:t>
      </w:r>
    </w:p>
    <w:p>
      <w:pPr>
        <w:spacing w:line="560" w:lineRule="exact"/>
        <w:ind w:left="0" w:leftChars="0"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元山镇</w:t>
      </w:r>
      <w:r>
        <w:rPr>
          <w:rFonts w:hint="eastAsia" w:ascii="仿宋_GB2312" w:hAnsi="仿宋_GB2312" w:eastAsia="仿宋_GB2312" w:cs="仿宋_GB2312"/>
          <w:color w:val="000000"/>
          <w:sz w:val="32"/>
          <w:szCs w:val="32"/>
          <w:shd w:val="clear" w:color="auto" w:fill="FFFFFF"/>
        </w:rPr>
        <w:t>内设党政综合办事机构</w:t>
      </w:r>
      <w:r>
        <w:rPr>
          <w:rFonts w:hint="eastAsia" w:ascii="仿宋_GB2312" w:hAnsi="仿宋_GB2312" w:eastAsia="仿宋_GB2312" w:cs="仿宋_GB2312"/>
          <w:color w:val="000000"/>
          <w:sz w:val="32"/>
          <w:szCs w:val="32"/>
          <w:shd w:val="clear" w:color="auto" w:fill="FFFFFF"/>
          <w:lang w:val="en-US" w:eastAsia="zh-CN"/>
        </w:rPr>
        <w:t>七办</w:t>
      </w:r>
      <w:r>
        <w:rPr>
          <w:rFonts w:hint="eastAsia" w:ascii="仿宋_GB2312" w:hAnsi="仿宋_GB2312" w:eastAsia="仿宋_GB2312" w:cs="仿宋_GB2312"/>
          <w:color w:val="000000"/>
          <w:sz w:val="32"/>
          <w:szCs w:val="32"/>
          <w:shd w:val="clear" w:color="auto" w:fill="FFFFFF"/>
        </w:rPr>
        <w:t>和镇直属事业机构四中心。</w:t>
      </w:r>
      <w:r>
        <w:rPr>
          <w:rFonts w:hint="eastAsia" w:ascii="楷体" w:hAnsi="楷体" w:eastAsia="楷体" w:cs="楷体"/>
          <w:b/>
          <w:bCs/>
          <w:color w:val="000000"/>
          <w:sz w:val="32"/>
          <w:szCs w:val="32"/>
          <w:shd w:val="clear" w:color="auto" w:fill="FFFFFF"/>
          <w:lang w:val="en-US" w:eastAsia="zh-CN"/>
        </w:rPr>
        <w:t>七</w:t>
      </w:r>
      <w:r>
        <w:rPr>
          <w:rFonts w:hint="eastAsia" w:ascii="楷体" w:hAnsi="楷体" w:eastAsia="楷体" w:cs="楷体"/>
          <w:b/>
          <w:bCs/>
          <w:color w:val="000000"/>
          <w:sz w:val="32"/>
          <w:szCs w:val="32"/>
          <w:shd w:val="clear" w:color="auto" w:fill="FFFFFF"/>
          <w:lang w:eastAsia="zh-CN"/>
        </w:rPr>
        <w:t>办</w:t>
      </w:r>
      <w:r>
        <w:rPr>
          <w:rFonts w:hint="eastAsia" w:ascii="楷体" w:hAnsi="楷体" w:eastAsia="楷体" w:cs="楷体"/>
          <w:b/>
          <w:bCs/>
          <w:color w:val="000000"/>
          <w:sz w:val="32"/>
          <w:szCs w:val="32"/>
          <w:shd w:val="clear" w:color="auto" w:fill="FFFFFF"/>
          <w:lang w:val="en-US" w:eastAsia="zh-CN"/>
        </w:rPr>
        <w:t>指</w:t>
      </w:r>
      <w:r>
        <w:rPr>
          <w:rFonts w:hint="eastAsia" w:ascii="仿宋_GB2312" w:hAnsi="仿宋_GB2312" w:eastAsia="仿宋_GB2312" w:cs="仿宋_GB2312"/>
          <w:color w:val="000000"/>
          <w:sz w:val="32"/>
          <w:szCs w:val="32"/>
          <w:shd w:val="clear" w:color="auto" w:fill="FFFFFF"/>
        </w:rPr>
        <w:t>党政综合与乡村振兴办公室（农业农村</w:t>
      </w:r>
      <w:r>
        <w:rPr>
          <w:rFonts w:hint="eastAsia" w:ascii="仿宋_GB2312" w:hAnsi="仿宋_GB2312" w:eastAsia="仿宋_GB2312" w:cs="仿宋_GB2312"/>
          <w:color w:val="000000"/>
          <w:sz w:val="32"/>
          <w:szCs w:val="32"/>
          <w:shd w:val="clear" w:color="auto" w:fill="FFFFFF"/>
          <w:lang w:val="en-US" w:eastAsia="zh-CN"/>
        </w:rPr>
        <w:t>工作</w:t>
      </w:r>
      <w:r>
        <w:rPr>
          <w:rFonts w:hint="eastAsia" w:ascii="仿宋_GB2312" w:hAnsi="仿宋_GB2312" w:eastAsia="仿宋_GB2312" w:cs="仿宋_GB2312"/>
          <w:color w:val="000000"/>
          <w:sz w:val="32"/>
          <w:szCs w:val="32"/>
          <w:shd w:val="clear" w:color="auto" w:fill="FFFFFF"/>
        </w:rPr>
        <w:t>办公室）、党建工作办公室、综合行政执法办公室（应急</w:t>
      </w:r>
      <w:r>
        <w:rPr>
          <w:rFonts w:hint="eastAsia" w:ascii="仿宋_GB2312" w:hAnsi="仿宋_GB2312" w:eastAsia="仿宋_GB2312" w:cs="仿宋_GB2312"/>
          <w:color w:val="000000"/>
          <w:sz w:val="32"/>
          <w:szCs w:val="32"/>
          <w:shd w:val="clear" w:color="auto" w:fill="FFFFFF"/>
          <w:lang w:val="en-US" w:eastAsia="zh-CN"/>
        </w:rPr>
        <w:t>管理</w:t>
      </w:r>
      <w:r>
        <w:rPr>
          <w:rFonts w:hint="eastAsia" w:ascii="仿宋_GB2312" w:hAnsi="仿宋_GB2312" w:eastAsia="仿宋_GB2312" w:cs="仿宋_GB2312"/>
          <w:color w:val="000000"/>
          <w:sz w:val="32"/>
          <w:szCs w:val="32"/>
          <w:shd w:val="clear" w:color="auto" w:fill="FFFFFF"/>
        </w:rPr>
        <w:t>办公室）、社会事务办公室、经济发展办公室（生态环境保护办公室）</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社会治理办公室（信访和群众工作办公室）、财政所</w:t>
      </w:r>
      <w:r>
        <w:rPr>
          <w:rFonts w:hint="eastAsia" w:ascii="仿宋_GB2312" w:hAnsi="仿宋_GB2312" w:eastAsia="仿宋_GB2312" w:cs="仿宋_GB2312"/>
          <w:color w:val="000000"/>
          <w:sz w:val="32"/>
          <w:szCs w:val="32"/>
          <w:shd w:val="clear" w:color="auto" w:fill="FFFFFF"/>
        </w:rPr>
        <w:t>。</w:t>
      </w:r>
      <w:r>
        <w:rPr>
          <w:rFonts w:hint="eastAsia" w:ascii="楷体" w:hAnsi="楷体" w:eastAsia="楷体" w:cs="楷体"/>
          <w:b/>
          <w:bCs/>
          <w:color w:val="000000"/>
          <w:sz w:val="32"/>
          <w:szCs w:val="32"/>
          <w:shd w:val="clear" w:color="auto" w:fill="FFFFFF"/>
        </w:rPr>
        <w:t>四中心</w:t>
      </w:r>
      <w:r>
        <w:rPr>
          <w:rFonts w:hint="eastAsia" w:ascii="楷体" w:hAnsi="楷体" w:eastAsia="楷体" w:cs="楷体"/>
          <w:b/>
          <w:bCs/>
          <w:color w:val="000000"/>
          <w:sz w:val="32"/>
          <w:szCs w:val="32"/>
          <w:shd w:val="clear" w:color="auto" w:fill="FFFFFF"/>
          <w:lang w:val="en-US" w:eastAsia="zh-CN"/>
        </w:rPr>
        <w:t>指</w:t>
      </w:r>
      <w:r>
        <w:rPr>
          <w:rFonts w:hint="eastAsia" w:ascii="仿宋_GB2312" w:hAnsi="仿宋_GB2312" w:eastAsia="仿宋_GB2312" w:cs="仿宋_GB2312"/>
          <w:color w:val="000000"/>
          <w:sz w:val="32"/>
          <w:szCs w:val="32"/>
          <w:shd w:val="clear" w:color="auto" w:fill="FFFFFF"/>
        </w:rPr>
        <w:t>便民服务中心（退役军人服务站）、农业综合服务中心（畜牧兽医站、林业工作站、水利服务站）、乡村建设和文化服务中心、农民工服务中心（社会治安综合治理中心、人力资源和社会保障服务所）。</w:t>
      </w: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420"/>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单位主要职能</w:t>
      </w:r>
    </w:p>
    <w:p>
      <w:pPr>
        <w:spacing w:line="560" w:lineRule="exact"/>
        <w:ind w:left="0" w:leftChars="0"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党政综合与乡村振兴办公室（农业农村</w:t>
      </w:r>
      <w:r>
        <w:rPr>
          <w:rFonts w:hint="eastAsia" w:ascii="仿宋_GB2312" w:hAnsi="仿宋_GB2312" w:eastAsia="仿宋_GB2312" w:cs="仿宋_GB2312"/>
          <w:b/>
          <w:bCs/>
          <w:color w:val="000000"/>
          <w:sz w:val="32"/>
          <w:szCs w:val="32"/>
          <w:shd w:val="clear" w:color="auto" w:fill="FFFFFF"/>
          <w:lang w:val="en-US" w:eastAsia="zh-CN"/>
        </w:rPr>
        <w:t>工作</w:t>
      </w:r>
      <w:r>
        <w:rPr>
          <w:rFonts w:hint="eastAsia" w:ascii="仿宋_GB2312" w:hAnsi="仿宋_GB2312" w:eastAsia="仿宋_GB2312" w:cs="仿宋_GB2312"/>
          <w:b/>
          <w:bCs/>
          <w:color w:val="000000"/>
          <w:sz w:val="32"/>
          <w:szCs w:val="32"/>
          <w:shd w:val="clear" w:color="auto" w:fill="FFFFFF"/>
        </w:rPr>
        <w:t>办公室）：</w:t>
      </w:r>
    </w:p>
    <w:p>
      <w:pPr>
        <w:spacing w:line="560" w:lineRule="exact"/>
        <w:ind w:left="0" w:leftChars="0"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提出农业和农村经济发展及招商引资规划并组织实施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负责项目规划的编制、申报、实施、建设等相关工作。负责对机关和直属事业单位财务收支、固定资产投资项目、内部管理的领导人员履行经济责任等情况进行审计。完成党委、政府交办的其他工作。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2、</w:t>
      </w:r>
      <w:r>
        <w:rPr>
          <w:rFonts w:hint="eastAsia" w:ascii="仿宋_GB2312" w:hAnsi="仿宋_GB2312" w:eastAsia="仿宋_GB2312" w:cs="仿宋_GB2312"/>
          <w:b/>
          <w:bCs/>
          <w:color w:val="000000"/>
          <w:sz w:val="32"/>
          <w:szCs w:val="32"/>
          <w:shd w:val="clear" w:color="auto" w:fill="FFFFFF"/>
        </w:rPr>
        <w:t>党建工作办公室：</w:t>
      </w:r>
      <w:r>
        <w:rPr>
          <w:rFonts w:hint="eastAsia" w:ascii="仿宋_GB2312" w:hAnsi="仿宋_GB2312" w:eastAsia="仿宋_GB2312" w:cs="仿宋_GB2312"/>
          <w:color w:val="000000"/>
          <w:sz w:val="32"/>
          <w:szCs w:val="32"/>
          <w:shd w:val="clear" w:color="auto" w:fill="FFFFFF"/>
        </w:rPr>
        <w:t>负责基层党组织建设工作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numPr>
          <w:ilvl w:val="0"/>
          <w:numId w:val="0"/>
        </w:numPr>
        <w:spacing w:line="56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综合行政执法办公室（应急</w:t>
      </w:r>
      <w:r>
        <w:rPr>
          <w:rFonts w:hint="eastAsia" w:ascii="仿宋_GB2312" w:hAnsi="仿宋_GB2312" w:eastAsia="仿宋_GB2312" w:cs="仿宋_GB2312"/>
          <w:b/>
          <w:bCs/>
          <w:color w:val="000000"/>
          <w:sz w:val="32"/>
          <w:szCs w:val="32"/>
          <w:shd w:val="clear" w:color="auto" w:fill="FFFFFF"/>
          <w:lang w:val="en-US" w:eastAsia="zh-CN"/>
        </w:rPr>
        <w:t>管理</w:t>
      </w:r>
      <w:r>
        <w:rPr>
          <w:rFonts w:hint="eastAsia" w:ascii="仿宋_GB2312" w:hAnsi="仿宋_GB2312" w:eastAsia="仿宋_GB2312" w:cs="仿宋_GB2312"/>
          <w:b/>
          <w:bCs/>
          <w:color w:val="000000"/>
          <w:sz w:val="32"/>
          <w:szCs w:val="32"/>
          <w:shd w:val="clear" w:color="auto" w:fill="FFFFFF"/>
        </w:rPr>
        <w:t>办公室）：</w:t>
      </w:r>
      <w:r>
        <w:rPr>
          <w:rFonts w:hint="eastAsia" w:ascii="仿宋_GB2312" w:hAnsi="仿宋_GB2312" w:eastAsia="仿宋_GB2312" w:cs="仿宋_GB2312"/>
          <w:color w:val="000000"/>
          <w:sz w:val="32"/>
          <w:szCs w:val="32"/>
          <w:shd w:val="clear" w:color="auto" w:fill="FFFFFF"/>
        </w:rPr>
        <w:t>负责统筹协调、监督管理辖区内综合行政执法相关工作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并对综合行政执法人员行使职权情况进行督察。负责组织编制应急预案、规划并组织实施。负责组织开展防灾减灾救灾工作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负责应对自然灾害、安全生产等各类突发性事件</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负责森林防火、地震和地质灾害等工作。负责建设工程质量、交通运输、食品卫生、公共设施等安全监督管理工作。完成党委、政府交办的其他工作。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4</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社会事务办公室：</w:t>
      </w:r>
      <w:r>
        <w:rPr>
          <w:rFonts w:hint="eastAsia" w:ascii="仿宋_GB2312" w:hAnsi="仿宋_GB2312" w:eastAsia="仿宋_GB2312" w:cs="仿宋_GB2312"/>
          <w:color w:val="000000"/>
          <w:sz w:val="32"/>
          <w:szCs w:val="32"/>
          <w:shd w:val="clear" w:color="auto" w:fill="FFFFFF"/>
        </w:rPr>
        <w:t>负责教育、科学技术、卫生健康、职业健康、老龄、人力资源和社会保障、医疗保障、民政、文化、旅游、体育、广播电视、人民防空、退役军人、残疾人事业等领域的管理、指导和监督。完成党委、政府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5</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经济发展办公室（生态环境保护办公室）：</w:t>
      </w:r>
      <w:r>
        <w:rPr>
          <w:rFonts w:hint="eastAsia" w:ascii="仿宋_GB2312" w:hAnsi="仿宋_GB2312" w:eastAsia="仿宋_GB2312" w:cs="仿宋_GB2312"/>
          <w:color w:val="000000"/>
          <w:sz w:val="32"/>
          <w:szCs w:val="32"/>
          <w:shd w:val="clear" w:color="auto" w:fill="FFFFFF"/>
        </w:rPr>
        <w:t>负责辖区经济发展、扶贫开发、生态环境保护等工作。负责工业经济、科技通信、能源管理、民营经济、文旅经济、商贸服务、经济合作、住房和城乡建设、市场监管、粮食和物资储备、统计、供销等领域的监督管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提出经济发展和招商引资规划并组织实施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负责项目规划的编制、申报、实施、建设等相关工作。负责协调推进统筹城乡发展工作。完成党委、政府交办的其他工作。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6</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rPr>
        <w:t>社会治理工作办公室（信访和群众工作办公室）：</w:t>
      </w:r>
      <w:r>
        <w:rPr>
          <w:rFonts w:hint="eastAsia" w:ascii="仿宋_GB2312" w:hAnsi="仿宋_GB2312" w:eastAsia="仿宋_GB2312" w:cs="仿宋_GB2312"/>
          <w:color w:val="000000"/>
          <w:sz w:val="32"/>
          <w:szCs w:val="32"/>
          <w:shd w:val="clear" w:color="auto" w:fill="FFFFFF"/>
        </w:rPr>
        <w:t>负责辖区城乡基层治理体系构建以及基层社会治理效能提升等相关工作。负责综合治理、深化改革、依法治镇、矛盾纠纷调解信访维稳、扫黄打非、防邪等工作。负责流动人口管理工作完成党委、政府交办的其他工作。</w:t>
      </w:r>
    </w:p>
    <w:p>
      <w:pPr>
        <w:spacing w:line="560" w:lineRule="exact"/>
        <w:ind w:left="0" w:leftChars="0" w:firstLine="643" w:firstLineChars="200"/>
      </w:pPr>
      <w:r>
        <w:rPr>
          <w:rFonts w:hint="eastAsia" w:ascii="仿宋_GB2312" w:hAnsi="仿宋_GB2312" w:eastAsia="仿宋_GB2312" w:cs="仿宋_GB2312"/>
          <w:b/>
          <w:bCs/>
          <w:color w:val="000000"/>
          <w:sz w:val="32"/>
          <w:szCs w:val="32"/>
          <w:shd w:val="clear" w:color="auto" w:fill="FFFFFF"/>
          <w:lang w:val="en-US" w:eastAsia="zh-CN"/>
        </w:rPr>
        <w:t>7</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lang w:val="en-US" w:eastAsia="zh-CN"/>
        </w:rPr>
        <w:t>财政所</w:t>
      </w:r>
      <w:r>
        <w:rPr>
          <w:rFonts w:hint="eastAsia" w:ascii="仿宋_GB2312" w:hAnsi="仿宋_GB2312" w:eastAsia="仿宋_GB2312" w:cs="仿宋_GB2312"/>
          <w:b/>
          <w:bCs/>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负责编制和执行本级预算、决算。负责财政资金和国有资产的管理和监督。负责集体资产与村级财务的管理、指导。完成党委、政府交办的其他工作。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8、</w:t>
      </w:r>
      <w:r>
        <w:rPr>
          <w:rFonts w:hint="eastAsia" w:ascii="仿宋_GB2312" w:hAnsi="仿宋_GB2312" w:eastAsia="仿宋_GB2312" w:cs="仿宋_GB2312"/>
          <w:b/>
          <w:bCs/>
          <w:color w:val="000000"/>
          <w:sz w:val="32"/>
          <w:szCs w:val="32"/>
          <w:shd w:val="clear" w:color="auto" w:fill="FFFFFF"/>
        </w:rPr>
        <w:t>便民服务中心（退役军人服务站）：</w:t>
      </w:r>
      <w:r>
        <w:rPr>
          <w:rFonts w:hint="eastAsia" w:ascii="仿宋_GB2312" w:hAnsi="仿宋_GB2312" w:eastAsia="仿宋_GB2312" w:cs="仿宋_GB2312"/>
          <w:color w:val="000000"/>
          <w:sz w:val="32"/>
          <w:szCs w:val="32"/>
          <w:shd w:val="clear" w:color="auto" w:fill="FFFFFF"/>
        </w:rPr>
        <w:t>负责集中受理涉及经济发展、公共管理以及与群众密切相关的政务服务、公共服务便民服务等事项。负责教育、卫生健康、救灾救济、退役军人、残疾人事业等各类社会事务的服务性工作。负责辖区内居民医疗保险参保、缴费、医疗救助等相关事务性工作。负责便民服务中心各窗口的日常运行管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指导村(社区)便民服务站工作。完成党委、政府和上级业务主管部门交办的其他工作。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9、</w:t>
      </w:r>
      <w:r>
        <w:rPr>
          <w:rFonts w:hint="eastAsia" w:ascii="仿宋_GB2312" w:hAnsi="仿宋_GB2312" w:eastAsia="仿宋_GB2312" w:cs="仿宋_GB2312"/>
          <w:b/>
          <w:bCs/>
          <w:color w:val="000000"/>
          <w:sz w:val="32"/>
          <w:szCs w:val="32"/>
          <w:shd w:val="clear" w:color="auto" w:fill="FFFFFF"/>
        </w:rPr>
        <w:t>农业综合服务中心（畜牧兽医站、林业工作站、水利服务站）：</w:t>
      </w:r>
      <w:r>
        <w:rPr>
          <w:rFonts w:hint="eastAsia" w:ascii="仿宋_GB2312" w:hAnsi="仿宋_GB2312" w:eastAsia="仿宋_GB2312" w:cs="仿宋_GB2312"/>
          <w:color w:val="000000"/>
          <w:sz w:val="32"/>
          <w:szCs w:val="32"/>
          <w:shd w:val="clear" w:color="auto" w:fill="FFFFFF"/>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监测预警等相关事务性工作。完成党委、政府和上级业务主管部门交办的其他工作。</w:t>
      </w:r>
    </w:p>
    <w:p>
      <w:pPr>
        <w:spacing w:line="560" w:lineRule="exact"/>
        <w:ind w:left="0" w:leftChars="0"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10、</w:t>
      </w:r>
      <w:r>
        <w:rPr>
          <w:rFonts w:hint="eastAsia" w:ascii="仿宋_GB2312" w:hAnsi="仿宋_GB2312" w:eastAsia="仿宋_GB2312" w:cs="仿宋_GB2312"/>
          <w:b/>
          <w:bCs/>
          <w:color w:val="000000"/>
          <w:sz w:val="32"/>
          <w:szCs w:val="32"/>
          <w:shd w:val="clear" w:color="auto" w:fill="FFFFFF"/>
        </w:rPr>
        <w:t>乡村建设和文化服务中心：</w:t>
      </w:r>
      <w:r>
        <w:rPr>
          <w:rFonts w:hint="eastAsia" w:ascii="仿宋_GB2312" w:hAnsi="仿宋_GB2312" w:eastAsia="仿宋_GB2312" w:cs="仿宋_GB2312"/>
          <w:color w:val="000000"/>
          <w:sz w:val="32"/>
          <w:szCs w:val="32"/>
          <w:shd w:val="clear" w:color="auto" w:fill="FFFFFF"/>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spacing w:line="560" w:lineRule="exact"/>
        <w:ind w:left="0" w:leftChars="0"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11、</w:t>
      </w:r>
      <w:r>
        <w:rPr>
          <w:rFonts w:hint="eastAsia" w:ascii="仿宋_GB2312" w:hAnsi="仿宋_GB2312" w:eastAsia="仿宋_GB2312" w:cs="仿宋_GB2312"/>
          <w:b/>
          <w:bCs/>
          <w:color w:val="000000"/>
          <w:sz w:val="32"/>
          <w:szCs w:val="32"/>
          <w:shd w:val="clear" w:color="auto" w:fill="FFFFFF"/>
        </w:rPr>
        <w:t>农民工服务中心（社会治安综合治理中心、人力资源和社会保障服务所）：</w:t>
      </w:r>
      <w:r>
        <w:rPr>
          <w:rFonts w:hint="eastAsia" w:ascii="仿宋_GB2312" w:hAnsi="仿宋_GB2312" w:eastAsia="仿宋_GB2312" w:cs="仿宋_GB2312"/>
          <w:color w:val="000000"/>
          <w:sz w:val="32"/>
          <w:szCs w:val="32"/>
          <w:shd w:val="clear" w:color="auto" w:fill="FFFFFF"/>
        </w:rPr>
        <w:t>负责农民工输出、培训、维权、回引及返乡创业等服务性工作。负责社会治安综合治理、矛盾纠纷调解信访维稳、安全生产、应急管理等事务性工作。负责就业、社会保障等服务性工作。完成党委、政府和上级业务主管部门交办的其他工作。</w:t>
      </w: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420"/>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人员概况</w:t>
      </w:r>
    </w:p>
    <w:p>
      <w:pPr>
        <w:spacing w:line="560" w:lineRule="exact"/>
        <w:ind w:left="0" w:leftChars="0"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2022年总编制75名，其中行政编制28名，行政工勤编制 3名，事业编制44名。2022年年初预算实有在职人员73人，其中行政人员29人，事业人员41人，行政工勤人员3人。2022年末，全镇实有在职人员72人，其中行政人员27人，事业人员42人，行政工勤人员3人。</w:t>
      </w:r>
    </w:p>
    <w:p>
      <w:pPr>
        <w:spacing w:line="560" w:lineRule="exact"/>
        <w:ind w:left="0" w:leftChars="0" w:firstLine="643" w:firstLineChars="200"/>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（四）自评方法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我镇高度重视预算支出绩效评价工作，成立了以镇长为组长，财务分管领导为副组长，各部门主要负责人为成员的预算支出绩效评价领导小组。</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640" w:firstLineChars="200"/>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按照县财政局绩效评价规程要求，第一阶段为前期准备，由我镇政府牵头，组织有关部门制定了详细的工作方案，明确责任，确定评价指标细则。第二阶段为实施评价阶段，根据上一阶段任务布置，各部门按照要求展开自评工作，并将评价结果报财政所。第三阶段为报告撰写阶段，财政所在各部门自评的基础上，查阅相关文件资料和财务凭证，对收集资料进行定量定性分析，综合评议后形成评价结论，出具绩效评价报告。第四阶段为应用整改阶段，根据整改要求，划定整改时限，确保整改实效。</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二、部门财政资金收支管理情况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（一）部门财政资金收入情况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2022年元山镇人民政府收入总额为1651.43万元，其中：一般公共预算拨款收入1651.43万元，政府性基金预算财政拨款收入0万元，年初结转和结余0万元。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部门财政资金支出情况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一般公共预算财政拨款支出1651.43万元，主要用于以下方面：一般公共服务支出544.66万元，占32.98%；文化旅游体育与传媒支出57.51万元，占3.48%；社会保障和就业支出233.18万元，占14.12%；卫生健康支出39.84万元，占2.41%；节能环保支出220.00万元，占13.32%；城乡社区支出8.8万元，占0.53%；农林水支出487.49万元，占29.52%；住房保障支出59.75万元，占3.62%；灾害防治及应急管理支出0.2万元，占0.01%。</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90" w:lineRule="atLeast"/>
        <w:ind w:left="0" w:right="0" w:firstLine="640" w:firstLineChars="200"/>
        <w:rPr>
          <w:rFonts w:hint="eastAsia" w:ascii="仿宋_GB2312" w:hAnsi="仿宋" w:eastAsia="仿宋_GB2312"/>
          <w:sz w:val="32"/>
          <w:szCs w:val="32"/>
        </w:rPr>
      </w:pPr>
      <w:r>
        <w:rPr>
          <w:rFonts w:hint="eastAsia" w:ascii="仿宋_GB2312" w:hAnsi="仿宋_GB2312" w:eastAsia="仿宋_GB2312" w:cs="仿宋_GB2312"/>
          <w:color w:val="000000"/>
          <w:kern w:val="0"/>
          <w:sz w:val="32"/>
          <w:szCs w:val="32"/>
          <w:lang w:val="en-US" w:eastAsia="zh-CN" w:bidi="ar"/>
        </w:rPr>
        <w:t>2022年“三公”经费支出情况：因公出国（境）费支出决算0.00万元，占0.00%；公务用车购置及运行维护费支出决算0.00万元，占0.00%；公务接待费支出决算4.50万元，占100%。2022年“三公”经费财政拨款支出决算数为5.61万元。 2022年“三公”经费财政拨款支出决算数为4.5万元，完成预算100%，公务接待费支出决算比2021年减少1.11万元，下降19.79%。主要原因是严格执行中央八项规定，厉行节约。主要用于执行公务、开展业务活动开支的交通费、住宿费、用餐费等。国内公务接待130批次，725人次（不包括陪同人员），具体内容包括：接受上级检查及有关单位交流工作情况及接受相关部门督查指导工作发生的接待支出。</w:t>
      </w:r>
    </w:p>
    <w:p>
      <w:pPr>
        <w:keepNext w:val="0"/>
        <w:keepLines w:val="0"/>
        <w:pageBreakBefore w:val="0"/>
        <w:widowControl w:val="0"/>
        <w:numPr>
          <w:ilvl w:val="0"/>
          <w:numId w:val="6"/>
        </w:numPr>
        <w:kinsoku/>
        <w:wordWrap/>
        <w:overflowPunct/>
        <w:topLinePunct w:val="0"/>
        <w:autoSpaceDE/>
        <w:autoSpaceDN/>
        <w:bidi w:val="0"/>
        <w:adjustRightInd/>
        <w:snapToGrid/>
        <w:spacing w:line="6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部门整体预算绩效管理情况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default"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（一）单位预算管理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我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预算动态调整及时、执行及时，预算完成情况良好，无违规记录。</w:t>
      </w:r>
    </w:p>
    <w:p>
      <w:pPr>
        <w:spacing w:line="600" w:lineRule="exact"/>
        <w:ind w:firstLine="640" w:firstLineChars="200"/>
        <w:outlineLvl w:val="1"/>
        <w:rPr>
          <w:rFonts w:hint="eastAsia" w:ascii="仿宋" w:hAnsi="仿宋" w:eastAsia="仿宋" w:cs="仿宋"/>
          <w:color w:val="000000"/>
          <w:sz w:val="32"/>
          <w:szCs w:val="32"/>
        </w:rPr>
      </w:pPr>
      <w:r>
        <w:rPr>
          <w:rFonts w:hint="eastAsia" w:ascii="仿宋_GB2312" w:hAnsi="仿宋_GB2312" w:eastAsia="仿宋_GB2312" w:cs="仿宋_GB2312"/>
          <w:color w:val="000000"/>
          <w:kern w:val="0"/>
          <w:sz w:val="32"/>
          <w:szCs w:val="32"/>
          <w:lang w:val="en-US" w:eastAsia="zh-CN" w:bidi="ar"/>
        </w:rPr>
        <w:t>预期编制：我镇对2022年部门支出进行预算：</w:t>
      </w: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年本年收入合计</w:t>
      </w:r>
      <w:r>
        <w:rPr>
          <w:rFonts w:hint="eastAsia" w:ascii="仿宋_GB2312" w:hAnsi="仿宋" w:eastAsia="仿宋_GB2312"/>
          <w:sz w:val="32"/>
          <w:szCs w:val="32"/>
          <w:lang w:val="en-US" w:eastAsia="zh-CN"/>
        </w:rPr>
        <w:t>1651.43</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1651.43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100</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年初结转和结余0万元，占0%；</w:t>
      </w:r>
      <w:r>
        <w:rPr>
          <w:rFonts w:hint="eastAsia" w:ascii="仿宋" w:hAnsi="仿宋" w:eastAsia="仿宋" w:cs="仿宋"/>
          <w:color w:val="000000"/>
          <w:sz w:val="32"/>
          <w:szCs w:val="32"/>
        </w:rPr>
        <w:t>上级补助收入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万元；事业收入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万元；经营收入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万元；附属单位上缴收入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万元；其他收入</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720" w:leftChars="0" w:right="0" w:rightChars="0"/>
        <w:jc w:val="both"/>
        <w:rPr>
          <w:rFonts w:hint="eastAsia"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（二）结果应用情况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333333"/>
          <w:sz w:val="32"/>
          <w:szCs w:val="32"/>
          <w:shd w:val="clear" w:color="auto" w:fill="FFFFFF"/>
        </w:rPr>
      </w:pPr>
      <w:r>
        <w:rPr>
          <w:rFonts w:hint="eastAsia" w:ascii="仿宋_GB2312" w:hAnsi="仿宋_GB2312" w:eastAsia="仿宋_GB2312" w:cs="仿宋_GB2312"/>
          <w:sz w:val="32"/>
          <w:szCs w:val="32"/>
          <w:lang w:eastAsia="zh-CN"/>
        </w:rPr>
        <w:t>通过对</w:t>
      </w:r>
      <w:r>
        <w:rPr>
          <w:rFonts w:hint="eastAsia" w:ascii="仿宋_GB2312" w:hAnsi="仿宋_GB2312" w:eastAsia="仿宋_GB2312" w:cs="仿宋_GB2312"/>
          <w:sz w:val="32"/>
          <w:szCs w:val="32"/>
        </w:rPr>
        <w:t>本部门20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年部门整体支出绩效自评，</w:t>
      </w:r>
      <w:r>
        <w:rPr>
          <w:rFonts w:hint="eastAsia" w:ascii="仿宋_GB2312" w:hAnsi="仿宋_GB2312" w:eastAsia="仿宋_GB2312" w:cs="仿宋_GB2312"/>
          <w:sz w:val="32"/>
          <w:szCs w:val="32"/>
          <w:lang w:eastAsia="zh-CN"/>
        </w:rPr>
        <w:t>能够严格执行预算管理，达到了预期目的，通过对部门整体支出绩效的自评，有利于更好地加强对</w:t>
      </w:r>
      <w:r>
        <w:rPr>
          <w:rFonts w:hint="eastAsia" w:ascii="仿宋_GB2312" w:hAnsi="仿宋_GB2312" w:eastAsia="仿宋_GB2312" w:cs="仿宋_GB2312"/>
          <w:sz w:val="32"/>
          <w:szCs w:val="32"/>
          <w:lang w:val="en-US" w:eastAsia="zh-CN"/>
        </w:rPr>
        <w:t>2023年部门整体支出的管理，合理分配各项支出，保障</w:t>
      </w:r>
      <w:r>
        <w:rPr>
          <w:rFonts w:hint="eastAsia" w:ascii="仿宋_GB2312" w:hAnsi="仿宋_GB2312" w:eastAsia="仿宋_GB2312" w:cs="仿宋_GB2312"/>
          <w:sz w:val="32"/>
          <w:szCs w:val="32"/>
        </w:rPr>
        <w:t>了重点工作的开展。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四、评价结论及建议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720"/>
        <w:jc w:val="both"/>
        <w:rPr>
          <w:rFonts w:hint="default"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（一）评价结论及存在问题</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绩效评价工作的逐步推进，各部门逐步树立了绩效理念，对预算计算评价工作的态度由“被动接受”变为“主动实施”，但了解还不够深入，对单位绩效不重视，认为绩效评价只是财务部门的事情，相关职责部门配合不够，往往只能提供有限的财经资料或简单的工作计划、工作总结，绩效评价工作资料非常有限，内容粗浅。</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15"/>
        <w:jc w:val="both"/>
        <w:textAlignment w:val="auto"/>
        <w:outlineLvl w:val="9"/>
        <w:rPr>
          <w:rFonts w:hint="default" w:ascii="楷体_GB2312" w:hAnsi="华文仿宋" w:eastAsia="楷体_GB2312" w:cs="Times New Roman"/>
          <w:b/>
          <w:kern w:val="2"/>
          <w:sz w:val="32"/>
          <w:szCs w:val="32"/>
          <w:lang w:val="en-US" w:eastAsia="zh-CN" w:bidi="ar-SA"/>
        </w:rPr>
      </w:pPr>
      <w:r>
        <w:rPr>
          <w:rFonts w:hint="eastAsia" w:ascii="楷体_GB2312" w:hAnsi="华文仿宋" w:eastAsia="楷体_GB2312" w:cs="Times New Roman"/>
          <w:b/>
          <w:kern w:val="2"/>
          <w:sz w:val="32"/>
          <w:szCs w:val="32"/>
          <w:lang w:val="en-US" w:eastAsia="zh-CN" w:bidi="ar-SA"/>
        </w:rPr>
        <w:t>（二）改进建议</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细化预算编制工作，认真做好预算的编制。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2.加强财务管理，严格财务审核。在费用报账支付时，按照预算规定的费用项目和用途进行资金使用审核、列报支付、财务核算，杜绝超支现象的发生。</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4.加强项目开展进度的跟踪，开展项目绩效评价，确保项目绩效目标的完成。</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tbl>
      <w:tblPr>
        <w:tblStyle w:val="22"/>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438"/>
        <w:gridCol w:w="452"/>
        <w:gridCol w:w="770"/>
        <w:gridCol w:w="939"/>
        <w:gridCol w:w="266"/>
        <w:gridCol w:w="940"/>
        <w:gridCol w:w="237"/>
        <w:gridCol w:w="979"/>
        <w:gridCol w:w="268"/>
        <w:gridCol w:w="1043"/>
        <w:gridCol w:w="697"/>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2" w:hRule="atLeast"/>
        </w:trPr>
        <w:tc>
          <w:tcPr>
            <w:tcW w:w="1629" w:type="dxa"/>
            <w:gridSpan w:val="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770" w:type="dxa"/>
            <w:tcBorders>
              <w:top w:val="nil"/>
              <w:left w:val="nil"/>
              <w:bottom w:val="nil"/>
              <w:right w:val="nil"/>
            </w:tcBorders>
            <w:shd w:val="clear" w:color="auto" w:fill="auto"/>
            <w:vAlign w:val="center"/>
          </w:tcPr>
          <w:p>
            <w:pPr>
              <w:jc w:val="both"/>
              <w:rPr>
                <w:rFonts w:hint="eastAsia" w:ascii="黑体" w:hAnsi="宋体" w:eastAsia="黑体" w:cs="黑体"/>
                <w:i w:val="0"/>
                <w:iCs w:val="0"/>
                <w:color w:val="000000"/>
                <w:sz w:val="21"/>
                <w:szCs w:val="21"/>
                <w:u w:val="none"/>
              </w:rPr>
            </w:pPr>
          </w:p>
        </w:tc>
        <w:tc>
          <w:tcPr>
            <w:tcW w:w="939"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6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940"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37"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979"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8"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43"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697"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745"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8513"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68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元山</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49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49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2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1651.43</w:t>
            </w:r>
          </w:p>
        </w:tc>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1651.43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40"/>
                <w:sz w:val="16"/>
                <w:szCs w:val="16"/>
                <w:lang w:val="en-US" w:eastAsia="zh-CN" w:bidi="ar"/>
              </w:rPr>
              <w:t xml:space="preserve"> 其中：财政拨款</w:t>
            </w:r>
          </w:p>
        </w:tc>
        <w:tc>
          <w:tcPr>
            <w:tcW w:w="2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1651.43</w:t>
            </w:r>
          </w:p>
        </w:tc>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1651.43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2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286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4909"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0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490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cs="宋体"/>
                <w:i w:val="0"/>
                <w:iCs w:val="0"/>
                <w:color w:val="000000"/>
                <w:kern w:val="0"/>
                <w:sz w:val="13"/>
                <w:szCs w:val="13"/>
                <w:u w:val="none"/>
                <w:lang w:val="en-US" w:eastAsia="zh-CN" w:bidi="ar"/>
              </w:rPr>
              <w:t>1651.43</w:t>
            </w:r>
            <w:r>
              <w:rPr>
                <w:rFonts w:hint="eastAsia" w:ascii="宋体" w:hAnsi="宋体" w:eastAsia="宋体" w:cs="宋体"/>
                <w:i w:val="0"/>
                <w:iCs w:val="0"/>
                <w:color w:val="000000"/>
                <w:kern w:val="0"/>
                <w:sz w:val="13"/>
                <w:szCs w:val="13"/>
                <w:u w:val="none"/>
                <w:lang w:val="en-US" w:eastAsia="zh-CN" w:bidi="ar"/>
              </w:rPr>
              <w:t>万元</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cs="宋体"/>
                <w:i w:val="0"/>
                <w:iCs w:val="0"/>
                <w:color w:val="000000"/>
                <w:kern w:val="0"/>
                <w:sz w:val="13"/>
                <w:szCs w:val="13"/>
                <w:u w:val="none"/>
                <w:lang w:val="en-US" w:eastAsia="zh-CN" w:bidi="ar"/>
              </w:rPr>
              <w:t>1651.43</w:t>
            </w:r>
            <w:r>
              <w:rPr>
                <w:rFonts w:hint="eastAsia" w:ascii="宋体" w:hAnsi="宋体" w:eastAsia="宋体" w:cs="宋体"/>
                <w:i w:val="0"/>
                <w:iCs w:val="0"/>
                <w:color w:val="000000"/>
                <w:kern w:val="0"/>
                <w:sz w:val="13"/>
                <w:szCs w:val="13"/>
                <w:u w:val="none"/>
                <w:lang w:val="en-US" w:eastAsia="zh-CN" w:bidi="ar"/>
              </w:rPr>
              <w:t>万元</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6"/>
                <w:szCs w:val="16"/>
                <w:u w:val="none"/>
              </w:rPr>
            </w:pPr>
          </w:p>
        </w:tc>
      </w:tr>
    </w:tbl>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p>
    <w:p>
      <w:pPr>
        <w:pStyle w:val="2"/>
        <w:spacing w:before="93"/>
        <w:rPr>
          <w:lang w:val="zh-CN"/>
        </w:rPr>
      </w:pPr>
      <w:r>
        <w:rPr>
          <w:rFonts w:hint="eastAsia" w:hAnsi="宋体" w:cs="宋体"/>
          <w:sz w:val="32"/>
          <w:szCs w:val="32"/>
          <w:shd w:val="clear" w:color="auto" w:fill="FFFFFF"/>
          <w:lang w:val="zh-CN"/>
        </w:rPr>
        <w:t>附件</w:t>
      </w: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黑体" w:hAnsi="黑体" w:eastAsia="黑体" w:cs="方正小标宋简体"/>
          <w:sz w:val="44"/>
          <w:szCs w:val="44"/>
        </w:rPr>
        <w:t>垃圾清运及</w:t>
      </w:r>
      <w:r>
        <w:rPr>
          <w:rFonts w:hint="eastAsia" w:ascii="黑体" w:hAnsi="黑体" w:eastAsia="黑体" w:cs="方正小标宋简体"/>
          <w:sz w:val="44"/>
          <w:szCs w:val="44"/>
          <w:lang w:eastAsia="zh-CN"/>
        </w:rPr>
        <w:t>处置费</w:t>
      </w:r>
      <w:r>
        <w:rPr>
          <w:rFonts w:hint="eastAsia" w:ascii="方正小标宋简体" w:hAnsi="方正小标宋简体" w:eastAsia="方正小标宋简体" w:cs="方正小标宋简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我镇202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年垃圾清运及转运项目预算资金</w:t>
      </w:r>
      <w:r>
        <w:rPr>
          <w:rFonts w:hint="eastAsia" w:ascii="仿宋_GB2312" w:hAnsi="仿宋_GB2312" w:eastAsia="仿宋_GB2312" w:cs="仿宋_GB2312"/>
          <w:sz w:val="32"/>
          <w:szCs w:val="32"/>
          <w:lang w:val="en-US" w:eastAsia="zh-CN"/>
        </w:rPr>
        <w:t>8.80</w:t>
      </w:r>
      <w:r>
        <w:rPr>
          <w:rFonts w:hint="default" w:ascii="仿宋_GB2312" w:hAnsi="仿宋_GB2312" w:eastAsia="仿宋_GB2312" w:cs="仿宋_GB2312"/>
          <w:sz w:val="32"/>
          <w:szCs w:val="32"/>
          <w:lang w:val="en-US" w:eastAsia="zh-CN"/>
        </w:rPr>
        <w:t>万元，针对我镇</w:t>
      </w:r>
      <w:r>
        <w:rPr>
          <w:rFonts w:hint="eastAsia" w:ascii="仿宋_GB2312" w:hAnsi="仿宋_GB2312" w:eastAsia="仿宋_GB2312" w:cs="仿宋_GB2312"/>
          <w:sz w:val="32"/>
          <w:szCs w:val="32"/>
          <w:lang w:val="en-US" w:eastAsia="zh-CN"/>
        </w:rPr>
        <w:t>城乡环卫垃圾清运及处置</w:t>
      </w:r>
      <w:r>
        <w:rPr>
          <w:rFonts w:hint="default" w:ascii="仿宋_GB2312" w:hAnsi="仿宋_GB2312" w:eastAsia="仿宋_GB2312" w:cs="仿宋_GB2312"/>
          <w:sz w:val="32"/>
          <w:szCs w:val="32"/>
          <w:lang w:val="en-US" w:eastAsia="zh-CN"/>
        </w:rPr>
        <w:t>的实际情况，严格按照资金用途在</w:t>
      </w:r>
      <w:r>
        <w:rPr>
          <w:rFonts w:hint="eastAsia" w:ascii="仿宋_GB2312" w:hAnsi="仿宋_GB2312" w:eastAsia="仿宋_GB2312" w:cs="仿宋_GB2312"/>
          <w:sz w:val="32"/>
          <w:szCs w:val="32"/>
          <w:lang w:val="en-US" w:eastAsia="zh-CN"/>
        </w:rPr>
        <w:t>一体化系统</w:t>
      </w:r>
      <w:r>
        <w:rPr>
          <w:rFonts w:hint="default" w:ascii="仿宋_GB2312" w:hAnsi="仿宋_GB2312" w:eastAsia="仿宋_GB2312" w:cs="仿宋_GB2312"/>
          <w:sz w:val="32"/>
          <w:szCs w:val="32"/>
          <w:lang w:val="en-US" w:eastAsia="zh-CN"/>
        </w:rPr>
        <w:t>申报，按照资金专项管理办法对支出的每一笔资金都严格审批，专款专用。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r>
        <w:rPr>
          <w:rFonts w:hint="eastAsia" w:ascii="仿宋" w:hAnsi="仿宋" w:eastAsia="仿宋" w:cs="仿宋_GB2312"/>
          <w:sz w:val="32"/>
          <w:szCs w:val="32"/>
        </w:rPr>
        <w:t>保障场镇及周边的优美环境，</w:t>
      </w:r>
      <w:r>
        <w:rPr>
          <w:rFonts w:hint="eastAsia" w:ascii="仿宋_GB2312" w:hAnsi="宋体" w:eastAsia="仿宋_GB2312"/>
          <w:sz w:val="32"/>
          <w:szCs w:val="32"/>
          <w:lang w:val="zh-CN"/>
        </w:rPr>
        <w:t>完成场镇垃圾清运，</w:t>
      </w:r>
      <w:r>
        <w:rPr>
          <w:rFonts w:hint="eastAsia" w:ascii="仿宋" w:hAnsi="仿宋" w:eastAsia="仿宋" w:cs="仿宋_GB2312"/>
          <w:sz w:val="32"/>
          <w:szCs w:val="32"/>
        </w:rPr>
        <w:t>配备专职人员，对垃圾收集、清运实施日常监督和考核。</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镇人民政府生活垃圾无害化处理场配备专职人员，对垃圾处理实施日常监督和考核。</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rPr>
        <w:t>2．项目应实现的具体绩效目标：产出指标：完成场镇及周边垃圾清运（车）不少于</w:t>
      </w:r>
      <w:r>
        <w:rPr>
          <w:rFonts w:hint="eastAsia" w:ascii="仿宋_GB2312" w:hAnsi="宋体" w:eastAsia="仿宋_GB2312"/>
          <w:sz w:val="32"/>
          <w:szCs w:val="32"/>
          <w:lang w:val="en-US" w:eastAsia="zh-CN"/>
        </w:rPr>
        <w:t>120车；环境卫生质量达到优；项目成果时效为2022年度；转运成本（元/车）小于等于750元/车</w:t>
      </w:r>
      <w:r>
        <w:rPr>
          <w:rFonts w:hint="eastAsia" w:ascii="仿宋_GB2312" w:hAnsi="宋体" w:eastAsia="仿宋_GB2312"/>
          <w:sz w:val="32"/>
          <w:szCs w:val="32"/>
          <w:lang w:val="zh-CN"/>
        </w:rPr>
        <w:t>。绩效指标：城乡环境，有效改善城乡环境，提升群众生活幸福指数。满意度指标：群众满意度大于等于</w:t>
      </w:r>
      <w:r>
        <w:rPr>
          <w:rFonts w:hint="eastAsia" w:ascii="仿宋_GB2312" w:hAnsi="宋体" w:eastAsia="仿宋_GB2312"/>
          <w:sz w:val="32"/>
          <w:szCs w:val="32"/>
          <w:lang w:val="en-US" w:eastAsia="zh-CN"/>
        </w:rPr>
        <w:t>95%。</w:t>
      </w:r>
    </w:p>
    <w:p>
      <w:pPr>
        <w:spacing w:line="580" w:lineRule="exact"/>
        <w:ind w:firstLine="640" w:firstLineChars="200"/>
        <w:rPr>
          <w:rFonts w:hint="eastAsia" w:ascii="仿宋_GB2312" w:hAnsi="宋体" w:eastAsia="仿宋"/>
          <w:sz w:val="32"/>
          <w:szCs w:val="32"/>
          <w:lang w:val="zh-CN" w:eastAsia="zh-CN"/>
        </w:rPr>
      </w:pPr>
      <w:r>
        <w:rPr>
          <w:rFonts w:hint="eastAsia" w:ascii="仿宋_GB2312" w:hAnsi="宋体" w:eastAsia="仿宋_GB2312"/>
          <w:sz w:val="32"/>
          <w:szCs w:val="32"/>
          <w:lang w:val="zh-CN"/>
        </w:rPr>
        <w:t>3．</w:t>
      </w:r>
      <w:r>
        <w:rPr>
          <w:rFonts w:hint="eastAsia" w:ascii="仿宋" w:hAnsi="仿宋" w:eastAsia="仿宋" w:cs="仿宋_GB2312"/>
          <w:sz w:val="32"/>
          <w:szCs w:val="32"/>
        </w:rPr>
        <w:t>本项目是一项环境综合治理的公益性工程，项目实施后社会效益经济效益、环境效益凸显，具有可持续性。</w:t>
      </w:r>
      <w:r>
        <w:rPr>
          <w:rFonts w:hint="eastAsia" w:ascii="仿宋" w:hAnsi="仿宋" w:eastAsia="仿宋" w:cs="仿宋_GB2312"/>
          <w:sz w:val="32"/>
          <w:szCs w:val="32"/>
          <w:lang w:eastAsia="zh-CN"/>
        </w:rPr>
        <w:t>申报目标设定合理。</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ascii="仿宋_GB2312" w:hAnsi="宋体" w:eastAsia="仿宋_GB2312"/>
          <w:sz w:val="32"/>
          <w:szCs w:val="32"/>
          <w:lang w:val="zh-CN"/>
        </w:rPr>
      </w:pPr>
      <w:r>
        <w:rPr>
          <w:rFonts w:hint="default" w:ascii="仿宋" w:hAnsi="仿宋" w:eastAsia="仿宋" w:cs="仿宋_GB2312"/>
          <w:sz w:val="32"/>
          <w:szCs w:val="32"/>
          <w:lang w:val="en-US" w:eastAsia="zh-CN"/>
        </w:rPr>
        <w:t>部门</w:t>
      </w:r>
      <w:r>
        <w:rPr>
          <w:rFonts w:hint="eastAsia" w:ascii="仿宋" w:hAnsi="仿宋" w:eastAsia="仿宋" w:cs="仿宋_GB2312"/>
          <w:sz w:val="32"/>
          <w:szCs w:val="32"/>
          <w:lang w:val="en-US" w:eastAsia="zh-CN"/>
        </w:rPr>
        <w:t>对</w:t>
      </w:r>
      <w:r>
        <w:rPr>
          <w:rFonts w:hint="default" w:ascii="仿宋" w:hAnsi="仿宋" w:eastAsia="仿宋" w:cs="仿宋_GB2312"/>
          <w:sz w:val="32"/>
          <w:szCs w:val="32"/>
          <w:lang w:val="en-US" w:eastAsia="zh-CN"/>
        </w:rPr>
        <w:t>垃圾收集、清运、处理的监督考核建立了考核监督制度，考核细则健全，扣分项目、处罚措施明确。</w:t>
      </w:r>
      <w:r>
        <w:rPr>
          <w:rFonts w:hint="eastAsia" w:ascii="仿宋" w:hAnsi="仿宋" w:eastAsia="仿宋" w:cs="仿宋_GB2312"/>
          <w:sz w:val="32"/>
          <w:szCs w:val="32"/>
          <w:lang w:val="en-US" w:eastAsia="zh-CN"/>
        </w:rPr>
        <w:t>根据综合得分，组织分管领导及部门负责人对本年度垃圾清运及处置费项目进行评估，评价项目效益，并提出改进措施。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22"/>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4"/>
        <w:gridCol w:w="2794"/>
        <w:gridCol w:w="1123"/>
        <w:gridCol w:w="1657"/>
        <w:gridCol w:w="533"/>
        <w:gridCol w:w="1080"/>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垃圾清运及处置费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6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赖雷15283923555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剑阁县财政局</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6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元山</w:t>
            </w:r>
            <w:r>
              <w:rPr>
                <w:rFonts w:hint="eastAsia" w:ascii="宋体" w:hAnsi="宋体" w:eastAsia="宋体" w:cs="宋体"/>
                <w:i w:val="0"/>
                <w:iCs w:val="0"/>
                <w:color w:val="000000"/>
                <w:kern w:val="0"/>
                <w:sz w:val="20"/>
                <w:szCs w:val="20"/>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8.80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lang w:val="en-US" w:eastAsia="zh-CN" w:bidi="ar"/>
              </w:rPr>
              <w:t xml:space="preserve"> 其中：中央、省、市财政资金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lang w:val="en-US" w:eastAsia="zh-CN" w:bidi="ar"/>
              </w:rPr>
              <w:t xml:space="preserve">       县级财政资金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lang w:val="en-US" w:eastAsia="zh-CN" w:bidi="ar"/>
              </w:rPr>
              <w:t xml:space="preserve">       其他资金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3"/>
        <w:rPr>
          <w:lang w:val="zh-CN"/>
        </w:rPr>
      </w:pPr>
    </w:p>
    <w:p>
      <w:pPr>
        <w:pStyle w:val="23"/>
        <w:rPr>
          <w:lang w:val="zh-CN"/>
        </w:rPr>
      </w:pPr>
    </w:p>
    <w:p>
      <w:pPr>
        <w:pStyle w:val="23"/>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3"/>
        <w:ind w:firstLine="964" w:firstLineChars="300"/>
        <w:rPr>
          <w:rFonts w:hint="default" w:eastAsia="楷体_GB2312"/>
          <w:lang w:val="en-US" w:eastAsia="zh-CN"/>
        </w:rPr>
      </w:pPr>
      <w:r>
        <w:rPr>
          <w:rFonts w:hint="eastAsia" w:ascii="楷体_GB2312" w:hAnsi="宋体" w:eastAsia="楷体_GB2312"/>
          <w:b/>
          <w:sz w:val="32"/>
          <w:szCs w:val="32"/>
          <w:lang w:val="zh-CN"/>
        </w:rPr>
        <w:t>申报项目－</w:t>
      </w:r>
      <w:r>
        <w:rPr>
          <w:rFonts w:hint="eastAsia" w:ascii="楷体_GB2312" w:hAnsi="宋体" w:eastAsia="楷体_GB2312"/>
          <w:b/>
          <w:sz w:val="32"/>
          <w:szCs w:val="32"/>
          <w:lang w:val="en-US" w:eastAsia="zh-CN"/>
        </w:rPr>
        <w:t>项目执行－项目监督－项目评价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镇人民政府的清运项目的实施，确保了城乡垃圾的日产日清，改善了城乡卫生环境，</w:t>
      </w:r>
      <w:r>
        <w:rPr>
          <w:rFonts w:hint="eastAsia" w:ascii="仿宋" w:hAnsi="仿宋" w:eastAsia="仿宋" w:cs="仿宋_GB2312"/>
          <w:sz w:val="32"/>
          <w:szCs w:val="32"/>
          <w:lang w:eastAsia="zh-CN"/>
        </w:rPr>
        <w:t>同时</w:t>
      </w:r>
      <w:r>
        <w:rPr>
          <w:rFonts w:hint="eastAsia" w:ascii="仿宋" w:hAnsi="仿宋" w:eastAsia="仿宋" w:cs="仿宋_GB2312"/>
          <w:sz w:val="32"/>
          <w:szCs w:val="32"/>
        </w:rPr>
        <w:t>项目实施</w:t>
      </w:r>
      <w:r>
        <w:rPr>
          <w:rFonts w:hint="eastAsia" w:ascii="仿宋" w:hAnsi="仿宋" w:eastAsia="仿宋" w:cs="仿宋_GB2312"/>
          <w:sz w:val="32"/>
          <w:szCs w:val="32"/>
          <w:lang w:eastAsia="zh-CN"/>
        </w:rPr>
        <w:t>监督</w:t>
      </w:r>
      <w:r>
        <w:rPr>
          <w:rFonts w:hint="eastAsia" w:ascii="仿宋" w:hAnsi="仿宋" w:eastAsia="仿宋" w:cs="仿宋_GB2312"/>
          <w:sz w:val="32"/>
          <w:szCs w:val="32"/>
        </w:rPr>
        <w:t>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本项目实施组织严密，管理规范有序，资金使用管理到位，实施后社会经济效益凸显。</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镇人民政府生活垃圾无害化处理场配备专职人员，对垃圾处理实施日常监督和考核。为了加强项目的资金管理，我</w:t>
      </w:r>
      <w:r>
        <w:rPr>
          <w:rFonts w:hint="eastAsia" w:ascii="仿宋" w:hAnsi="仿宋" w:eastAsia="仿宋" w:cs="仿宋_GB2312"/>
          <w:sz w:val="32"/>
          <w:szCs w:val="32"/>
          <w:lang w:eastAsia="zh-CN"/>
        </w:rPr>
        <w:t>镇</w:t>
      </w:r>
      <w:r>
        <w:rPr>
          <w:rFonts w:hint="eastAsia" w:ascii="仿宋" w:hAnsi="仿宋" w:eastAsia="仿宋" w:cs="仿宋_GB2312"/>
          <w:sz w:val="32"/>
          <w:szCs w:val="32"/>
        </w:rPr>
        <w:t>制定了重点工程项目建设管理和财务管理制度，并将该项目纳入县级重点工程财务核算，实行集中支付和报账制，确保资金封闭运行，项目实施中县财政、县审计以及监察部门定期或不定期</w:t>
      </w:r>
      <w:r>
        <w:rPr>
          <w:rFonts w:hint="eastAsia" w:ascii="仿宋" w:hAnsi="仿宋" w:eastAsia="仿宋" w:cs="仿宋_GB2312"/>
          <w:sz w:val="32"/>
          <w:szCs w:val="32"/>
          <w:lang w:eastAsia="zh-CN"/>
        </w:rPr>
        <w:t>地</w:t>
      </w:r>
      <w:r>
        <w:rPr>
          <w:rFonts w:hint="eastAsia" w:ascii="仿宋" w:hAnsi="仿宋" w:eastAsia="仿宋" w:cs="仿宋_GB2312"/>
          <w:sz w:val="32"/>
          <w:szCs w:val="32"/>
        </w:rPr>
        <w:t>实行检查、督察，确保项目资金的安全运行。</w:t>
      </w:r>
    </w:p>
    <w:p>
      <w:pPr>
        <w:spacing w:line="580" w:lineRule="exact"/>
        <w:ind w:firstLine="640" w:firstLineChars="200"/>
        <w:rPr>
          <w:rFonts w:ascii="楷体_GB2312" w:hAnsi="宋体" w:eastAsia="楷体_GB2312"/>
          <w:b/>
          <w:sz w:val="32"/>
          <w:szCs w:val="32"/>
          <w:lang w:val="zh-CN"/>
        </w:rPr>
      </w:pPr>
      <w:r>
        <w:rPr>
          <w:rFonts w:hint="eastAsia" w:ascii="仿宋" w:hAnsi="仿宋" w:eastAsia="仿宋"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宋体" w:eastAsia="仿宋_GB2312"/>
          <w:sz w:val="32"/>
          <w:szCs w:val="32"/>
          <w:lang w:val="zh-CN"/>
        </w:rPr>
        <w:t>。</w:t>
      </w:r>
      <w:r>
        <w:rPr>
          <w:rFonts w:hint="eastAsia" w:ascii="仿宋" w:hAnsi="仿宋" w:eastAsia="仿宋" w:cs="仿宋_GB2312"/>
          <w:sz w:val="32"/>
          <w:szCs w:val="32"/>
        </w:rPr>
        <w:t>确保了城乡垃圾的日产日清，改善了城乡卫生环境，项目实施到位，产生了良好的社会环境效益。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1、社会效益：通过项目的实施，可改善居民的生活和生态环境，进而提高居民的生活水平和健康水平，保护</w:t>
      </w:r>
      <w:r>
        <w:rPr>
          <w:rFonts w:hint="eastAsia" w:ascii="仿宋" w:hAnsi="仿宋" w:eastAsia="仿宋" w:cs="仿宋_GB2312"/>
          <w:sz w:val="32"/>
          <w:szCs w:val="32"/>
          <w:lang w:val="en-US" w:eastAsia="zh-CN"/>
        </w:rPr>
        <w:t>元山镇</w:t>
      </w:r>
      <w:r>
        <w:rPr>
          <w:rFonts w:hint="default" w:ascii="仿宋" w:hAnsi="仿宋" w:eastAsia="仿宋" w:cs="仿宋_GB2312"/>
          <w:sz w:val="32"/>
          <w:szCs w:val="32"/>
          <w:lang w:val="en-US" w:eastAsia="zh-CN"/>
        </w:rPr>
        <w:t>整体环境和恢复生态平衡，从而保证整个剑阁县社会经济又好又快发展。</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2、环境效益：通过项目的实施，将</w:t>
      </w:r>
      <w:r>
        <w:rPr>
          <w:rFonts w:hint="eastAsia" w:ascii="仿宋" w:hAnsi="仿宋" w:eastAsia="仿宋" w:cs="仿宋_GB2312"/>
          <w:sz w:val="32"/>
          <w:szCs w:val="32"/>
          <w:lang w:val="en-US" w:eastAsia="zh-CN"/>
        </w:rPr>
        <w:t>能够有力地的</w:t>
      </w:r>
      <w:r>
        <w:rPr>
          <w:rFonts w:hint="default" w:ascii="仿宋" w:hAnsi="仿宋" w:eastAsia="仿宋" w:cs="仿宋_GB2312"/>
          <w:sz w:val="32"/>
          <w:szCs w:val="32"/>
          <w:lang w:val="en-US" w:eastAsia="zh-CN"/>
        </w:rPr>
        <w:t>缓解整个</w:t>
      </w:r>
      <w:r>
        <w:rPr>
          <w:rFonts w:hint="eastAsia" w:ascii="仿宋" w:hAnsi="仿宋" w:eastAsia="仿宋" w:cs="仿宋_GB2312"/>
          <w:sz w:val="32"/>
          <w:szCs w:val="32"/>
          <w:lang w:val="en-US" w:eastAsia="zh-CN"/>
        </w:rPr>
        <w:t>剑阁</w:t>
      </w:r>
      <w:r>
        <w:rPr>
          <w:rFonts w:hint="default" w:ascii="仿宋" w:hAnsi="仿宋" w:eastAsia="仿宋" w:cs="仿宋_GB2312"/>
          <w:sz w:val="32"/>
          <w:szCs w:val="32"/>
          <w:lang w:val="en-US" w:eastAsia="zh-CN"/>
        </w:rPr>
        <w:t>县生活垃圾带来的环境污染和各种社会、经济问题，改善</w:t>
      </w:r>
      <w:r>
        <w:rPr>
          <w:rFonts w:hint="eastAsia" w:ascii="仿宋" w:hAnsi="仿宋" w:eastAsia="仿宋" w:cs="仿宋_GB2312"/>
          <w:sz w:val="32"/>
          <w:szCs w:val="32"/>
          <w:lang w:val="en-US" w:eastAsia="zh-CN"/>
        </w:rPr>
        <w:t>剑阁</w:t>
      </w:r>
      <w:r>
        <w:rPr>
          <w:rFonts w:hint="default" w:ascii="仿宋" w:hAnsi="仿宋" w:eastAsia="仿宋" w:cs="仿宋_GB2312"/>
          <w:sz w:val="32"/>
          <w:szCs w:val="32"/>
          <w:lang w:val="en-US" w:eastAsia="zh-CN"/>
        </w:rPr>
        <w:t>县大气环境质量，消除和减少疾病传播，从而改善剑阁县城市容貌和环境卫生条件，提高剑阁县的招商引资能力。</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3、经济效益：每吨生活垃圾可以分选出48.8%的RDF，替代煤作为燃料。按照RDF的低位热值1800Kcal/吨，通过项目的实施可以年节约一定数量标煤，具有显著的经济效益。</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4、可持续影响：通过项目的实施，可持续地改善垃圾收集转运及处理效率，加强再生资源利用、垃圾分类回收仓储，可持续提高人民生活质量，并可取得良好的社会、经济和环境效益，具有可持续影响。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我们认为：</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镇人民政府的清运项目的实施，确保了城乡垃圾的日产日清，改善了城乡卫生环境，项目实施到位，产生了良好的社会环境效益。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镇人民政府清运项目绩效评价指标表考评，此次评价指标总分值</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分，综合得分为9</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未严格执行考核制度。</w:t>
      </w:r>
      <w:r>
        <w:rPr>
          <w:rFonts w:hint="eastAsia" w:ascii="仿宋" w:hAnsi="仿宋" w:eastAsia="仿宋" w:cs="仿宋_GB2312"/>
          <w:sz w:val="32"/>
          <w:szCs w:val="32"/>
        </w:rPr>
        <w:t>垃圾收集、清运、处理的监督考核部门虽然建立了对项目实施单位垃圾收集、清运、处理的考核监督制度，考核细则健全，扣分项目、处罚措施明确。但是，剑阁县生活垃圾无害化处理场未执行考核制度，即未对项目实施方的垃圾处理过程和结果进行考核。</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环境卫生项目建设完成后，要经常监督检查其使用情况，并做好后期维护和保养工作；</w:t>
      </w:r>
      <w:r>
        <w:rPr>
          <w:rFonts w:hint="eastAsia" w:ascii="仿宋" w:hAnsi="仿宋" w:eastAsia="仿宋" w:cs="仿宋_GB2312"/>
          <w:sz w:val="32"/>
          <w:szCs w:val="32"/>
          <w:lang w:eastAsia="zh-CN"/>
        </w:rPr>
        <w:t>重视</w:t>
      </w:r>
      <w:r>
        <w:rPr>
          <w:rFonts w:hint="eastAsia" w:ascii="仿宋" w:hAnsi="仿宋" w:eastAsia="仿宋" w:cs="仿宋_GB2312"/>
          <w:sz w:val="32"/>
          <w:szCs w:val="32"/>
        </w:rPr>
        <w:t>环卫设施的保洁除味工作</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 及时清理垃圾，多清洁垃圾桶；及时维修环卫设备，尽量避免垃圾车漏水污染环境；加强垃圾中转站、垃圾压缩站的管理，防止“跑、冒、滴、臭”，改善周边环境，防止二次污染。</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rFonts w:hint="eastAsia" w:eastAsia="仿宋_GB2312"/>
          <w:lang w:val="en-US" w:eastAsia="zh-CN"/>
        </w:rPr>
      </w:pPr>
    </w:p>
    <w:p>
      <w:pPr>
        <w:pStyle w:val="2"/>
        <w:spacing w:before="93"/>
        <w:rPr>
          <w:rFonts w:hint="eastAsia" w:eastAsia="仿宋_GB2312"/>
          <w:lang w:val="en-US" w:eastAsia="zh-CN"/>
        </w:rPr>
      </w:pPr>
    </w:p>
    <w:tbl>
      <w:tblPr>
        <w:tblStyle w:val="2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年垃圾清运及处置费项目绩效目标自评</w:t>
            </w:r>
            <w:r>
              <w:rPr>
                <w:rFonts w:hint="eastAsia" w:ascii="宋体" w:hAnsi="宋体" w:cs="宋体"/>
                <w:b/>
                <w:sz w:val="32"/>
                <w:szCs w:val="32"/>
                <w:lang w:val="en-US" w:eastAsia="zh-CN"/>
              </w:rPr>
              <w:t>表</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剑阁县</w:t>
            </w:r>
            <w:r>
              <w:rPr>
                <w:rFonts w:hint="eastAsia" w:ascii="宋体" w:hAnsi="宋体" w:cs="宋体"/>
                <w:sz w:val="24"/>
                <w:lang w:eastAsia="zh-CN"/>
              </w:rPr>
              <w:t>元山</w:t>
            </w:r>
            <w:r>
              <w:rPr>
                <w:rFonts w:hint="eastAsia" w:ascii="宋体" w:hAnsi="宋体" w:cs="宋体"/>
                <w:sz w:val="24"/>
              </w:rPr>
              <w:t>镇人民政府</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8.80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宋体" w:hAnsi="宋体" w:eastAsia="宋体" w:cs="宋体"/>
                <w:sz w:val="24"/>
                <w:lang w:val="en-US" w:eastAsia="zh-CN"/>
              </w:rPr>
            </w:pPr>
            <w:r>
              <w:rPr>
                <w:rFonts w:hint="eastAsia" w:ascii="宋体" w:hAnsi="宋体" w:cs="宋体"/>
                <w:sz w:val="24"/>
                <w:lang w:val="en-US" w:eastAsia="zh-CN"/>
              </w:rPr>
              <w:t>8.80</w:t>
            </w:r>
          </w:p>
        </w:tc>
      </w:tr>
      <w:tr>
        <w:tblPrEx>
          <w:tblLayout w:type="fixed"/>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cs="宋体"/>
                <w:sz w:val="24"/>
                <w:lang w:val="en-US"/>
              </w:rPr>
            </w:pPr>
            <w:r>
              <w:rPr>
                <w:rFonts w:hint="eastAsia" w:ascii="宋体" w:hAnsi="宋体" w:cs="宋体"/>
                <w:sz w:val="24"/>
                <w:lang w:val="en-US" w:eastAsia="zh-CN"/>
              </w:rPr>
              <w:t>8.80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宋体" w:hAnsi="宋体" w:cs="宋体"/>
                <w:sz w:val="24"/>
                <w:lang w:val="en-US"/>
              </w:rPr>
            </w:pPr>
            <w:r>
              <w:rPr>
                <w:rFonts w:hint="eastAsia" w:ascii="宋体" w:hAnsi="宋体" w:cs="宋体"/>
                <w:sz w:val="24"/>
                <w:lang w:val="en-US" w:eastAsia="zh-CN"/>
              </w:rPr>
              <w:t>8.80</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Layout w:type="fixed"/>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Layout w:type="fixed"/>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rPr>
              <w:t>保障场镇及周边的优美环境，清运垃圾</w:t>
            </w:r>
            <w:r>
              <w:rPr>
                <w:rFonts w:hint="eastAsia" w:ascii="宋体" w:hAnsi="宋体" w:cs="宋体"/>
                <w:sz w:val="24"/>
                <w:lang w:eastAsia="zh-CN"/>
              </w:rPr>
              <w:t>。</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lang w:eastAsia="zh-CN"/>
              </w:rPr>
              <w:t>做到</w:t>
            </w:r>
            <w:r>
              <w:rPr>
                <w:rFonts w:hint="eastAsia" w:ascii="宋体" w:hAnsi="宋体" w:cs="宋体"/>
                <w:sz w:val="24"/>
              </w:rPr>
              <w:t>场镇及周边的优美环境，清运垃圾</w:t>
            </w:r>
            <w:r>
              <w:rPr>
                <w:rFonts w:hint="eastAsia" w:ascii="宋体" w:hAnsi="宋体" w:cs="宋体"/>
                <w:sz w:val="24"/>
                <w:lang w:eastAsia="zh-CN"/>
              </w:rPr>
              <w:t>及时到位。</w:t>
            </w:r>
          </w:p>
        </w:tc>
      </w:tr>
      <w:tr>
        <w:tblPrEx>
          <w:tblLayout w:type="fixed"/>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场镇及周边垃圾清运（车）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120</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环境卫生质量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优</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项目成果时效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r>
      <w:tr>
        <w:tblPrEx>
          <w:tblLayout w:type="fixed"/>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转运成本（元/车）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≤750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≤750</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城乡环境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r>
      <w:tr>
        <w:tblPrEx>
          <w:tblLayout w:type="fixed"/>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widowControl/>
        <w:adjustRightInd w:val="0"/>
        <w:snapToGrid w:val="0"/>
        <w:spacing w:line="580" w:lineRule="exact"/>
        <w:contextualSpacing/>
        <w:jc w:val="left"/>
        <w:rPr>
          <w:rStyle w:val="31"/>
          <w:rFonts w:ascii="黑体" w:hAnsi="黑体" w:eastAsia="黑体"/>
          <w:b w:val="0"/>
        </w:rPr>
      </w:pPr>
      <w:r>
        <w:rPr>
          <w:rFonts w:hint="eastAsia" w:ascii="仿宋_GB2312" w:hAnsi="宋体" w:eastAsia="仿宋_GB2312" w:cs="宋体"/>
          <w:kern w:val="0"/>
          <w:sz w:val="32"/>
          <w:szCs w:val="32"/>
          <w:shd w:val="clear" w:color="auto" w:fill="FFFFFF"/>
          <w:lang w:val="zh-CN"/>
        </w:rPr>
        <w:t>附表：</w:t>
      </w:r>
    </w:p>
    <w:p>
      <w:pPr>
        <w:widowControl/>
        <w:jc w:val="left"/>
        <w:rPr>
          <w:rStyle w:val="31"/>
          <w:rFonts w:ascii="黑体" w:hAnsi="黑体" w:eastAsia="黑体"/>
          <w:b w:val="0"/>
        </w:rPr>
      </w:pPr>
      <w:r>
        <w:rPr>
          <w:rStyle w:val="31"/>
          <w:rFonts w:ascii="黑体" w:hAnsi="黑体" w:eastAsia="黑体"/>
          <w:b w:val="0"/>
        </w:rPr>
        <w:br w:type="page"/>
      </w:r>
    </w:p>
    <w:p>
      <w:pPr>
        <w:pStyle w:val="2"/>
        <w:spacing w:before="93"/>
        <w:rPr>
          <w:lang w:val="zh-CN"/>
        </w:rPr>
      </w:pPr>
      <w:bookmarkStart w:id="59" w:name="_Toc15396618"/>
      <w:r>
        <w:rPr>
          <w:rFonts w:hint="eastAsia" w:hAnsi="宋体" w:cs="宋体"/>
          <w:sz w:val="32"/>
          <w:szCs w:val="32"/>
          <w:shd w:val="clear" w:color="auto" w:fill="FFFFFF"/>
          <w:lang w:val="zh-CN"/>
        </w:rPr>
        <w:t>附件</w:t>
      </w: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lang w:val="zh-CN"/>
        </w:rPr>
        <w:t>年</w:t>
      </w:r>
      <w:r>
        <w:rPr>
          <w:rFonts w:hint="eastAsia" w:ascii="方正小标宋简体" w:hAnsi="方正小标宋简体" w:eastAsia="方正小标宋简体" w:cs="方正小标宋简体"/>
          <w:sz w:val="40"/>
          <w:szCs w:val="40"/>
          <w:lang w:val="en-US" w:eastAsia="zh-CN"/>
        </w:rPr>
        <w:t xml:space="preserve"> 安全经费（森林防火）</w:t>
      </w:r>
      <w:r>
        <w:rPr>
          <w:rFonts w:hint="eastAsia" w:ascii="方正小标宋简体" w:hAnsi="方正小标宋简体" w:eastAsia="方正小标宋简体" w:cs="方正小标宋简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zh-CN"/>
        </w:rPr>
        <w:t>以</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预防为主、积极消灭</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的森林防火方针</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大力开展森林防火宣传教育、严格管控野外火源，确保全</w:t>
      </w:r>
      <w:r>
        <w:rPr>
          <w:rFonts w:hint="eastAsia" w:ascii="仿宋_GB2312" w:hAnsi="宋体" w:eastAsia="仿宋_GB2312"/>
          <w:sz w:val="32"/>
          <w:szCs w:val="32"/>
          <w:lang w:val="zh-CN" w:eastAsia="zh-CN"/>
        </w:rPr>
        <w:t>镇</w:t>
      </w:r>
      <w:r>
        <w:rPr>
          <w:rFonts w:hint="eastAsia" w:ascii="仿宋_GB2312" w:hAnsi="宋体" w:eastAsia="仿宋_GB2312"/>
          <w:sz w:val="32"/>
          <w:szCs w:val="32"/>
          <w:lang w:val="zh-CN"/>
        </w:rPr>
        <w:t>森林生态资源安全及保护社会稳定促进经济的可持续发展</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全年书写、悬挂森林防火宣传标语</w:t>
      </w:r>
      <w:r>
        <w:rPr>
          <w:rFonts w:hint="eastAsia" w:ascii="仿宋_GB2312" w:hAnsi="宋体" w:eastAsia="仿宋_GB2312"/>
          <w:sz w:val="32"/>
          <w:szCs w:val="32"/>
          <w:lang w:val="en-US" w:eastAsia="zh-CN"/>
        </w:rPr>
        <w:t>33</w:t>
      </w:r>
      <w:r>
        <w:rPr>
          <w:rFonts w:hint="eastAsia" w:ascii="仿宋_GB2312" w:hAnsi="宋体" w:eastAsia="仿宋_GB2312"/>
          <w:sz w:val="32"/>
          <w:szCs w:val="32"/>
          <w:lang w:val="zh-CN"/>
        </w:rPr>
        <w:t>条</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发放各类宣传单位及宣传物品</w:t>
      </w:r>
      <w:r>
        <w:rPr>
          <w:rFonts w:hint="eastAsia" w:ascii="仿宋_GB2312" w:hAnsi="宋体" w:eastAsia="仿宋_GB2312"/>
          <w:sz w:val="32"/>
          <w:szCs w:val="32"/>
          <w:lang w:val="en-US" w:eastAsia="zh-CN"/>
        </w:rPr>
        <w:t>5000</w:t>
      </w:r>
      <w:r>
        <w:rPr>
          <w:rFonts w:hint="eastAsia" w:ascii="仿宋_GB2312" w:hAnsi="宋体" w:eastAsia="仿宋_GB2312"/>
          <w:sz w:val="32"/>
          <w:szCs w:val="32"/>
          <w:lang w:val="zh-CN"/>
        </w:rPr>
        <w:t>份</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出动宣传车</w:t>
      </w:r>
      <w:r>
        <w:rPr>
          <w:rFonts w:hint="eastAsia" w:ascii="仿宋_GB2312" w:hAnsi="宋体" w:eastAsia="仿宋_GB2312"/>
          <w:sz w:val="32"/>
          <w:szCs w:val="32"/>
          <w:lang w:val="en-US" w:eastAsia="zh-CN"/>
        </w:rPr>
        <w:t>30</w:t>
      </w:r>
      <w:r>
        <w:rPr>
          <w:rFonts w:hint="eastAsia" w:ascii="仿宋_GB2312" w:hAnsi="宋体" w:eastAsia="仿宋_GB2312"/>
          <w:sz w:val="32"/>
          <w:szCs w:val="32"/>
          <w:lang w:val="zh-CN"/>
        </w:rPr>
        <w:t>台次</w:t>
      </w:r>
      <w:r>
        <w:rPr>
          <w:rFonts w:hint="eastAsia" w:ascii="仿宋_GB2312" w:hAnsi="宋体" w:eastAsia="仿宋_GB2312"/>
          <w:sz w:val="32"/>
          <w:szCs w:val="32"/>
          <w:lang w:val="zh-CN" w:eastAsia="zh-CN"/>
        </w:rPr>
        <w:t>；召开</w:t>
      </w:r>
      <w:r>
        <w:rPr>
          <w:rFonts w:hint="eastAsia" w:ascii="仿宋_GB2312" w:hAnsi="宋体" w:eastAsia="仿宋_GB2312"/>
          <w:sz w:val="32"/>
          <w:szCs w:val="32"/>
          <w:lang w:val="zh-CN"/>
        </w:rPr>
        <w:t>森林防火</w:t>
      </w:r>
      <w:r>
        <w:rPr>
          <w:rFonts w:hint="eastAsia" w:ascii="仿宋_GB2312" w:hAnsi="宋体" w:eastAsia="仿宋_GB2312"/>
          <w:sz w:val="32"/>
          <w:szCs w:val="32"/>
          <w:lang w:val="zh-CN" w:eastAsia="zh-CN"/>
        </w:rPr>
        <w:t>专题会议</w:t>
      </w:r>
      <w:r>
        <w:rPr>
          <w:rFonts w:hint="eastAsia" w:ascii="仿宋_GB2312" w:hAnsi="宋体" w:eastAsia="仿宋_GB2312"/>
          <w:sz w:val="32"/>
          <w:szCs w:val="32"/>
          <w:lang w:val="en-US" w:eastAsia="zh-CN"/>
        </w:rPr>
        <w:t>20余</w:t>
      </w:r>
      <w:r>
        <w:rPr>
          <w:rFonts w:hint="eastAsia" w:ascii="仿宋_GB2312" w:hAnsi="宋体" w:eastAsia="仿宋_GB2312"/>
          <w:sz w:val="32"/>
          <w:szCs w:val="32"/>
          <w:lang w:val="zh-CN"/>
        </w:rPr>
        <w:t>场</w:t>
      </w:r>
      <w:r>
        <w:rPr>
          <w:rFonts w:hint="eastAsia" w:ascii="仿宋_GB2312" w:hAnsi="宋体" w:eastAsia="仿宋_GB2312"/>
          <w:sz w:val="32"/>
          <w:szCs w:val="32"/>
          <w:lang w:val="zh-CN"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hint="eastAsia" w:ascii="仿宋" w:hAnsi="仿宋" w:eastAsia="仿宋" w:cs="仿宋_GB2312"/>
          <w:sz w:val="32"/>
          <w:szCs w:val="32"/>
          <w:lang w:val="en-US" w:eastAsia="zh-CN"/>
        </w:rPr>
      </w:pPr>
      <w:r>
        <w:rPr>
          <w:rFonts w:hint="default" w:ascii="仿宋" w:hAnsi="仿宋" w:eastAsia="仿宋" w:cs="仿宋_GB2312"/>
          <w:sz w:val="32"/>
          <w:szCs w:val="32"/>
          <w:lang w:val="en-US" w:eastAsia="zh-CN"/>
        </w:rPr>
        <w:t>在运用各类宣传平台和宣传资源的基础上，创新宣传方式</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加大对责任落实、火源管控案查处的宣传力度</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加强对社会舆论信息的引导和收集</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注重对森林防火</w:t>
      </w:r>
      <w:r>
        <w:rPr>
          <w:rFonts w:hint="eastAsia" w:ascii="仿宋" w:hAnsi="仿宋" w:eastAsia="仿宋" w:cs="仿宋_GB2312"/>
          <w:sz w:val="32"/>
          <w:szCs w:val="32"/>
          <w:lang w:val="en-US" w:eastAsia="zh-CN"/>
        </w:rPr>
        <w:t>法律</w:t>
      </w:r>
      <w:r>
        <w:rPr>
          <w:rFonts w:hint="default" w:ascii="仿宋" w:hAnsi="仿宋" w:eastAsia="仿宋" w:cs="仿宋_GB2312"/>
          <w:sz w:val="32"/>
          <w:szCs w:val="32"/>
          <w:lang w:val="en-US" w:eastAsia="zh-CN"/>
        </w:rPr>
        <w:t>法规和</w:t>
      </w:r>
      <w:r>
        <w:rPr>
          <w:rFonts w:hint="eastAsia" w:ascii="仿宋" w:hAnsi="仿宋" w:eastAsia="仿宋" w:cs="仿宋_GB2312"/>
          <w:sz w:val="32"/>
          <w:szCs w:val="32"/>
          <w:lang w:val="en-US" w:eastAsia="zh-CN"/>
        </w:rPr>
        <w:t>警示案例的宣传，</w:t>
      </w:r>
      <w:r>
        <w:rPr>
          <w:rFonts w:hint="default" w:ascii="仿宋" w:hAnsi="仿宋" w:eastAsia="仿宋" w:cs="仿宋_GB2312"/>
          <w:sz w:val="32"/>
          <w:szCs w:val="32"/>
          <w:lang w:val="en-US" w:eastAsia="zh-CN"/>
        </w:rPr>
        <w:t>强化全民防火重识和</w:t>
      </w:r>
      <w:r>
        <w:rPr>
          <w:rFonts w:hint="eastAsia" w:ascii="仿宋" w:hAnsi="仿宋" w:eastAsia="仿宋" w:cs="仿宋_GB2312"/>
          <w:sz w:val="32"/>
          <w:szCs w:val="32"/>
          <w:lang w:val="en-US" w:eastAsia="zh-CN"/>
        </w:rPr>
        <w:t>责任意识，为全镇森林防</w:t>
      </w:r>
      <w:r>
        <w:rPr>
          <w:rFonts w:hint="default" w:ascii="仿宋" w:hAnsi="仿宋" w:eastAsia="仿宋" w:cs="仿宋_GB2312"/>
          <w:sz w:val="32"/>
          <w:szCs w:val="32"/>
          <w:lang w:val="en-US" w:eastAsia="zh-CN"/>
        </w:rPr>
        <w:t>火</w:t>
      </w:r>
      <w:r>
        <w:rPr>
          <w:rFonts w:hint="eastAsia" w:ascii="仿宋" w:hAnsi="仿宋" w:eastAsia="仿宋" w:cs="仿宋_GB2312"/>
          <w:sz w:val="32"/>
          <w:szCs w:val="32"/>
          <w:lang w:val="en-US" w:eastAsia="zh-CN"/>
        </w:rPr>
        <w:t>工作</w:t>
      </w:r>
      <w:r>
        <w:rPr>
          <w:rFonts w:hint="default" w:ascii="仿宋" w:hAnsi="仿宋" w:eastAsia="仿宋" w:cs="仿宋_GB2312"/>
          <w:sz w:val="32"/>
          <w:szCs w:val="32"/>
          <w:lang w:val="en-US" w:eastAsia="zh-CN"/>
        </w:rPr>
        <w:t>开展</w:t>
      </w:r>
      <w:r>
        <w:rPr>
          <w:rFonts w:hint="eastAsia" w:ascii="仿宋" w:hAnsi="仿宋" w:eastAsia="仿宋" w:cs="仿宋_GB2312"/>
          <w:sz w:val="32"/>
          <w:szCs w:val="32"/>
          <w:lang w:val="en-US" w:eastAsia="zh-CN"/>
        </w:rPr>
        <w:t>创造</w:t>
      </w:r>
      <w:r>
        <w:rPr>
          <w:rFonts w:hint="default" w:ascii="仿宋" w:hAnsi="仿宋" w:eastAsia="仿宋" w:cs="仿宋_GB2312"/>
          <w:sz w:val="32"/>
          <w:szCs w:val="32"/>
          <w:lang w:val="en-US" w:eastAsia="zh-CN"/>
        </w:rPr>
        <w:t>良好的</w:t>
      </w:r>
      <w:r>
        <w:rPr>
          <w:rFonts w:hint="eastAsia" w:ascii="仿宋" w:hAnsi="仿宋" w:eastAsia="仿宋" w:cs="仿宋_GB2312"/>
          <w:sz w:val="32"/>
          <w:szCs w:val="32"/>
          <w:lang w:val="en-US" w:eastAsia="zh-CN"/>
        </w:rPr>
        <w:t>社会舆论</w:t>
      </w:r>
      <w:r>
        <w:rPr>
          <w:rFonts w:hint="default" w:ascii="仿宋" w:hAnsi="仿宋" w:eastAsia="仿宋" w:cs="仿宋_GB2312"/>
          <w:sz w:val="32"/>
          <w:szCs w:val="32"/>
          <w:lang w:val="en-US" w:eastAsia="zh-CN"/>
        </w:rPr>
        <w:t>和</w:t>
      </w:r>
      <w:r>
        <w:rPr>
          <w:rFonts w:hint="eastAsia" w:ascii="仿宋" w:hAnsi="仿宋" w:eastAsia="仿宋" w:cs="仿宋_GB2312"/>
          <w:sz w:val="32"/>
          <w:szCs w:val="32"/>
          <w:lang w:val="en-US" w:eastAsia="zh-CN"/>
        </w:rPr>
        <w:t>法治氛围，人民</w:t>
      </w:r>
      <w:r>
        <w:rPr>
          <w:rFonts w:hint="default" w:ascii="仿宋" w:hAnsi="仿宋" w:eastAsia="仿宋" w:cs="仿宋_GB2312"/>
          <w:sz w:val="32"/>
          <w:szCs w:val="32"/>
          <w:lang w:val="en-US" w:eastAsia="zh-CN"/>
        </w:rPr>
        <w:t>群众森林防火意识</w:t>
      </w:r>
      <w:r>
        <w:rPr>
          <w:rFonts w:hint="eastAsia" w:ascii="仿宋" w:hAnsi="仿宋" w:eastAsia="仿宋" w:cs="仿宋_GB2312"/>
          <w:sz w:val="32"/>
          <w:szCs w:val="32"/>
          <w:lang w:val="en-US" w:eastAsia="zh-CN"/>
        </w:rPr>
        <w:t>增强</w:t>
      </w:r>
      <w:r>
        <w:rPr>
          <w:rFonts w:hint="default" w:ascii="仿宋" w:hAnsi="仿宋" w:eastAsia="仿宋" w:cs="仿宋_GB2312"/>
          <w:sz w:val="32"/>
          <w:szCs w:val="32"/>
          <w:lang w:val="en-US" w:eastAsia="zh-CN"/>
        </w:rPr>
        <w:t>，提高全</w:t>
      </w:r>
      <w:r>
        <w:rPr>
          <w:rFonts w:hint="eastAsia" w:ascii="仿宋" w:hAnsi="仿宋" w:eastAsia="仿宋" w:cs="仿宋_GB2312"/>
          <w:sz w:val="32"/>
          <w:szCs w:val="32"/>
          <w:lang w:val="en-US" w:eastAsia="zh-CN"/>
        </w:rPr>
        <w:t>镇</w:t>
      </w:r>
      <w:r>
        <w:rPr>
          <w:rFonts w:hint="default" w:ascii="仿宋" w:hAnsi="仿宋" w:eastAsia="仿宋" w:cs="仿宋_GB2312"/>
          <w:sz w:val="32"/>
          <w:szCs w:val="32"/>
          <w:lang w:val="en-US" w:eastAsia="zh-CN"/>
        </w:rPr>
        <w:t>森林火灾预防控能力，</w:t>
      </w:r>
      <w:r>
        <w:rPr>
          <w:rFonts w:hint="eastAsia" w:ascii="仿宋" w:hAnsi="仿宋" w:eastAsia="仿宋" w:cs="仿宋_GB2312"/>
          <w:sz w:val="32"/>
          <w:szCs w:val="32"/>
          <w:lang w:val="en-US" w:eastAsia="zh-CN"/>
        </w:rPr>
        <w:t>森林</w:t>
      </w:r>
      <w:r>
        <w:rPr>
          <w:rFonts w:hint="default" w:ascii="仿宋" w:hAnsi="仿宋" w:eastAsia="仿宋" w:cs="仿宋_GB2312"/>
          <w:sz w:val="32"/>
          <w:szCs w:val="32"/>
          <w:lang w:val="en-US" w:eastAsia="zh-CN"/>
        </w:rPr>
        <w:t>火灾发生次数明显下降减少</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野外用火得到有效控制</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巩固现有绿化造林成果及维护林区长治久安</w:t>
      </w:r>
      <w:r>
        <w:rPr>
          <w:rFonts w:hint="eastAsia" w:ascii="仿宋" w:hAnsi="仿宋" w:eastAsia="仿宋" w:cs="仿宋_GB2312"/>
          <w:sz w:val="32"/>
          <w:szCs w:val="32"/>
          <w:lang w:val="en-US" w:eastAsia="zh-CN"/>
        </w:rPr>
        <w:t>，维护</w:t>
      </w:r>
      <w:r>
        <w:rPr>
          <w:rFonts w:hint="default" w:ascii="仿宋" w:hAnsi="仿宋" w:eastAsia="仿宋" w:cs="仿宋_GB2312"/>
          <w:sz w:val="32"/>
          <w:szCs w:val="32"/>
          <w:lang w:val="en-US" w:eastAsia="zh-CN"/>
        </w:rPr>
        <w:t>社会稳定的需要</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改善生态环境</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促进经济可持续发展的需要</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使</w:t>
      </w:r>
      <w:r>
        <w:rPr>
          <w:rFonts w:hint="eastAsia" w:ascii="仿宋" w:hAnsi="仿宋" w:eastAsia="仿宋" w:cs="仿宋_GB2312"/>
          <w:sz w:val="32"/>
          <w:szCs w:val="32"/>
          <w:lang w:val="en-US" w:eastAsia="zh-CN"/>
        </w:rPr>
        <w:t>元山</w:t>
      </w:r>
      <w:r>
        <w:rPr>
          <w:rFonts w:hint="default" w:ascii="仿宋" w:hAnsi="仿宋" w:eastAsia="仿宋" w:cs="仿宋_GB2312"/>
          <w:sz w:val="32"/>
          <w:szCs w:val="32"/>
          <w:lang w:val="en-US" w:eastAsia="zh-CN"/>
        </w:rPr>
        <w:t>的山更绿、水更清、天更蓝</w:t>
      </w:r>
      <w:r>
        <w:rPr>
          <w:rFonts w:hint="eastAsia" w:ascii="仿宋" w:hAnsi="仿宋" w:eastAsia="仿宋" w:cs="仿宋_GB2312"/>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ascii="仿宋_GB2312" w:hAnsi="宋体" w:eastAsia="仿宋_GB2312"/>
          <w:sz w:val="32"/>
          <w:szCs w:val="32"/>
          <w:lang w:val="zh-CN"/>
        </w:rPr>
      </w:pPr>
      <w:r>
        <w:rPr>
          <w:rFonts w:hint="default" w:ascii="仿宋" w:hAnsi="仿宋" w:eastAsia="仿宋" w:cs="仿宋_GB2312"/>
          <w:sz w:val="32"/>
          <w:szCs w:val="32"/>
          <w:lang w:val="en-US" w:eastAsia="zh-CN"/>
        </w:rPr>
        <w:t>部门</w:t>
      </w:r>
      <w:r>
        <w:rPr>
          <w:rFonts w:hint="eastAsia" w:ascii="仿宋" w:hAnsi="仿宋" w:eastAsia="仿宋" w:cs="仿宋_GB2312"/>
          <w:sz w:val="32"/>
          <w:szCs w:val="32"/>
          <w:lang w:val="en-US" w:eastAsia="zh-CN"/>
        </w:rPr>
        <w:t>对各村森林防火宣传落实</w:t>
      </w:r>
      <w:r>
        <w:rPr>
          <w:rFonts w:hint="default" w:ascii="仿宋" w:hAnsi="仿宋" w:eastAsia="仿宋" w:cs="仿宋_GB2312"/>
          <w:sz w:val="32"/>
          <w:szCs w:val="32"/>
          <w:lang w:val="en-US" w:eastAsia="zh-CN"/>
        </w:rPr>
        <w:t>的监督考核建立了考核监督制度，考核细则健全，扣分项目、处罚措施明确。</w:t>
      </w:r>
      <w:r>
        <w:rPr>
          <w:rFonts w:hint="eastAsia" w:ascii="仿宋" w:hAnsi="仿宋" w:eastAsia="仿宋" w:cs="仿宋_GB2312"/>
          <w:sz w:val="32"/>
          <w:szCs w:val="32"/>
          <w:lang w:val="en-US" w:eastAsia="zh-CN"/>
        </w:rPr>
        <w:t>根据综合得分，组织分管领导及部门负责人对本年度森林防火项目进行评估，评价项目效益，并提出改进措施。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22"/>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4"/>
        <w:gridCol w:w="2794"/>
        <w:gridCol w:w="1123"/>
        <w:gridCol w:w="1657"/>
        <w:gridCol w:w="532"/>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安全经费（森林防火）</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6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郑波13981203642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剑阁县财政局</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6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元山</w:t>
            </w:r>
            <w:r>
              <w:rPr>
                <w:rFonts w:hint="eastAsia" w:ascii="宋体" w:hAnsi="宋体" w:eastAsia="宋体" w:cs="宋体"/>
                <w:i w:val="0"/>
                <w:iCs w:val="0"/>
                <w:color w:val="000000"/>
                <w:kern w:val="0"/>
                <w:sz w:val="20"/>
                <w:szCs w:val="20"/>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3"/>
        <w:rPr>
          <w:lang w:val="zh-CN"/>
        </w:rPr>
      </w:pPr>
    </w:p>
    <w:p>
      <w:pPr>
        <w:pStyle w:val="23"/>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pStyle w:val="23"/>
        <w:rPr>
          <w:lang w:val="zh-CN"/>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3"/>
        <w:ind w:firstLine="964" w:firstLineChars="300"/>
        <w:rPr>
          <w:rFonts w:hint="default" w:eastAsia="楷体_GB2312"/>
          <w:lang w:val="en-US" w:eastAsia="zh-CN"/>
        </w:rPr>
      </w:pPr>
      <w:r>
        <w:rPr>
          <w:rFonts w:hint="eastAsia" w:ascii="楷体_GB2312" w:hAnsi="宋体" w:eastAsia="楷体_GB2312"/>
          <w:b/>
          <w:sz w:val="32"/>
          <w:szCs w:val="32"/>
          <w:lang w:val="zh-CN"/>
        </w:rPr>
        <w:t>申报项目－</w:t>
      </w:r>
      <w:r>
        <w:rPr>
          <w:rFonts w:hint="eastAsia" w:ascii="楷体_GB2312" w:hAnsi="宋体" w:eastAsia="楷体_GB2312"/>
          <w:b/>
          <w:sz w:val="32"/>
          <w:szCs w:val="32"/>
          <w:lang w:val="en-US" w:eastAsia="zh-CN"/>
        </w:rPr>
        <w:t>项目执行－项目监督－项目评价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3" w:firstLineChars="200"/>
        <w:rPr>
          <w:lang w:val="zh-CN"/>
        </w:rPr>
      </w:pPr>
      <w:r>
        <w:rPr>
          <w:rFonts w:hint="eastAsia" w:ascii="楷体_GB2312" w:hAnsi="宋体" w:eastAsia="楷体_GB2312"/>
          <w:b/>
          <w:sz w:val="32"/>
          <w:szCs w:val="32"/>
          <w:lang w:val="zh-CN"/>
        </w:rPr>
        <w:t>（三）项目监管情况。</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镇人民政府的</w:t>
      </w:r>
      <w:r>
        <w:rPr>
          <w:rFonts w:hint="eastAsia" w:ascii="仿宋" w:hAnsi="仿宋" w:eastAsia="仿宋" w:cs="仿宋_GB2312"/>
          <w:sz w:val="32"/>
          <w:szCs w:val="32"/>
          <w:lang w:eastAsia="zh-CN"/>
        </w:rPr>
        <w:t>森林防火项目</w:t>
      </w:r>
      <w:r>
        <w:rPr>
          <w:rFonts w:hint="eastAsia" w:ascii="仿宋" w:hAnsi="仿宋" w:eastAsia="仿宋" w:cs="仿宋_GB2312"/>
          <w:sz w:val="32"/>
          <w:szCs w:val="32"/>
        </w:rPr>
        <w:t>的实施，切实减少</w:t>
      </w:r>
      <w:r>
        <w:rPr>
          <w:rFonts w:hint="eastAsia" w:ascii="仿宋" w:hAnsi="仿宋" w:eastAsia="仿宋" w:cs="仿宋_GB2312"/>
          <w:sz w:val="32"/>
          <w:szCs w:val="32"/>
          <w:lang w:eastAsia="zh-CN"/>
        </w:rPr>
        <w:t>了</w:t>
      </w:r>
      <w:r>
        <w:rPr>
          <w:rFonts w:hint="eastAsia" w:ascii="仿宋" w:hAnsi="仿宋" w:eastAsia="仿宋" w:cs="仿宋_GB2312"/>
          <w:sz w:val="32"/>
          <w:szCs w:val="32"/>
        </w:rPr>
        <w:t>辖区内火灾隐患</w:t>
      </w:r>
      <w:r>
        <w:rPr>
          <w:rFonts w:hint="eastAsia" w:ascii="仿宋" w:hAnsi="仿宋" w:eastAsia="仿宋" w:cs="仿宋_GB2312"/>
          <w:sz w:val="32"/>
          <w:szCs w:val="32"/>
          <w:lang w:eastAsia="zh-CN"/>
        </w:rPr>
        <w:t>，</w:t>
      </w:r>
      <w:r>
        <w:rPr>
          <w:rFonts w:hint="eastAsia" w:ascii="仿宋" w:hAnsi="仿宋" w:eastAsia="仿宋" w:cs="仿宋_GB2312"/>
          <w:sz w:val="32"/>
          <w:szCs w:val="32"/>
        </w:rPr>
        <w:t>国有森林资源和群众生命财产安全得到有效保障，</w:t>
      </w:r>
      <w:r>
        <w:rPr>
          <w:rFonts w:hint="eastAsia" w:ascii="仿宋" w:hAnsi="仿宋" w:eastAsia="仿宋" w:cs="仿宋_GB2312"/>
          <w:sz w:val="32"/>
          <w:szCs w:val="32"/>
          <w:lang w:eastAsia="zh-CN"/>
        </w:rPr>
        <w:t>同时</w:t>
      </w:r>
      <w:r>
        <w:rPr>
          <w:rFonts w:hint="eastAsia" w:ascii="仿宋" w:hAnsi="仿宋" w:eastAsia="仿宋" w:cs="仿宋_GB2312"/>
          <w:sz w:val="32"/>
          <w:szCs w:val="32"/>
        </w:rPr>
        <w:t>项目实施</w:t>
      </w:r>
      <w:r>
        <w:rPr>
          <w:rFonts w:hint="eastAsia" w:ascii="仿宋" w:hAnsi="仿宋" w:eastAsia="仿宋" w:cs="仿宋_GB2312"/>
          <w:sz w:val="32"/>
          <w:szCs w:val="32"/>
          <w:lang w:eastAsia="zh-CN"/>
        </w:rPr>
        <w:t>监督</w:t>
      </w:r>
      <w:r>
        <w:rPr>
          <w:rFonts w:hint="eastAsia" w:ascii="仿宋" w:hAnsi="仿宋" w:eastAsia="仿宋" w:cs="仿宋_GB2312"/>
          <w:sz w:val="32"/>
          <w:szCs w:val="32"/>
        </w:rPr>
        <w:t>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本项目实施组织严密，管理规范有序，资金使用管理到位，实施后社会经济效益凸显。</w:t>
      </w:r>
      <w:r>
        <w:rPr>
          <w:rFonts w:hint="eastAsia" w:ascii="仿宋" w:hAnsi="仿宋" w:eastAsia="仿宋" w:cs="仿宋_GB2312"/>
          <w:sz w:val="32"/>
          <w:szCs w:val="32"/>
          <w:lang w:eastAsia="zh-CN"/>
        </w:rPr>
        <w:t>主管部门</w:t>
      </w:r>
      <w:r>
        <w:rPr>
          <w:rFonts w:hint="eastAsia" w:ascii="仿宋" w:hAnsi="仿宋" w:eastAsia="仿宋" w:cs="仿宋_GB2312"/>
          <w:sz w:val="32"/>
          <w:szCs w:val="32"/>
        </w:rPr>
        <w:t>专门考核，配备专职人员，对</w:t>
      </w:r>
      <w:r>
        <w:rPr>
          <w:rFonts w:hint="eastAsia" w:ascii="仿宋" w:hAnsi="仿宋" w:eastAsia="仿宋" w:cs="仿宋_GB2312"/>
          <w:sz w:val="32"/>
          <w:szCs w:val="32"/>
          <w:lang w:eastAsia="zh-CN"/>
        </w:rPr>
        <w:t>森林防火工作实</w:t>
      </w:r>
      <w:r>
        <w:rPr>
          <w:rFonts w:hint="eastAsia" w:ascii="仿宋" w:hAnsi="仿宋" w:eastAsia="仿宋" w:cs="仿宋_GB2312"/>
          <w:sz w:val="32"/>
          <w:szCs w:val="32"/>
        </w:rPr>
        <w:t>施日常监督和考核。</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w:t>
      </w:r>
      <w:r>
        <w:rPr>
          <w:rFonts w:hint="eastAsia" w:ascii="仿宋" w:hAnsi="仿宋" w:eastAsia="仿宋" w:cs="仿宋_GB2312"/>
          <w:sz w:val="32"/>
          <w:szCs w:val="32"/>
          <w:lang w:eastAsia="zh-CN"/>
        </w:rPr>
        <w:t>林业站</w:t>
      </w:r>
      <w:r>
        <w:rPr>
          <w:rFonts w:hint="eastAsia" w:ascii="仿宋" w:hAnsi="仿宋" w:eastAsia="仿宋" w:cs="仿宋_GB2312"/>
          <w:sz w:val="32"/>
          <w:szCs w:val="32"/>
        </w:rPr>
        <w:t>配备专职人员，对</w:t>
      </w:r>
      <w:r>
        <w:rPr>
          <w:rFonts w:hint="eastAsia" w:ascii="仿宋" w:hAnsi="仿宋" w:eastAsia="仿宋" w:cs="仿宋_GB2312"/>
          <w:sz w:val="32"/>
          <w:szCs w:val="32"/>
          <w:lang w:eastAsia="zh-CN"/>
        </w:rPr>
        <w:t>森林防火工作</w:t>
      </w:r>
      <w:r>
        <w:rPr>
          <w:rFonts w:hint="eastAsia" w:ascii="仿宋" w:hAnsi="仿宋" w:eastAsia="仿宋" w:cs="仿宋_GB2312"/>
          <w:sz w:val="32"/>
          <w:szCs w:val="32"/>
        </w:rPr>
        <w:t>实施日常监督和考核。为了加强项目的资金管理，我</w:t>
      </w:r>
      <w:r>
        <w:rPr>
          <w:rFonts w:hint="eastAsia" w:ascii="仿宋" w:hAnsi="仿宋" w:eastAsia="仿宋" w:cs="仿宋_GB2312"/>
          <w:sz w:val="32"/>
          <w:szCs w:val="32"/>
          <w:lang w:eastAsia="zh-CN"/>
        </w:rPr>
        <w:t>镇</w:t>
      </w:r>
      <w:r>
        <w:rPr>
          <w:rFonts w:hint="eastAsia" w:ascii="仿宋" w:hAnsi="仿宋" w:eastAsia="仿宋" w:cs="仿宋_GB2312"/>
          <w:sz w:val="32"/>
          <w:szCs w:val="32"/>
        </w:rPr>
        <w:t>制定了重点工程项目建设管理和财务管理制度，并将该项目纳入重点</w:t>
      </w:r>
      <w:r>
        <w:rPr>
          <w:rFonts w:hint="eastAsia" w:ascii="仿宋" w:hAnsi="仿宋" w:eastAsia="仿宋" w:cs="仿宋_GB2312"/>
          <w:sz w:val="32"/>
          <w:szCs w:val="32"/>
          <w:lang w:eastAsia="zh-CN"/>
        </w:rPr>
        <w:t>项目</w:t>
      </w:r>
      <w:r>
        <w:rPr>
          <w:rFonts w:hint="eastAsia" w:ascii="仿宋" w:hAnsi="仿宋" w:eastAsia="仿宋" w:cs="仿宋_GB2312"/>
          <w:sz w:val="32"/>
          <w:szCs w:val="32"/>
        </w:rPr>
        <w:t>财务核算，实行集中支付和报账制，确保资金封闭运行，项目实施中县财政、县审计以及监察部门定期或不定期</w:t>
      </w:r>
      <w:r>
        <w:rPr>
          <w:rFonts w:hint="eastAsia" w:ascii="仿宋" w:hAnsi="仿宋" w:eastAsia="仿宋" w:cs="仿宋_GB2312"/>
          <w:sz w:val="32"/>
          <w:szCs w:val="32"/>
          <w:lang w:eastAsia="zh-CN"/>
        </w:rPr>
        <w:t>地</w:t>
      </w:r>
      <w:r>
        <w:rPr>
          <w:rFonts w:hint="eastAsia" w:ascii="仿宋" w:hAnsi="仿宋" w:eastAsia="仿宋" w:cs="仿宋_GB2312"/>
          <w:sz w:val="32"/>
          <w:szCs w:val="32"/>
        </w:rPr>
        <w:t>实行检查、督察，确保项目资金的安全运行。</w:t>
      </w:r>
    </w:p>
    <w:p>
      <w:pPr>
        <w:spacing w:line="580" w:lineRule="exact"/>
        <w:ind w:firstLine="640" w:firstLineChars="200"/>
        <w:rPr>
          <w:rFonts w:ascii="楷体_GB2312" w:hAnsi="宋体" w:eastAsia="楷体_GB2312"/>
          <w:b/>
          <w:sz w:val="32"/>
          <w:szCs w:val="32"/>
          <w:lang w:val="zh-CN"/>
        </w:rPr>
      </w:pPr>
      <w:r>
        <w:rPr>
          <w:rFonts w:hint="eastAsia" w:ascii="仿宋" w:hAnsi="仿宋" w:eastAsia="仿宋"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宋体" w:eastAsia="仿宋_GB2312"/>
          <w:sz w:val="32"/>
          <w:szCs w:val="32"/>
          <w:lang w:val="zh-CN"/>
        </w:rPr>
        <w:t>。</w:t>
      </w:r>
      <w:r>
        <w:rPr>
          <w:rFonts w:hint="eastAsia" w:ascii="仿宋" w:hAnsi="仿宋" w:eastAsia="仿宋" w:cs="仿宋_GB2312"/>
          <w:sz w:val="32"/>
          <w:szCs w:val="32"/>
        </w:rPr>
        <w:t>确保国有森林资源和群众生命财产安全得到有效保障，项目实施到位，产生了良好的社会环境效益。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1、社会效益：通过项目的实施，</w:t>
      </w:r>
      <w:r>
        <w:rPr>
          <w:rFonts w:hint="eastAsia" w:ascii="仿宋" w:hAnsi="仿宋" w:eastAsia="仿宋" w:cs="仿宋_GB2312"/>
          <w:sz w:val="32"/>
          <w:szCs w:val="32"/>
          <w:lang w:val="en-US" w:eastAsia="zh-CN"/>
        </w:rPr>
        <w:t>有效保护森林资源，增强全民森林防灭火意识，国家资源与人民群众生命财产安全得到有效保护</w:t>
      </w:r>
      <w:r>
        <w:rPr>
          <w:rFonts w:hint="default" w:ascii="仿宋" w:hAnsi="仿宋" w:eastAsia="仿宋" w:cs="仿宋_GB2312"/>
          <w:sz w:val="32"/>
          <w:szCs w:val="32"/>
          <w:lang w:val="en-US"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rightChars="0" w:firstLine="640" w:firstLineChars="200"/>
        <w:jc w:val="both"/>
        <w:rPr>
          <w:rFonts w:hint="default" w:ascii="仿宋" w:hAnsi="仿宋" w:eastAsia="仿宋" w:cs="仿宋_GB2312"/>
          <w:sz w:val="32"/>
          <w:szCs w:val="32"/>
        </w:rPr>
      </w:pPr>
      <w:r>
        <w:rPr>
          <w:rFonts w:hint="default" w:ascii="仿宋" w:hAnsi="仿宋" w:eastAsia="仿宋" w:cs="仿宋_GB2312"/>
          <w:sz w:val="32"/>
          <w:szCs w:val="32"/>
          <w:lang w:val="en-US" w:eastAsia="zh-CN"/>
        </w:rPr>
        <w:t>2、环境效益：通过项目的实施，强化全民防火</w:t>
      </w:r>
      <w:r>
        <w:rPr>
          <w:rFonts w:hint="eastAsia" w:ascii="仿宋" w:hAnsi="仿宋" w:eastAsia="仿宋" w:cs="仿宋_GB2312"/>
          <w:sz w:val="32"/>
          <w:szCs w:val="32"/>
          <w:lang w:val="en-US" w:eastAsia="zh-CN"/>
        </w:rPr>
        <w:t>重视</w:t>
      </w:r>
      <w:r>
        <w:rPr>
          <w:rFonts w:hint="default" w:ascii="仿宋" w:hAnsi="仿宋" w:eastAsia="仿宋" w:cs="仿宋_GB2312"/>
          <w:sz w:val="32"/>
          <w:szCs w:val="32"/>
          <w:lang w:val="en-US" w:eastAsia="zh-CN"/>
        </w:rPr>
        <w:t>和</w:t>
      </w:r>
      <w:r>
        <w:rPr>
          <w:rFonts w:hint="eastAsia" w:ascii="仿宋" w:hAnsi="仿宋" w:eastAsia="仿宋" w:cs="仿宋_GB2312"/>
          <w:sz w:val="32"/>
          <w:szCs w:val="32"/>
          <w:lang w:val="en-US" w:eastAsia="zh-CN"/>
        </w:rPr>
        <w:t>责任意识，为全镇森林防</w:t>
      </w:r>
      <w:r>
        <w:rPr>
          <w:rFonts w:hint="default" w:ascii="仿宋" w:hAnsi="仿宋" w:eastAsia="仿宋" w:cs="仿宋_GB2312"/>
          <w:sz w:val="32"/>
          <w:szCs w:val="32"/>
          <w:lang w:val="en-US" w:eastAsia="zh-CN"/>
        </w:rPr>
        <w:t>火</w:t>
      </w:r>
      <w:r>
        <w:rPr>
          <w:rFonts w:hint="eastAsia" w:ascii="仿宋" w:hAnsi="仿宋" w:eastAsia="仿宋" w:cs="仿宋_GB2312"/>
          <w:sz w:val="32"/>
          <w:szCs w:val="32"/>
          <w:lang w:val="en-US" w:eastAsia="zh-CN"/>
        </w:rPr>
        <w:t>工作</w:t>
      </w:r>
      <w:r>
        <w:rPr>
          <w:rFonts w:hint="default" w:ascii="仿宋" w:hAnsi="仿宋" w:eastAsia="仿宋" w:cs="仿宋_GB2312"/>
          <w:sz w:val="32"/>
          <w:szCs w:val="32"/>
          <w:lang w:val="en-US" w:eastAsia="zh-CN"/>
        </w:rPr>
        <w:t>开展</w:t>
      </w:r>
      <w:r>
        <w:rPr>
          <w:rFonts w:hint="eastAsia" w:ascii="仿宋" w:hAnsi="仿宋" w:eastAsia="仿宋" w:cs="仿宋_GB2312"/>
          <w:sz w:val="32"/>
          <w:szCs w:val="32"/>
          <w:lang w:val="en-US" w:eastAsia="zh-CN"/>
        </w:rPr>
        <w:t>创造</w:t>
      </w:r>
      <w:r>
        <w:rPr>
          <w:rFonts w:hint="default" w:ascii="仿宋" w:hAnsi="仿宋" w:eastAsia="仿宋" w:cs="仿宋_GB2312"/>
          <w:sz w:val="32"/>
          <w:szCs w:val="32"/>
          <w:lang w:val="en-US" w:eastAsia="zh-CN"/>
        </w:rPr>
        <w:t>良好的</w:t>
      </w:r>
      <w:r>
        <w:rPr>
          <w:rFonts w:hint="eastAsia" w:ascii="仿宋" w:hAnsi="仿宋" w:eastAsia="仿宋" w:cs="仿宋_GB2312"/>
          <w:sz w:val="32"/>
          <w:szCs w:val="32"/>
          <w:lang w:val="en-US" w:eastAsia="zh-CN"/>
        </w:rPr>
        <w:t>社会舆论</w:t>
      </w:r>
      <w:r>
        <w:rPr>
          <w:rFonts w:hint="default" w:ascii="仿宋" w:hAnsi="仿宋" w:eastAsia="仿宋" w:cs="仿宋_GB2312"/>
          <w:sz w:val="32"/>
          <w:szCs w:val="32"/>
          <w:lang w:val="en-US" w:eastAsia="zh-CN"/>
        </w:rPr>
        <w:t>和</w:t>
      </w:r>
      <w:r>
        <w:rPr>
          <w:rFonts w:hint="eastAsia" w:ascii="仿宋" w:hAnsi="仿宋" w:eastAsia="仿宋" w:cs="仿宋_GB2312"/>
          <w:sz w:val="32"/>
          <w:szCs w:val="32"/>
          <w:lang w:val="en-US" w:eastAsia="zh-CN"/>
        </w:rPr>
        <w:t>法治氛围，人民</w:t>
      </w:r>
      <w:r>
        <w:rPr>
          <w:rFonts w:hint="default" w:ascii="仿宋" w:hAnsi="仿宋" w:eastAsia="仿宋" w:cs="仿宋_GB2312"/>
          <w:sz w:val="32"/>
          <w:szCs w:val="32"/>
          <w:lang w:val="en-US" w:eastAsia="zh-CN"/>
        </w:rPr>
        <w:t>群众森林防火意识</w:t>
      </w:r>
      <w:r>
        <w:rPr>
          <w:rFonts w:hint="eastAsia" w:ascii="仿宋" w:hAnsi="仿宋" w:eastAsia="仿宋" w:cs="仿宋_GB2312"/>
          <w:sz w:val="32"/>
          <w:szCs w:val="32"/>
          <w:lang w:val="en-US" w:eastAsia="zh-CN"/>
        </w:rPr>
        <w:t>增强</w:t>
      </w:r>
      <w:r>
        <w:rPr>
          <w:rFonts w:hint="default" w:ascii="仿宋" w:hAnsi="仿宋" w:eastAsia="仿宋" w:cs="仿宋_GB2312"/>
          <w:sz w:val="32"/>
          <w:szCs w:val="32"/>
          <w:lang w:val="en-US" w:eastAsia="zh-CN"/>
        </w:rPr>
        <w:t>，提高全</w:t>
      </w:r>
      <w:r>
        <w:rPr>
          <w:rFonts w:hint="eastAsia" w:ascii="仿宋" w:hAnsi="仿宋" w:eastAsia="仿宋" w:cs="仿宋_GB2312"/>
          <w:sz w:val="32"/>
          <w:szCs w:val="32"/>
          <w:lang w:val="en-US" w:eastAsia="zh-CN"/>
        </w:rPr>
        <w:t>镇</w:t>
      </w:r>
      <w:r>
        <w:rPr>
          <w:rFonts w:hint="default" w:ascii="仿宋" w:hAnsi="仿宋" w:eastAsia="仿宋" w:cs="仿宋_GB2312"/>
          <w:sz w:val="32"/>
          <w:szCs w:val="32"/>
          <w:lang w:val="en-US" w:eastAsia="zh-CN"/>
        </w:rPr>
        <w:t>森林火灾预防控能力，</w:t>
      </w:r>
      <w:r>
        <w:rPr>
          <w:rFonts w:hint="eastAsia" w:ascii="仿宋" w:hAnsi="仿宋" w:eastAsia="仿宋" w:cs="仿宋_GB2312"/>
          <w:sz w:val="32"/>
          <w:szCs w:val="32"/>
          <w:lang w:val="en-US" w:eastAsia="zh-CN"/>
        </w:rPr>
        <w:t>森林</w:t>
      </w:r>
      <w:r>
        <w:rPr>
          <w:rFonts w:hint="default" w:ascii="仿宋" w:hAnsi="仿宋" w:eastAsia="仿宋" w:cs="仿宋_GB2312"/>
          <w:sz w:val="32"/>
          <w:szCs w:val="32"/>
          <w:lang w:val="en-US" w:eastAsia="zh-CN"/>
        </w:rPr>
        <w:t>火灾发生次数明显下降减少</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野外用火得到有效控制</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巩固现有绿化造林成果及维护林区长治久安</w:t>
      </w:r>
      <w:r>
        <w:rPr>
          <w:rFonts w:hint="eastAsia" w:ascii="仿宋" w:hAnsi="仿宋" w:eastAsia="仿宋" w:cs="仿宋_GB2312"/>
          <w:sz w:val="32"/>
          <w:szCs w:val="32"/>
          <w:lang w:val="en-US" w:eastAsia="zh-CN"/>
        </w:rPr>
        <w:t>，维护</w:t>
      </w:r>
      <w:r>
        <w:rPr>
          <w:rFonts w:hint="default" w:ascii="仿宋" w:hAnsi="仿宋" w:eastAsia="仿宋" w:cs="仿宋_GB2312"/>
          <w:sz w:val="32"/>
          <w:szCs w:val="32"/>
          <w:lang w:val="en-US" w:eastAsia="zh-CN"/>
        </w:rPr>
        <w:t>社会稳定的需要</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改善生态环境</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促进经济可持续发展的需要</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使</w:t>
      </w:r>
      <w:r>
        <w:rPr>
          <w:rFonts w:hint="eastAsia" w:ascii="仿宋" w:hAnsi="仿宋" w:eastAsia="仿宋" w:cs="仿宋_GB2312"/>
          <w:sz w:val="32"/>
          <w:szCs w:val="32"/>
          <w:lang w:val="en-US" w:eastAsia="zh-CN"/>
        </w:rPr>
        <w:t>元山</w:t>
      </w:r>
      <w:r>
        <w:rPr>
          <w:rFonts w:hint="default" w:ascii="仿宋" w:hAnsi="仿宋" w:eastAsia="仿宋" w:cs="仿宋_GB2312"/>
          <w:sz w:val="32"/>
          <w:szCs w:val="32"/>
          <w:lang w:val="en-US" w:eastAsia="zh-CN"/>
        </w:rPr>
        <w:t>的山更绿、水更清、天更蓝</w:t>
      </w:r>
      <w:r>
        <w:rPr>
          <w:rFonts w:hint="eastAsia" w:ascii="仿宋" w:hAnsi="仿宋" w:eastAsia="仿宋" w:cs="仿宋_GB2312"/>
          <w:sz w:val="32"/>
          <w:szCs w:val="32"/>
          <w:lang w:val="en-US" w:eastAsia="zh-CN"/>
        </w:rPr>
        <w:t>。</w:t>
      </w:r>
    </w:p>
    <w:p>
      <w:pPr>
        <w:spacing w:line="580" w:lineRule="exact"/>
        <w:ind w:firstLine="640" w:firstLineChars="200"/>
        <w:rPr>
          <w:rFonts w:hint="default" w:ascii="仿宋" w:hAnsi="仿宋" w:eastAsia="仿宋" w:cs="仿宋_GB2312"/>
          <w:sz w:val="32"/>
          <w:szCs w:val="32"/>
        </w:rPr>
      </w:pPr>
      <w:r>
        <w:rPr>
          <w:rFonts w:hint="default" w:ascii="仿宋" w:hAnsi="仿宋" w:eastAsia="仿宋" w:cs="仿宋_GB2312"/>
          <w:sz w:val="32"/>
          <w:szCs w:val="32"/>
          <w:lang w:val="en-US" w:eastAsia="zh-CN"/>
        </w:rPr>
        <w:t>3、经济效益：</w:t>
      </w:r>
      <w:r>
        <w:rPr>
          <w:rFonts w:hint="eastAsia" w:ascii="仿宋" w:hAnsi="仿宋" w:eastAsia="仿宋" w:cs="仿宋_GB2312"/>
          <w:sz w:val="32"/>
          <w:szCs w:val="32"/>
          <w:lang w:val="en-US" w:eastAsia="zh-CN"/>
        </w:rPr>
        <w:t>森林火灾的有效控制，大幅降低救火救灾以及生态修复支出，防患于未然，有效预防各种灾情及相关支出</w:t>
      </w:r>
      <w:r>
        <w:rPr>
          <w:rFonts w:hint="default" w:ascii="仿宋" w:hAnsi="仿宋" w:eastAsia="仿宋" w:cs="仿宋_GB2312"/>
          <w:sz w:val="32"/>
          <w:szCs w:val="32"/>
          <w:lang w:val="en-US" w:eastAsia="zh-CN"/>
        </w:rPr>
        <w:t>。</w:t>
      </w:r>
    </w:p>
    <w:p>
      <w:pPr>
        <w:spacing w:line="580" w:lineRule="exact"/>
        <w:ind w:firstLine="640" w:firstLineChars="200"/>
        <w:rPr>
          <w:rFonts w:hint="default"/>
        </w:rPr>
      </w:pPr>
      <w:r>
        <w:rPr>
          <w:rFonts w:hint="default" w:ascii="仿宋" w:hAnsi="仿宋" w:eastAsia="仿宋" w:cs="仿宋_GB2312"/>
          <w:sz w:val="32"/>
          <w:szCs w:val="32"/>
          <w:lang w:val="en-US" w:eastAsia="zh-CN"/>
        </w:rPr>
        <w:t>4、可持续影响：通过项目的实施，强化全民防火</w:t>
      </w:r>
      <w:r>
        <w:rPr>
          <w:rFonts w:hint="eastAsia" w:ascii="仿宋" w:hAnsi="仿宋" w:eastAsia="仿宋" w:cs="仿宋_GB2312"/>
          <w:sz w:val="32"/>
          <w:szCs w:val="32"/>
          <w:lang w:val="en-US" w:eastAsia="zh-CN"/>
        </w:rPr>
        <w:t>重视</w:t>
      </w:r>
      <w:r>
        <w:rPr>
          <w:rFonts w:hint="default" w:ascii="仿宋" w:hAnsi="仿宋" w:eastAsia="仿宋" w:cs="仿宋_GB2312"/>
          <w:sz w:val="32"/>
          <w:szCs w:val="32"/>
          <w:lang w:val="en-US" w:eastAsia="zh-CN"/>
        </w:rPr>
        <w:t>和</w:t>
      </w:r>
      <w:r>
        <w:rPr>
          <w:rFonts w:hint="eastAsia" w:ascii="仿宋" w:hAnsi="仿宋" w:eastAsia="仿宋" w:cs="仿宋_GB2312"/>
          <w:sz w:val="32"/>
          <w:szCs w:val="32"/>
          <w:lang w:val="en-US" w:eastAsia="zh-CN"/>
        </w:rPr>
        <w:t>责任意识，为全镇森林防</w:t>
      </w:r>
      <w:r>
        <w:rPr>
          <w:rFonts w:hint="default" w:ascii="仿宋" w:hAnsi="仿宋" w:eastAsia="仿宋" w:cs="仿宋_GB2312"/>
          <w:sz w:val="32"/>
          <w:szCs w:val="32"/>
          <w:lang w:val="en-US" w:eastAsia="zh-CN"/>
        </w:rPr>
        <w:t>火</w:t>
      </w:r>
      <w:r>
        <w:rPr>
          <w:rFonts w:hint="eastAsia" w:ascii="仿宋" w:hAnsi="仿宋" w:eastAsia="仿宋" w:cs="仿宋_GB2312"/>
          <w:sz w:val="32"/>
          <w:szCs w:val="32"/>
          <w:lang w:val="en-US" w:eastAsia="zh-CN"/>
        </w:rPr>
        <w:t>工作</w:t>
      </w:r>
      <w:r>
        <w:rPr>
          <w:rFonts w:hint="default" w:ascii="仿宋" w:hAnsi="仿宋" w:eastAsia="仿宋" w:cs="仿宋_GB2312"/>
          <w:sz w:val="32"/>
          <w:szCs w:val="32"/>
          <w:lang w:val="en-US" w:eastAsia="zh-CN"/>
        </w:rPr>
        <w:t>开展</w:t>
      </w:r>
      <w:r>
        <w:rPr>
          <w:rFonts w:hint="eastAsia" w:ascii="仿宋" w:hAnsi="仿宋" w:eastAsia="仿宋" w:cs="仿宋_GB2312"/>
          <w:sz w:val="32"/>
          <w:szCs w:val="32"/>
          <w:lang w:val="en-US" w:eastAsia="zh-CN"/>
        </w:rPr>
        <w:t>创造</w:t>
      </w:r>
      <w:r>
        <w:rPr>
          <w:rFonts w:hint="default" w:ascii="仿宋" w:hAnsi="仿宋" w:eastAsia="仿宋" w:cs="仿宋_GB2312"/>
          <w:sz w:val="32"/>
          <w:szCs w:val="32"/>
          <w:lang w:val="en-US" w:eastAsia="zh-CN"/>
        </w:rPr>
        <w:t>良好的</w:t>
      </w:r>
      <w:r>
        <w:rPr>
          <w:rFonts w:hint="eastAsia" w:ascii="仿宋" w:hAnsi="仿宋" w:eastAsia="仿宋" w:cs="仿宋_GB2312"/>
          <w:sz w:val="32"/>
          <w:szCs w:val="32"/>
          <w:lang w:val="en-US" w:eastAsia="zh-CN"/>
        </w:rPr>
        <w:t>社会舆论</w:t>
      </w:r>
      <w:r>
        <w:rPr>
          <w:rFonts w:hint="default" w:ascii="仿宋" w:hAnsi="仿宋" w:eastAsia="仿宋" w:cs="仿宋_GB2312"/>
          <w:sz w:val="32"/>
          <w:szCs w:val="32"/>
          <w:lang w:val="en-US" w:eastAsia="zh-CN"/>
        </w:rPr>
        <w:t>和</w:t>
      </w:r>
      <w:r>
        <w:rPr>
          <w:rFonts w:hint="eastAsia" w:ascii="仿宋" w:hAnsi="仿宋" w:eastAsia="仿宋" w:cs="仿宋_GB2312"/>
          <w:sz w:val="32"/>
          <w:szCs w:val="32"/>
          <w:lang w:val="en-US" w:eastAsia="zh-CN"/>
        </w:rPr>
        <w:t>法治氛围，人民</w:t>
      </w:r>
      <w:r>
        <w:rPr>
          <w:rFonts w:hint="default" w:ascii="仿宋" w:hAnsi="仿宋" w:eastAsia="仿宋" w:cs="仿宋_GB2312"/>
          <w:sz w:val="32"/>
          <w:szCs w:val="32"/>
          <w:lang w:val="en-US" w:eastAsia="zh-CN"/>
        </w:rPr>
        <w:t>群众森林防火意识</w:t>
      </w:r>
      <w:r>
        <w:rPr>
          <w:rFonts w:hint="eastAsia" w:ascii="仿宋" w:hAnsi="仿宋" w:eastAsia="仿宋" w:cs="仿宋_GB2312"/>
          <w:sz w:val="32"/>
          <w:szCs w:val="32"/>
          <w:lang w:val="en-US" w:eastAsia="zh-CN"/>
        </w:rPr>
        <w:t>增强</w:t>
      </w:r>
      <w:r>
        <w:rPr>
          <w:rFonts w:hint="default" w:ascii="仿宋" w:hAnsi="仿宋" w:eastAsia="仿宋" w:cs="仿宋_GB2312"/>
          <w:sz w:val="32"/>
          <w:szCs w:val="32"/>
          <w:lang w:val="en-US" w:eastAsia="zh-CN"/>
        </w:rPr>
        <w:t>，提高全</w:t>
      </w:r>
      <w:r>
        <w:rPr>
          <w:rFonts w:hint="eastAsia" w:ascii="仿宋" w:hAnsi="仿宋" w:eastAsia="仿宋" w:cs="仿宋_GB2312"/>
          <w:sz w:val="32"/>
          <w:szCs w:val="32"/>
          <w:lang w:val="en-US" w:eastAsia="zh-CN"/>
        </w:rPr>
        <w:t>镇</w:t>
      </w:r>
      <w:r>
        <w:rPr>
          <w:rFonts w:hint="default" w:ascii="仿宋" w:hAnsi="仿宋" w:eastAsia="仿宋" w:cs="仿宋_GB2312"/>
          <w:sz w:val="32"/>
          <w:szCs w:val="32"/>
          <w:lang w:val="en-US" w:eastAsia="zh-CN"/>
        </w:rPr>
        <w:t>森林火灾预防控能力，</w:t>
      </w:r>
      <w:r>
        <w:rPr>
          <w:rFonts w:hint="eastAsia" w:ascii="仿宋" w:hAnsi="仿宋" w:eastAsia="仿宋" w:cs="仿宋_GB2312"/>
          <w:sz w:val="32"/>
          <w:szCs w:val="32"/>
          <w:lang w:val="en-US" w:eastAsia="zh-CN"/>
        </w:rPr>
        <w:t>森林</w:t>
      </w:r>
      <w:r>
        <w:rPr>
          <w:rFonts w:hint="default" w:ascii="仿宋" w:hAnsi="仿宋" w:eastAsia="仿宋" w:cs="仿宋_GB2312"/>
          <w:sz w:val="32"/>
          <w:szCs w:val="32"/>
          <w:lang w:val="en-US" w:eastAsia="zh-CN"/>
        </w:rPr>
        <w:t>火灾发生次数明显下降减少</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野外用火得到有效控制</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巩固现有绿化造林成果及维护林区长治久安，可持续提高人民生活质量，并可取得良好的社会、经济和环境效益，具有可持续影响。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我们认为：</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镇人民政府的</w:t>
      </w:r>
      <w:r>
        <w:rPr>
          <w:rFonts w:hint="eastAsia" w:ascii="仿宋" w:hAnsi="仿宋" w:eastAsia="仿宋" w:cs="仿宋_GB2312"/>
          <w:sz w:val="32"/>
          <w:szCs w:val="32"/>
          <w:lang w:eastAsia="zh-CN"/>
        </w:rPr>
        <w:t>森林防火</w:t>
      </w:r>
      <w:r>
        <w:rPr>
          <w:rFonts w:hint="eastAsia" w:ascii="仿宋" w:hAnsi="仿宋" w:eastAsia="仿宋" w:cs="仿宋_GB2312"/>
          <w:sz w:val="32"/>
          <w:szCs w:val="32"/>
        </w:rPr>
        <w:t>项目的实施，</w:t>
      </w:r>
      <w:r>
        <w:rPr>
          <w:rFonts w:hint="eastAsia" w:ascii="仿宋" w:hAnsi="仿宋" w:eastAsia="仿宋" w:cs="仿宋_GB2312"/>
          <w:sz w:val="32"/>
          <w:szCs w:val="32"/>
          <w:lang w:val="en-US" w:eastAsia="zh-CN"/>
        </w:rPr>
        <w:t>森林</w:t>
      </w:r>
      <w:r>
        <w:rPr>
          <w:rFonts w:hint="default" w:ascii="仿宋" w:hAnsi="仿宋" w:eastAsia="仿宋" w:cs="仿宋_GB2312"/>
          <w:sz w:val="32"/>
          <w:szCs w:val="32"/>
          <w:lang w:val="en-US" w:eastAsia="zh-CN"/>
        </w:rPr>
        <w:t>火灾发生次数明显下降减少</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野外用火得到有效控制</w:t>
      </w:r>
      <w:r>
        <w:rPr>
          <w:rFonts w:hint="eastAsia" w:ascii="仿宋" w:hAnsi="仿宋" w:eastAsia="仿宋" w:cs="仿宋_GB2312"/>
          <w:sz w:val="32"/>
          <w:szCs w:val="32"/>
        </w:rPr>
        <w:t>，项目实施到位，产生了良好的社会环境效益。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元山</w:t>
      </w:r>
      <w:r>
        <w:rPr>
          <w:rFonts w:hint="eastAsia" w:ascii="仿宋" w:hAnsi="仿宋" w:eastAsia="仿宋" w:cs="仿宋_GB2312"/>
          <w:sz w:val="32"/>
          <w:szCs w:val="32"/>
        </w:rPr>
        <w:t>镇人民政府</w:t>
      </w:r>
      <w:r>
        <w:rPr>
          <w:rFonts w:hint="eastAsia" w:ascii="仿宋" w:hAnsi="仿宋" w:eastAsia="仿宋" w:cs="仿宋_GB2312"/>
          <w:sz w:val="32"/>
          <w:szCs w:val="32"/>
          <w:lang w:eastAsia="zh-CN"/>
        </w:rPr>
        <w:t>森林防火</w:t>
      </w:r>
      <w:r>
        <w:rPr>
          <w:rFonts w:hint="eastAsia" w:ascii="仿宋" w:hAnsi="仿宋" w:eastAsia="仿宋" w:cs="仿宋_GB2312"/>
          <w:sz w:val="32"/>
          <w:szCs w:val="32"/>
        </w:rPr>
        <w:t>项目绩效评价指标表考评，此次评价指标总分值</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分，综合得分为9</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我镇森林覆盖率较高</w:t>
      </w:r>
      <w:r>
        <w:rPr>
          <w:rFonts w:hint="eastAsia" w:ascii="仿宋" w:hAnsi="仿宋" w:eastAsia="仿宋" w:cs="仿宋_GB2312"/>
          <w:sz w:val="32"/>
          <w:szCs w:val="32"/>
        </w:rPr>
        <w:t>，森林防火形势十分严峻。一是我</w:t>
      </w:r>
      <w:r>
        <w:rPr>
          <w:rFonts w:hint="eastAsia" w:ascii="仿宋" w:hAnsi="仿宋" w:eastAsia="仿宋" w:cs="仿宋_GB2312"/>
          <w:sz w:val="32"/>
          <w:szCs w:val="32"/>
          <w:lang w:eastAsia="zh-CN"/>
        </w:rPr>
        <w:t>镇</w:t>
      </w:r>
      <w:r>
        <w:rPr>
          <w:rFonts w:hint="eastAsia" w:ascii="仿宋" w:hAnsi="仿宋" w:eastAsia="仿宋" w:cs="仿宋_GB2312"/>
          <w:sz w:val="32"/>
          <w:szCs w:val="32"/>
        </w:rPr>
        <w:t>山区面积</w:t>
      </w:r>
      <w:r>
        <w:rPr>
          <w:rFonts w:hint="eastAsia" w:ascii="仿宋" w:hAnsi="仿宋" w:eastAsia="仿宋" w:cs="仿宋_GB2312"/>
          <w:sz w:val="32"/>
          <w:szCs w:val="32"/>
          <w:lang w:eastAsia="zh-CN"/>
        </w:rPr>
        <w:t>较多</w:t>
      </w:r>
      <w:r>
        <w:rPr>
          <w:rFonts w:hint="eastAsia" w:ascii="仿宋" w:hAnsi="仿宋" w:eastAsia="仿宋" w:cs="仿宋_GB2312"/>
          <w:sz w:val="32"/>
          <w:szCs w:val="32"/>
        </w:rPr>
        <w:t>，频繁的农事活动，给森林防火带来了一定困难。野外游玩休闲的人多，极易引发森林火灾。二是森林防火基础设施比较薄弱。特别是各主要林区，无监控</w:t>
      </w:r>
      <w:r>
        <w:rPr>
          <w:rFonts w:hint="eastAsia" w:ascii="仿宋" w:hAnsi="仿宋" w:eastAsia="仿宋" w:cs="仿宋_GB2312"/>
          <w:sz w:val="32"/>
          <w:szCs w:val="32"/>
          <w:lang w:eastAsia="zh-CN"/>
        </w:rPr>
        <w:t>瞭望</w:t>
      </w:r>
      <w:r>
        <w:rPr>
          <w:rFonts w:hint="eastAsia" w:ascii="仿宋" w:hAnsi="仿宋" w:eastAsia="仿宋" w:cs="仿宋_GB2312"/>
          <w:sz w:val="32"/>
          <w:szCs w:val="32"/>
        </w:rPr>
        <w:t>设施，通讯信号不强，无有效阻隔系统，不具备抵御森林大火的能力，与当前的防火需要不相适应。三是由于林区的开发利用，林区施工、流动人员、旅游人员增多，管理难度加大，已成为新形势下引发森林火灾的一大隐患</w:t>
      </w:r>
      <w:r>
        <w:rPr>
          <w:rFonts w:hint="eastAsia" w:ascii="仿宋" w:hAnsi="仿宋" w:eastAsia="仿宋" w:cs="仿宋_GB2312"/>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2"/>
        <w:spacing w:before="93"/>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一是强化责任落实，严控火源管理。二是持续加强森林防火工作的宣传教育，转变农户思想，强化农户的防火意识。三是加大联合巡查执法力度，环保、农业、派出所、林业公安等部门进一步加大处置力度，发现一起处置一起，形成威慑。四是加强森林防火信息化建设上的投入，使森林防火工作更加高效、便捷。</w:t>
      </w:r>
    </w:p>
    <w:tbl>
      <w:tblPr>
        <w:tblStyle w:val="2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年安全经费（森林防火）项目绩效目标自评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剑阁县</w:t>
            </w:r>
            <w:r>
              <w:rPr>
                <w:rFonts w:hint="eastAsia" w:ascii="宋体" w:hAnsi="宋体" w:cs="宋体"/>
                <w:sz w:val="24"/>
                <w:lang w:eastAsia="zh-CN"/>
              </w:rPr>
              <w:t>元山</w:t>
            </w:r>
            <w:r>
              <w:rPr>
                <w:rFonts w:hint="eastAsia" w:ascii="宋体" w:hAnsi="宋体" w:cs="宋体"/>
                <w:sz w:val="24"/>
              </w:rPr>
              <w:t>镇人民政府</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2</w:t>
            </w:r>
          </w:p>
        </w:tc>
      </w:tr>
      <w:tr>
        <w:tblPrEx>
          <w:tblLayout w:type="fixed"/>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cs="宋体"/>
                <w:sz w:val="24"/>
                <w:lang w:val="en-US"/>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2</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Layout w:type="fixed"/>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Layout w:type="fixed"/>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rPr>
              <w:t>切实减少辖区内火灾隐患，有效预防森林火灾</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lang w:eastAsia="zh-CN"/>
              </w:rPr>
              <w:t>有效预防森林火灾，202</w:t>
            </w:r>
            <w:r>
              <w:rPr>
                <w:rFonts w:hint="eastAsia" w:ascii="宋体" w:hAnsi="宋体" w:cs="宋体"/>
                <w:sz w:val="24"/>
                <w:lang w:val="en-US" w:eastAsia="zh-CN"/>
              </w:rPr>
              <w:t>2</w:t>
            </w:r>
            <w:r>
              <w:rPr>
                <w:rFonts w:hint="eastAsia" w:ascii="宋体" w:hAnsi="宋体" w:cs="宋体"/>
                <w:sz w:val="24"/>
                <w:lang w:eastAsia="zh-CN"/>
              </w:rPr>
              <w:t>年镇内未发生火灾</w:t>
            </w:r>
          </w:p>
        </w:tc>
      </w:tr>
      <w:tr>
        <w:tblPrEx>
          <w:tblLayout w:type="fixed"/>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日常防火宣传及巡逻次数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物质合格率(%)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Layout w:type="fixed"/>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工作持续时间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r>
      <w:tr>
        <w:tblPrEx>
          <w:tblLayout w:type="fixed"/>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经济成本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≤2万元</w:t>
            </w: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切实减少辖区内火灾隐患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确保国有森林资源和群众生命财产安全得到有效保障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确保国有森林资源和群众生命财产安全得到有效保障</w:t>
            </w:r>
          </w:p>
        </w:tc>
      </w:tr>
      <w:tr>
        <w:tblPrEx>
          <w:tblLayout w:type="fixed"/>
          <w:tblCellMar>
            <w:top w:w="0" w:type="dxa"/>
            <w:left w:w="108" w:type="dxa"/>
            <w:bottom w:w="0" w:type="dxa"/>
            <w:right w:w="108" w:type="dxa"/>
          </w:tblCellMar>
        </w:tblPrEx>
        <w:trPr>
          <w:gridAfter w:val="1"/>
          <w:wAfter w:w="236" w:type="dxa"/>
          <w:trHeight w:val="55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widowControl/>
        <w:adjustRightInd w:val="0"/>
        <w:snapToGrid w:val="0"/>
        <w:spacing w:line="580" w:lineRule="exact"/>
        <w:ind w:firstLine="640" w:firstLineChars="200"/>
        <w:contextualSpacing/>
        <w:jc w:val="left"/>
        <w:rPr>
          <w:rFonts w:hint="eastAsia" w:ascii="仿宋" w:hAnsi="仿宋" w:eastAsia="仿宋" w:cs="仿宋_GB2312"/>
          <w:kern w:val="2"/>
          <w:sz w:val="32"/>
          <w:szCs w:val="32"/>
          <w:lang w:val="en-US" w:eastAsia="zh-CN" w:bidi="ar-SA"/>
        </w:rPr>
      </w:pPr>
      <w:r>
        <w:rPr>
          <w:rFonts w:hint="eastAsia" w:ascii="仿宋_GB2312" w:hAnsi="宋体" w:eastAsia="仿宋_GB2312" w:cs="宋体"/>
          <w:kern w:val="0"/>
          <w:sz w:val="32"/>
          <w:szCs w:val="32"/>
          <w:shd w:val="clear" w:color="auto" w:fill="FFFFFF"/>
          <w:lang w:val="zh-CN"/>
        </w:rPr>
        <w:t>附表：</w:t>
      </w:r>
    </w:p>
    <w:p>
      <w:pPr>
        <w:widowControl/>
        <w:jc w:val="left"/>
        <w:rPr>
          <w:rFonts w:hint="eastAsia" w:ascii="黑体" w:hAnsi="黑体" w:eastAsia="黑体"/>
          <w:sz w:val="44"/>
          <w:szCs w:val="44"/>
        </w:rPr>
      </w:pPr>
      <w:r>
        <w:rPr>
          <w:rStyle w:val="31"/>
          <w:rFonts w:ascii="黑体" w:hAnsi="黑体" w:eastAsia="黑体"/>
          <w:b w:val="0"/>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32"/>
          <w:rFonts w:hint="eastAsia" w:ascii="仿宋" w:hAnsi="仿宋" w:eastAsia="仿宋"/>
          <w:b w:val="0"/>
          <w:bCs w:val="0"/>
        </w:rPr>
        <w:t>入决算表</w:t>
      </w:r>
      <w:bookmarkEnd w:id="61"/>
    </w:p>
    <w:p>
      <w:pPr>
        <w:pStyle w:val="4"/>
        <w:rPr>
          <w:rFonts w:ascii="仿宋" w:hAnsi="仿宋" w:eastAsia="仿宋"/>
        </w:rPr>
      </w:pPr>
      <w:bookmarkStart w:id="6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3"/>
    </w:p>
    <w:p>
      <w:pPr>
        <w:pStyle w:val="4"/>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41"/>
          <w:rFonts w:hint="eastAsia" w:ascii="仿宋" w:hAnsi="仿宋" w:eastAsia="仿宋"/>
          <w:b w:val="0"/>
          <w:bCs w:val="0"/>
        </w:rPr>
        <w:t>十、</w:t>
      </w:r>
      <w:bookmarkEnd w:id="69"/>
      <w:r>
        <w:rPr>
          <w:rFonts w:hint="eastAsia" w:ascii="仿宋" w:hAnsi="仿宋" w:eastAsia="仿宋"/>
          <w:b w:val="0"/>
        </w:rPr>
        <w:t>政</w:t>
      </w:r>
      <w:r>
        <w:rPr>
          <w:rStyle w:val="41"/>
          <w:rFonts w:hint="eastAsia" w:ascii="仿宋" w:hAnsi="仿宋" w:eastAsia="仿宋"/>
          <w:b w:val="0"/>
          <w:bCs w:val="0"/>
        </w:rPr>
        <w:t>府性基金预算财政拨款收入支出决算表</w:t>
      </w:r>
    </w:p>
    <w:p>
      <w:pPr>
        <w:pStyle w:val="4"/>
        <w:rPr>
          <w:rFonts w:ascii="仿宋" w:hAnsi="仿宋" w:eastAsia="仿宋"/>
        </w:rPr>
      </w:pPr>
      <w:bookmarkStart w:id="70" w:name="_Toc15396629"/>
      <w:r>
        <w:rPr>
          <w:rStyle w:val="41"/>
          <w:rFonts w:hint="eastAsia" w:ascii="仿宋" w:hAnsi="仿宋" w:eastAsia="仿宋"/>
          <w:b w:val="0"/>
          <w:bCs w:val="0"/>
        </w:rPr>
        <w:t>十一、</w:t>
      </w:r>
      <w:bookmarkEnd w:id="70"/>
      <w:r>
        <w:rPr>
          <w:rFonts w:hint="eastAsia" w:ascii="仿宋" w:hAnsi="仿宋" w:eastAsia="仿宋"/>
          <w:b w:val="0"/>
        </w:rPr>
        <w:t>国</w:t>
      </w:r>
      <w:r>
        <w:rPr>
          <w:rStyle w:val="41"/>
          <w:rFonts w:hint="eastAsia" w:ascii="仿宋" w:hAnsi="仿宋" w:eastAsia="仿宋"/>
          <w:b w:val="0"/>
          <w:bCs w:val="0"/>
        </w:rPr>
        <w:t>有资本经营预算财政拨款收入支出决算表</w:t>
      </w:r>
    </w:p>
    <w:p>
      <w:pPr>
        <w:pStyle w:val="4"/>
        <w:rPr>
          <w:rFonts w:ascii="仿宋" w:hAnsi="仿宋" w:eastAsia="仿宋"/>
        </w:rPr>
      </w:pPr>
      <w:bookmarkStart w:id="71" w:name="_Toc15396630"/>
      <w:r>
        <w:rPr>
          <w:rStyle w:val="41"/>
          <w:rFonts w:hint="eastAsia" w:ascii="仿宋" w:hAnsi="仿宋" w:eastAsia="仿宋"/>
          <w:b w:val="0"/>
          <w:bCs w:val="0"/>
        </w:rPr>
        <w:t>十二、</w:t>
      </w:r>
      <w:bookmarkEnd w:id="71"/>
      <w:r>
        <w:rPr>
          <w:rStyle w:val="41"/>
          <w:rFonts w:hint="eastAsia" w:ascii="仿宋" w:hAnsi="仿宋" w:eastAsia="仿宋"/>
          <w:b w:val="0"/>
          <w:bCs w:val="0"/>
        </w:rPr>
        <w:t>国有资本经营预算财政拨款支出决算表</w:t>
      </w:r>
    </w:p>
    <w:p>
      <w:pPr>
        <w:pStyle w:val="4"/>
        <w:rPr>
          <w:rFonts w:eastAsia="仿宋"/>
        </w:rPr>
      </w:pPr>
      <w:bookmarkStart w:id="72" w:name="_Toc15396631"/>
      <w:r>
        <w:rPr>
          <w:rStyle w:val="41"/>
          <w:rFonts w:hint="eastAsia" w:ascii="仿宋" w:hAnsi="仿宋" w:eastAsia="仿宋"/>
          <w:b w:val="0"/>
          <w:bCs w:val="0"/>
        </w:rPr>
        <w:t>十三、</w:t>
      </w:r>
      <w:bookmarkEnd w:id="72"/>
      <w:r>
        <w:rPr>
          <w:rStyle w:val="41"/>
          <w:rFonts w:hint="eastAsia" w:ascii="仿宋" w:hAnsi="仿宋" w:eastAsia="仿宋"/>
          <w:b w:val="0"/>
          <w:bCs w:val="0"/>
        </w:rPr>
        <w:t>财政拨款“三公”经费支出决算表</w:t>
      </w:r>
    </w:p>
    <w:p>
      <w:pPr>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粗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7AEA7"/>
    <w:multiLevelType w:val="singleLevel"/>
    <w:tmpl w:val="9697AEA7"/>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2576512"/>
    <w:multiLevelType w:val="singleLevel"/>
    <w:tmpl w:val="52576512"/>
    <w:lvl w:ilvl="0" w:tentative="0">
      <w:start w:val="2"/>
      <w:numFmt w:val="chineseCounting"/>
      <w:suff w:val="nothing"/>
      <w:lvlText w:val="（%1）"/>
      <w:lvlJc w:val="left"/>
      <w:rPr>
        <w:rFonts w:hint="eastAsia"/>
      </w:rPr>
    </w:lvl>
  </w:abstractNum>
  <w:abstractNum w:abstractNumId="5">
    <w:nsid w:val="6A576B2E"/>
    <w:multiLevelType w:val="singleLevel"/>
    <w:tmpl w:val="6A576B2E"/>
    <w:lvl w:ilvl="0" w:tentative="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76EA7"/>
    <w:rsid w:val="01E034B1"/>
    <w:rsid w:val="02DC5CB3"/>
    <w:rsid w:val="066E0107"/>
    <w:rsid w:val="06A74829"/>
    <w:rsid w:val="07996F6E"/>
    <w:rsid w:val="098F0954"/>
    <w:rsid w:val="09DA7B09"/>
    <w:rsid w:val="0A2032A3"/>
    <w:rsid w:val="0A2151E9"/>
    <w:rsid w:val="0A732EF3"/>
    <w:rsid w:val="101860EC"/>
    <w:rsid w:val="10C055FF"/>
    <w:rsid w:val="118107EC"/>
    <w:rsid w:val="12D40754"/>
    <w:rsid w:val="13885857"/>
    <w:rsid w:val="13D50BC4"/>
    <w:rsid w:val="16B20DAC"/>
    <w:rsid w:val="16BB723D"/>
    <w:rsid w:val="1B157B5C"/>
    <w:rsid w:val="1BE8440E"/>
    <w:rsid w:val="1C876837"/>
    <w:rsid w:val="1D155CEE"/>
    <w:rsid w:val="205B4263"/>
    <w:rsid w:val="21C06CF1"/>
    <w:rsid w:val="22FF7A6F"/>
    <w:rsid w:val="23860B96"/>
    <w:rsid w:val="23BC326A"/>
    <w:rsid w:val="240371BF"/>
    <w:rsid w:val="245E07C6"/>
    <w:rsid w:val="24B623B0"/>
    <w:rsid w:val="253E5A50"/>
    <w:rsid w:val="25F5515A"/>
    <w:rsid w:val="29FD04D3"/>
    <w:rsid w:val="2C8A61B5"/>
    <w:rsid w:val="2DF04E50"/>
    <w:rsid w:val="31633E71"/>
    <w:rsid w:val="319F7F4E"/>
    <w:rsid w:val="32877139"/>
    <w:rsid w:val="330B1B18"/>
    <w:rsid w:val="35337105"/>
    <w:rsid w:val="360664DE"/>
    <w:rsid w:val="36AA5135"/>
    <w:rsid w:val="37AF116A"/>
    <w:rsid w:val="37E16F03"/>
    <w:rsid w:val="399B34CA"/>
    <w:rsid w:val="3D7C1188"/>
    <w:rsid w:val="3D98207C"/>
    <w:rsid w:val="3EB40962"/>
    <w:rsid w:val="431C1B20"/>
    <w:rsid w:val="439416B6"/>
    <w:rsid w:val="43F07650"/>
    <w:rsid w:val="445F0292"/>
    <w:rsid w:val="44A067ED"/>
    <w:rsid w:val="44E268DA"/>
    <w:rsid w:val="488B1A86"/>
    <w:rsid w:val="4A627F82"/>
    <w:rsid w:val="4B052189"/>
    <w:rsid w:val="4B4F25DA"/>
    <w:rsid w:val="4BE068DB"/>
    <w:rsid w:val="4D577224"/>
    <w:rsid w:val="4EAB630A"/>
    <w:rsid w:val="4ECE2238"/>
    <w:rsid w:val="501871CB"/>
    <w:rsid w:val="5276527F"/>
    <w:rsid w:val="54DD3464"/>
    <w:rsid w:val="55256612"/>
    <w:rsid w:val="5AF92295"/>
    <w:rsid w:val="5C207B33"/>
    <w:rsid w:val="5CD71FC4"/>
    <w:rsid w:val="5FEB5757"/>
    <w:rsid w:val="63D77671"/>
    <w:rsid w:val="657607C4"/>
    <w:rsid w:val="66074C1E"/>
    <w:rsid w:val="67A96F26"/>
    <w:rsid w:val="67E22141"/>
    <w:rsid w:val="6A28031F"/>
    <w:rsid w:val="6BA37E39"/>
    <w:rsid w:val="6C4A05C8"/>
    <w:rsid w:val="6CDA788A"/>
    <w:rsid w:val="6E7E3605"/>
    <w:rsid w:val="6FF5CC65"/>
    <w:rsid w:val="715C0E4B"/>
    <w:rsid w:val="72734D90"/>
    <w:rsid w:val="73AD73D5"/>
    <w:rsid w:val="73B6EB34"/>
    <w:rsid w:val="74F7707F"/>
    <w:rsid w:val="76D4359C"/>
    <w:rsid w:val="78462278"/>
    <w:rsid w:val="78B13B95"/>
    <w:rsid w:val="78FB5B20"/>
    <w:rsid w:val="79C63670"/>
    <w:rsid w:val="79EE5BA4"/>
    <w:rsid w:val="7A894339"/>
    <w:rsid w:val="7C4B60AF"/>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9"/>
    <w:qFormat/>
    <w:uiPriority w:val="99"/>
    <w:pPr>
      <w:spacing w:beforeLines="30"/>
    </w:pPr>
    <w:rPr>
      <w:rFonts w:ascii="仿宋_GB2312" w:eastAsia="仿宋_GB2312"/>
      <w:kern w:val="0"/>
      <w:sz w:val="30"/>
    </w:rPr>
  </w:style>
  <w:style w:type="paragraph" w:styleId="6">
    <w:name w:val="Body Text First Indent"/>
    <w:basedOn w:val="2"/>
    <w:qFormat/>
    <w:uiPriority w:val="0"/>
    <w:pPr>
      <w:ind w:firstLine="420" w:firstLineChars="100"/>
    </w:pPr>
  </w:style>
  <w:style w:type="paragraph" w:styleId="7">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8">
    <w:name w:val="Body Text Indent"/>
    <w:basedOn w:val="1"/>
    <w:qFormat/>
    <w:uiPriority w:val="0"/>
    <w:pPr>
      <w:spacing w:afterLines="0" w:afterAutospacing="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eastAsia="仿宋_GB2312" w:cs="Courier New"/>
      <w:b/>
      <w:sz w:val="32"/>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13">
    <w:name w:val="Body Text First Indent 2"/>
    <w:basedOn w:val="8"/>
    <w:next w:val="6"/>
    <w:qFormat/>
    <w:uiPriority w:val="0"/>
    <w:pPr>
      <w:ind w:firstLine="420" w:firstLineChars="200"/>
    </w:pPr>
  </w:style>
  <w:style w:type="paragraph" w:styleId="14">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6">
    <w:name w:val="table of figures"/>
    <w:basedOn w:val="1"/>
    <w:next w:val="1"/>
    <w:qFormat/>
    <w:uiPriority w:val="99"/>
    <w:pPr>
      <w:ind w:left="200" w:leftChars="200" w:hanging="200" w:hangingChars="200"/>
    </w:pPr>
  </w:style>
  <w:style w:type="paragraph" w:styleId="17">
    <w:name w:val="toc 2"/>
    <w:basedOn w:val="1"/>
    <w:next w:val="1"/>
    <w:unhideWhenUsed/>
    <w:qFormat/>
    <w:uiPriority w:val="39"/>
    <w:pPr>
      <w:tabs>
        <w:tab w:val="right" w:leader="dot" w:pos="8296"/>
      </w:tabs>
      <w:ind w:left="420" w:leftChars="200"/>
    </w:p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4">
    <w:name w:val="Header Char"/>
    <w:basedOn w:val="19"/>
    <w:semiHidden/>
    <w:qFormat/>
    <w:uiPriority w:val="99"/>
    <w:rPr>
      <w:rFonts w:ascii="Times New Roman" w:hAnsi="Times New Roman"/>
      <w:sz w:val="18"/>
      <w:szCs w:val="18"/>
    </w:rPr>
  </w:style>
  <w:style w:type="character" w:customStyle="1" w:styleId="25">
    <w:name w:val="页眉 Char"/>
    <w:link w:val="14"/>
    <w:semiHidden/>
    <w:qFormat/>
    <w:locked/>
    <w:uiPriority w:val="99"/>
    <w:rPr>
      <w:sz w:val="18"/>
    </w:rPr>
  </w:style>
  <w:style w:type="character" w:customStyle="1" w:styleId="26">
    <w:name w:val="Footer Char"/>
    <w:basedOn w:val="19"/>
    <w:semiHidden/>
    <w:qFormat/>
    <w:uiPriority w:val="99"/>
    <w:rPr>
      <w:rFonts w:ascii="Times New Roman" w:hAnsi="Times New Roman"/>
      <w:sz w:val="18"/>
      <w:szCs w:val="18"/>
    </w:rPr>
  </w:style>
  <w:style w:type="character" w:customStyle="1" w:styleId="27">
    <w:name w:val="页脚 Char"/>
    <w:link w:val="12"/>
    <w:qFormat/>
    <w:locked/>
    <w:uiPriority w:val="99"/>
    <w:rPr>
      <w:sz w:val="18"/>
    </w:rPr>
  </w:style>
  <w:style w:type="character" w:customStyle="1" w:styleId="28">
    <w:name w:val="Body Text Char"/>
    <w:basedOn w:val="19"/>
    <w:semiHidden/>
    <w:qFormat/>
    <w:uiPriority w:val="99"/>
    <w:rPr>
      <w:rFonts w:ascii="Times New Roman" w:hAnsi="Times New Roman"/>
      <w:szCs w:val="24"/>
    </w:rPr>
  </w:style>
  <w:style w:type="character" w:customStyle="1" w:styleId="29">
    <w:name w:val="正文文本 Char"/>
    <w:link w:val="2"/>
    <w:qFormat/>
    <w:locked/>
    <w:uiPriority w:val="99"/>
    <w:rPr>
      <w:rFonts w:ascii="仿宋_GB2312" w:hAnsi="Times New Roman" w:eastAsia="仿宋_GB2312"/>
      <w:sz w:val="24"/>
    </w:rPr>
  </w:style>
  <w:style w:type="paragraph" w:styleId="30">
    <w:name w:val="List Paragraph"/>
    <w:basedOn w:val="1"/>
    <w:qFormat/>
    <w:uiPriority w:val="34"/>
    <w:pPr>
      <w:ind w:firstLine="420" w:firstLineChars="200"/>
    </w:pPr>
  </w:style>
  <w:style w:type="character" w:customStyle="1" w:styleId="31">
    <w:name w:val="标题 1 Char"/>
    <w:basedOn w:val="19"/>
    <w:link w:val="3"/>
    <w:qFormat/>
    <w:uiPriority w:val="9"/>
    <w:rPr>
      <w:rFonts w:ascii="Times New Roman" w:hAnsi="Times New Roman"/>
      <w:b/>
      <w:bCs/>
      <w:kern w:val="44"/>
      <w:sz w:val="44"/>
      <w:szCs w:val="44"/>
    </w:rPr>
  </w:style>
  <w:style w:type="character" w:customStyle="1" w:styleId="32">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1"/>
    <w:semiHidden/>
    <w:qFormat/>
    <w:uiPriority w:val="99"/>
    <w:rPr>
      <w:rFonts w:ascii="Times New Roman" w:hAnsi="Times New Roman"/>
      <w:kern w:val="2"/>
      <w:sz w:val="18"/>
      <w:szCs w:val="18"/>
    </w:rPr>
  </w:style>
  <w:style w:type="character" w:customStyle="1" w:styleId="35">
    <w:name w:val="标题 3 Char"/>
    <w:basedOn w:val="19"/>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7">
    <w:name w:val="font11"/>
    <w:basedOn w:val="19"/>
    <w:qFormat/>
    <w:uiPriority w:val="0"/>
    <w:rPr>
      <w:rFonts w:hint="eastAsia" w:ascii="宋体" w:hAnsi="宋体" w:eastAsia="宋体" w:cs="宋体"/>
      <w:color w:val="000000"/>
      <w:sz w:val="20"/>
      <w:szCs w:val="20"/>
      <w:u w:val="none"/>
    </w:rPr>
  </w:style>
  <w:style w:type="paragraph" w:customStyle="1" w:styleId="38">
    <w:name w:val="WPSOffice手动目录 1"/>
    <w:qFormat/>
    <w:uiPriority w:val="0"/>
    <w:pPr>
      <w:ind w:leftChars="0"/>
    </w:pPr>
    <w:rPr>
      <w:rFonts w:asciiTheme="minorHAnsi" w:hAnsiTheme="minorHAnsi" w:eastAsiaTheme="minorEastAsia" w:cstheme="minorBidi"/>
      <w:sz w:val="20"/>
      <w:szCs w:val="20"/>
    </w:rPr>
  </w:style>
  <w:style w:type="paragraph" w:customStyle="1" w:styleId="39">
    <w:name w:val="WPSOffice手动目录 2"/>
    <w:qFormat/>
    <w:uiPriority w:val="0"/>
    <w:pPr>
      <w:ind w:leftChars="200"/>
    </w:pPr>
    <w:rPr>
      <w:rFonts w:asciiTheme="minorHAnsi" w:hAnsiTheme="minorHAnsi" w:eastAsiaTheme="minorEastAsia" w:cstheme="minorBidi"/>
      <w:sz w:val="20"/>
      <w:szCs w:val="20"/>
    </w:rPr>
  </w:style>
  <w:style w:type="character" w:customStyle="1" w:styleId="40">
    <w:name w:val="font41"/>
    <w:basedOn w:val="19"/>
    <w:qFormat/>
    <w:uiPriority w:val="0"/>
    <w:rPr>
      <w:rFonts w:hint="eastAsia" w:ascii="宋体" w:hAnsi="宋体" w:eastAsia="宋体" w:cs="宋体"/>
      <w:color w:val="000000"/>
      <w:sz w:val="20"/>
      <w:szCs w:val="20"/>
      <w:u w:val="none"/>
    </w:rPr>
  </w:style>
  <w:style w:type="character" w:customStyle="1" w:styleId="41">
    <w:name w:val="标题 2 字符"/>
    <w:basedOn w:val="19"/>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445;&#23384;&#36164;&#26009;\&#22791;&#20221;\2022&#24180;\10.13\&#20915;&#31639;&#20844;&#24320;&#32534;&#21046;&#35828;&#26126;&#30456;&#20851;&#22270;&#2663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445;&#23384;&#36164;&#26009;\2019&#24180;\2019&#24180;&#20915;&#31639;\2019&#24180;&#20915;&#31639;&#32534;&#21046;&#35828;&#2612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ln w="12700" cmpd="sng">
                  <a:noFill/>
                  <a:prstDash val="solid"/>
                </a:ln>
                <a:solidFill>
                  <a:srgbClr val="595959">
                    <a:lumMod val="65000"/>
                    <a:lumOff val="35000"/>
                  </a:srgbClr>
                </a:solidFill>
                <a:latin typeface="+mn-lt"/>
                <a:ea typeface="+mn-ea"/>
                <a:cs typeface="+mn-cs"/>
              </a:defRPr>
            </a:pPr>
            <a:r>
              <a:rPr sz="900">
                <a:ln w="12700" cmpd="sng">
                  <a:noFill/>
                  <a:prstDash val="solid"/>
                </a:ln>
              </a:rPr>
              <a:t>单位：万元</a:t>
            </a:r>
            <a:endParaRPr sz="900">
              <a:ln w="12700" cmpd="sng">
                <a:noFill/>
                <a:prstDash val="solid"/>
              </a:ln>
            </a:endParaRPr>
          </a:p>
        </c:rich>
      </c:tx>
      <c:layout>
        <c:manualLayout>
          <c:xMode val="edge"/>
          <c:yMode val="edge"/>
          <c:x val="0.784977300866694"/>
          <c:y val="0.0183730158730159"/>
        </c:manualLayout>
      </c:layout>
      <c:overlay val="0"/>
      <c:spPr>
        <a:noFill/>
        <a:ln>
          <a:noFill/>
        </a:ln>
        <a:effectLst/>
      </c:spPr>
    </c:title>
    <c:autoTitleDeleted val="0"/>
    <c:plotArea>
      <c:layout/>
      <c:barChart>
        <c:barDir val="col"/>
        <c:grouping val="stacked"/>
        <c:varyColors val="0"/>
        <c:ser>
          <c:idx val="0"/>
          <c:order val="0"/>
          <c:tx>
            <c:strRef>
              <c:f>"收支决算总计"</c:f>
              <c:strCache>
                <c:ptCount val="1"/>
                <c:pt idx="0">
                  <c:v>收支决算总计</c:v>
                </c:pt>
              </c:strCache>
            </c:strRef>
          </c:tx>
          <c:spPr>
            <a:solidFill>
              <a:srgbClr val="4F81BD"/>
            </a:solidFill>
            <a:ln>
              <a:noFill/>
            </a:ln>
            <a:effectLst/>
          </c:spPr>
          <c:invertIfNegative val="0"/>
          <c:dLbls>
            <c:dLbl>
              <c:idx val="0"/>
              <c:layout>
                <c:manualLayout>
                  <c:x val="0.00800553969175766"/>
                  <c:y val="-0.31065476190476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8828686519568e-7"/>
                  <c:y val="-0.299503968253969"/>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46718943458523"/>
                      <c:h val="0.061342592592592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ln w="12700" cmpd="sng">
                      <a:noFill/>
                      <a:prstDash val="solid"/>
                    </a:ln>
                    <a:solidFill>
                      <a:srgbClr val="404040">
                        <a:lumMod val="75000"/>
                        <a:lumOff val="25000"/>
                      </a:srgbClr>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[决算公开编制说明相关图标.xlsx]Sheet1!$B$1:$B$2</c:f>
              <c:strCache>
                <c:ptCount val="2"/>
                <c:pt idx="0">
                  <c:v>2021年</c:v>
                </c:pt>
                <c:pt idx="1">
                  <c:v>2022年</c:v>
                </c:pt>
              </c:strCache>
            </c:strRef>
          </c:cat>
          <c:val>
            <c:numRef>
              <c:f>[决算公开编制说明相关图标.xlsx]Sheet1!$A$1:$A$2</c:f>
              <c:numCache>
                <c:formatCode>General</c:formatCode>
                <c:ptCount val="2"/>
                <c:pt idx="0">
                  <c:v>1706.86</c:v>
                </c:pt>
                <c:pt idx="1">
                  <c:v>1651.43</c:v>
                </c:pt>
              </c:numCache>
            </c:numRef>
          </c:val>
        </c:ser>
        <c:dLbls>
          <c:showLegendKey val="0"/>
          <c:showVal val="0"/>
          <c:showCatName val="0"/>
          <c:showSerName val="0"/>
          <c:showPercent val="0"/>
          <c:showBubbleSize val="0"/>
        </c:dLbls>
        <c:gapWidth val="150"/>
        <c:overlap val="100"/>
        <c:axId val="63770444"/>
        <c:axId val="614055805"/>
      </c:barChart>
      <c:catAx>
        <c:axId val="637704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14055805"/>
        <c:crosses val="autoZero"/>
        <c:auto val="1"/>
        <c:lblAlgn val="ctr"/>
        <c:lblOffset val="100"/>
        <c:noMultiLvlLbl val="0"/>
      </c:catAx>
      <c:valAx>
        <c:axId val="614055805"/>
        <c:scaling>
          <c:orientation val="minMax"/>
          <c:max val="1900"/>
          <c:min val="1000"/>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3770444"/>
        <c:crosses val="autoZero"/>
        <c:crossBetween val="between"/>
      </c:valAx>
      <c:spPr>
        <a:noFill/>
        <a:ln>
          <a:solidFill>
            <a:srgbClr val="4F81BD"/>
          </a:solidFill>
        </a:ln>
        <a:effectLst/>
      </c:spPr>
    </c:plotArea>
    <c:legend>
      <c:legendPos val="b"/>
      <c:legendEntry>
        <c:idx val="0"/>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4F81BD"/>
      </a:solidFill>
      <a:round/>
    </a:ln>
    <a:effectLst/>
  </c:spPr>
  <c:txPr>
    <a:bodyPr/>
    <a:lstStyle/>
    <a:p>
      <a:pPr>
        <a:defRPr lang="zh-CN">
          <a:ln w="12700" cmpd="sng">
            <a:noFill/>
            <a:prstDash val="solid"/>
          </a:ln>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dLbl>
              <c:idx val="0"/>
              <c:layout/>
              <c:numFmt formatCode="General" sourceLinked="1"/>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extLst>
                <c:ext xmlns:c15="http://schemas.microsoft.com/office/drawing/2012/chart" uri="{02D57815-91ED-43cb-92C2-25804820EDAC}">
                  <c15:fullRef>
                    <c15:sqref>[决算公开编制说明相关图标.xlsx]Sheet1!$B$22:$B$24</c15:sqref>
                  </c15:fullRef>
                </c:ext>
              </c:extLst>
              <c:f>[决算公开编制说明相关图标.xlsx]Sheet1!$B$22:$B$23</c:f>
              <c:strCache>
                <c:ptCount val="2"/>
                <c:pt idx="0">
                  <c:v>一般公共预算财政拨款收入</c:v>
                </c:pt>
                <c:pt idx="1">
                  <c:v>政府性基金预算财政拨款收入</c:v>
                </c:pt>
              </c:strCache>
            </c:strRef>
          </c:cat>
          <c:val>
            <c:numRef>
              <c:extLst>
                <c:ext xmlns:c15="http://schemas.microsoft.com/office/drawing/2012/chart" uri="{02D57815-91ED-43cb-92C2-25804820EDAC}">
                  <c15:fullRef>
                    <c15:sqref>Sheet1!$A$22:$A$24</c15:sqref>
                  </c15:fullRef>
                </c:ext>
              </c:extLst>
              <c:f>[决算公开编制说明相关图标.xlsx]Sheet1!$A$22:$A$23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[决算公开编制说明相关图标.xlsx]Sheet1!$B$39:$B$40</c:f>
              <c:strCache>
                <c:ptCount val="2"/>
                <c:pt idx="0">
                  <c:v>基本支出</c:v>
                </c:pt>
                <c:pt idx="1">
                  <c:v>项目支出</c:v>
                </c:pt>
              </c:strCache>
            </c:strRef>
          </c:cat>
          <c:val>
            <c:numRef>
              <c:f>[决算公开编制说明相关图标.xlsx]Sheet1!$A$39:$A$40</c:f>
              <c:numCache>
                <c:formatCode>0.00%</c:formatCode>
                <c:ptCount val="2"/>
                <c:pt idx="0">
                  <c:v>0.6829</c:v>
                </c:pt>
                <c:pt idx="1">
                  <c:v>0.3171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ln w="12700" cmpd="sng">
                  <a:noFill/>
                  <a:prstDash val="solid"/>
                </a:ln>
                <a:solidFill>
                  <a:srgbClr val="595959">
                    <a:lumMod val="65000"/>
                    <a:lumOff val="35000"/>
                  </a:srgbClr>
                </a:solidFill>
                <a:latin typeface="+mn-lt"/>
                <a:ea typeface="+mn-ea"/>
                <a:cs typeface="+mn-cs"/>
              </a:defRPr>
            </a:pPr>
            <a:r>
              <a:rPr sz="900">
                <a:ln w="12700" cmpd="sng">
                  <a:noFill/>
                  <a:prstDash val="solid"/>
                </a:ln>
              </a:rPr>
              <a:t>单位：万元</a:t>
            </a:r>
            <a:endParaRPr sz="900">
              <a:ln w="12700" cmpd="sng">
                <a:noFill/>
                <a:prstDash val="solid"/>
              </a:ln>
            </a:endParaRPr>
          </a:p>
        </c:rich>
      </c:tx>
      <c:layout>
        <c:manualLayout>
          <c:xMode val="edge"/>
          <c:yMode val="edge"/>
          <c:x val="0.784977300866694"/>
          <c:y val="0.00694444444444444"/>
        </c:manualLayout>
      </c:layout>
      <c:overlay val="0"/>
      <c:spPr>
        <a:noFill/>
        <a:ln>
          <a:noFill/>
        </a:ln>
        <a:effectLst/>
      </c:spPr>
    </c:title>
    <c:autoTitleDeleted val="0"/>
    <c:plotArea>
      <c:layout/>
      <c:barChart>
        <c:barDir val="col"/>
        <c:grouping val="stacked"/>
        <c:varyColors val="0"/>
        <c:ser>
          <c:idx val="0"/>
          <c:order val="0"/>
          <c:tx>
            <c:strRef>
              <c:f>[决算公开编制说明相关图标.xlsx]Sheet1!$A$63</c:f>
              <c:strCache>
                <c:ptCount val="1"/>
                <c:pt idx="0">
                  <c:v>财政拨款收、支决算总计</c:v>
                </c:pt>
              </c:strCache>
            </c:strRef>
          </c:tx>
          <c:spPr>
            <a:solidFill>
              <a:srgbClr val="4F81BD"/>
            </a:solidFill>
            <a:ln>
              <a:noFill/>
            </a:ln>
            <a:effectLst/>
          </c:spPr>
          <c:invertIfNegative val="0"/>
          <c:dLbls>
            <c:dLbl>
              <c:idx val="0"/>
              <c:layout>
                <c:manualLayout>
                  <c:x val="0.000927079638288616"/>
                  <c:y val="-0.31667414453218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74183039687444"/>
                  <c:y val="-0.300530529632289"/>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46718943458523"/>
                      <c:h val="0.061342592592592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ln w="12700" cmpd="sng">
                      <a:noFill/>
                      <a:prstDash val="solid"/>
                    </a:ln>
                    <a:solidFill>
                      <a:srgbClr val="404040">
                        <a:lumMod val="75000"/>
                        <a:lumOff val="25000"/>
                      </a:srgbClr>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[决算公开编制说明相关图标.xlsx]Sheet1!$B$61:$B$62</c:f>
              <c:strCache>
                <c:ptCount val="2"/>
                <c:pt idx="0">
                  <c:v>2021年</c:v>
                </c:pt>
                <c:pt idx="1">
                  <c:v>2022年</c:v>
                </c:pt>
              </c:strCache>
            </c:strRef>
          </c:cat>
          <c:val>
            <c:numRef>
              <c:f>[决算公开编制说明相关图标.xlsx]Sheet1!$A$61:$A$62</c:f>
              <c:numCache>
                <c:formatCode>General</c:formatCode>
                <c:ptCount val="2"/>
                <c:pt idx="0">
                  <c:v>1706.86</c:v>
                </c:pt>
                <c:pt idx="1">
                  <c:v>1651.43</c:v>
                </c:pt>
              </c:numCache>
            </c:numRef>
          </c:val>
        </c:ser>
        <c:dLbls>
          <c:showLegendKey val="0"/>
          <c:showVal val="0"/>
          <c:showCatName val="0"/>
          <c:showSerName val="0"/>
          <c:showPercent val="0"/>
          <c:showBubbleSize val="0"/>
        </c:dLbls>
        <c:gapWidth val="150"/>
        <c:overlap val="100"/>
        <c:axId val="63770444"/>
        <c:axId val="614055805"/>
      </c:barChart>
      <c:catAx>
        <c:axId val="637704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14055805"/>
        <c:crosses val="autoZero"/>
        <c:auto val="1"/>
        <c:lblAlgn val="ctr"/>
        <c:lblOffset val="100"/>
        <c:noMultiLvlLbl val="0"/>
      </c:catAx>
      <c:valAx>
        <c:axId val="614055805"/>
        <c:scaling>
          <c:orientation val="minMax"/>
          <c:max val="2000"/>
          <c:min val="500"/>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3770444"/>
        <c:crosses val="autoZero"/>
        <c:crossBetween val="between"/>
      </c:valAx>
      <c:spPr>
        <a:noFill/>
        <a:ln>
          <a:solidFill>
            <a:srgbClr val="4F81BD"/>
          </a:solidFill>
        </a:ln>
        <a:effectLst/>
      </c:spPr>
    </c:plotArea>
    <c:legend>
      <c:legendPos val="b"/>
      <c:legendEntry>
        <c:idx val="0"/>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4F81BD"/>
      </a:solidFill>
      <a:round/>
    </a:ln>
    <a:effectLst/>
  </c:spPr>
  <c:txPr>
    <a:bodyPr/>
    <a:lstStyle/>
    <a:p>
      <a:pPr>
        <a:defRPr lang="zh-CN">
          <a:ln w="12700" cmpd="sng">
            <a:noFill/>
            <a:prstDash val="solid"/>
          </a:ln>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ln w="12700" cmpd="sng">
                  <a:noFill/>
                  <a:prstDash val="solid"/>
                </a:ln>
                <a:solidFill>
                  <a:srgbClr val="595959">
                    <a:lumMod val="65000"/>
                    <a:lumOff val="35000"/>
                  </a:srgbClr>
                </a:solidFill>
                <a:latin typeface="+mn-lt"/>
                <a:ea typeface="+mn-ea"/>
                <a:cs typeface="+mn-cs"/>
              </a:defRPr>
            </a:pPr>
            <a:r>
              <a:rPr sz="900">
                <a:ln w="12700" cmpd="sng">
                  <a:noFill/>
                  <a:prstDash val="solid"/>
                </a:ln>
              </a:rPr>
              <a:t>单位：万元</a:t>
            </a:r>
            <a:endParaRPr sz="900">
              <a:ln w="12700" cmpd="sng">
                <a:noFill/>
                <a:prstDash val="solid"/>
              </a:ln>
            </a:endParaRPr>
          </a:p>
        </c:rich>
      </c:tx>
      <c:layout>
        <c:manualLayout>
          <c:xMode val="edge"/>
          <c:yMode val="edge"/>
          <c:x val="0.784977300866694"/>
          <c:y val="0.00694444444444444"/>
        </c:manualLayout>
      </c:layout>
      <c:overlay val="0"/>
      <c:spPr>
        <a:noFill/>
        <a:ln>
          <a:noFill/>
        </a:ln>
        <a:effectLst/>
      </c:spPr>
    </c:title>
    <c:autoTitleDeleted val="0"/>
    <c:plotArea>
      <c:layout/>
      <c:barChart>
        <c:barDir val="col"/>
        <c:grouping val="stacked"/>
        <c:varyColors val="0"/>
        <c:ser>
          <c:idx val="0"/>
          <c:order val="0"/>
          <c:tx>
            <c:strRef>
              <c:f>[决算公开编制说明相关图标.xlsx]Sheet1!$A$81</c:f>
              <c:strCache>
                <c:ptCount val="1"/>
                <c:pt idx="0">
                  <c:v>一般公共预算财政拨款支出决算</c:v>
                </c:pt>
              </c:strCache>
            </c:strRef>
          </c:tx>
          <c:spPr>
            <a:solidFill>
              <a:srgbClr val="4F81BD"/>
            </a:solidFill>
            <a:ln>
              <a:noFill/>
            </a:ln>
            <a:effectLst/>
          </c:spPr>
          <c:invertIfNegative val="0"/>
          <c:dLbls>
            <c:dLbl>
              <c:idx val="0"/>
              <c:layout>
                <c:manualLayout>
                  <c:x val="0.00716037701029093"/>
                  <c:y val="-0.33636904761904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3544754744129"/>
                  <c:y val="-0.325218253968254"/>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46718943458523"/>
                      <c:h val="0.061342592592592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ln w="12700" cmpd="sng">
                      <a:noFill/>
                      <a:prstDash val="solid"/>
                    </a:ln>
                    <a:solidFill>
                      <a:srgbClr val="404040">
                        <a:lumMod val="75000"/>
                        <a:lumOff val="25000"/>
                      </a:srgbClr>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[决算公开编制说明相关图标.xlsx]Sheet1!$B$79:$B$80</c:f>
              <c:strCache>
                <c:ptCount val="2"/>
                <c:pt idx="0">
                  <c:v>2021年</c:v>
                </c:pt>
                <c:pt idx="1">
                  <c:v>2022年</c:v>
                </c:pt>
              </c:strCache>
            </c:strRef>
          </c:cat>
          <c:val>
            <c:numRef>
              <c:f>[决算公开编制说明相关图标.xlsx]Sheet1!$A$79:$A$80</c:f>
              <c:numCache>
                <c:formatCode>General</c:formatCode>
                <c:ptCount val="2"/>
                <c:pt idx="0">
                  <c:v>1676.86</c:v>
                </c:pt>
                <c:pt idx="1">
                  <c:v>1651.43</c:v>
                </c:pt>
              </c:numCache>
            </c:numRef>
          </c:val>
        </c:ser>
        <c:dLbls>
          <c:showLegendKey val="0"/>
          <c:showVal val="0"/>
          <c:showCatName val="0"/>
          <c:showSerName val="0"/>
          <c:showPercent val="0"/>
          <c:showBubbleSize val="0"/>
        </c:dLbls>
        <c:gapWidth val="150"/>
        <c:overlap val="100"/>
        <c:axId val="63770444"/>
        <c:axId val="614055805"/>
      </c:barChart>
      <c:catAx>
        <c:axId val="6377044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14055805"/>
        <c:crosses val="autoZero"/>
        <c:auto val="1"/>
        <c:lblAlgn val="ctr"/>
        <c:lblOffset val="100"/>
        <c:noMultiLvlLbl val="0"/>
      </c:catAx>
      <c:valAx>
        <c:axId val="614055805"/>
        <c:scaling>
          <c:orientation val="minMax"/>
          <c:min val="500"/>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crossAx val="63770444"/>
        <c:crosses val="autoZero"/>
        <c:crossBetween val="between"/>
      </c:valAx>
      <c:spPr>
        <a:noFill/>
        <a:ln>
          <a:solidFill>
            <a:srgbClr val="4F81BD"/>
          </a:solidFill>
        </a:ln>
        <a:effectLst/>
      </c:spPr>
    </c:plotArea>
    <c:legend>
      <c:legendPos val="b"/>
      <c:legendEntry>
        <c:idx val="0"/>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ln w="12700" cmpd="sng">
                <a:noFill/>
                <a:prstDash val="solid"/>
              </a:ln>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4F81BD"/>
      </a:solidFill>
      <a:round/>
    </a:ln>
    <a:effectLst/>
  </c:spPr>
  <c:txPr>
    <a:bodyPr/>
    <a:lstStyle/>
    <a:p>
      <a:pPr>
        <a:defRPr lang="zh-CN">
          <a:ln w="12700" cmpd="sng">
            <a:noFill/>
            <a:prstDash val="solid"/>
          </a:ln>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[决算公开编制说明相关图标.xlsx]Sheet1!$B$100:$B$108</c:f>
              <c:strCache>
                <c:ptCount val="1"/>
                <c:pt idx="0">
                  <c:v>一般公共服务支出 文化旅游体育与传媒支出 社会保障和就业支出 卫生健康支出 节能环保支出 城乡社区支出 农林水支出 住房保障支出 灾害防治及应急管理支出</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Lbls>
            <c:dLbl>
              <c:idx val="2"/>
              <c:layout>
                <c:manualLayout>
                  <c:x val="0.0245744012119807"/>
                  <c:y val="0.01109222615669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53152121794723"/>
                  <c:y val="0.02290562464055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882171350153604"/>
                  <c:y val="0.0337354484845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952199319778254"/>
                  <c:y val="-0.007165332628644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[决算公开编制说明相关图标.xlsx]Sheet1!$B$100:$B$108</c:f>
              <c:strCache>
                <c:ptCount val="9"/>
                <c:pt idx="0">
                  <c:v>一般公共服务支出</c:v>
                </c:pt>
                <c:pt idx="1">
                  <c:v>文化旅游体育与传媒支出</c:v>
                </c:pt>
                <c:pt idx="2">
                  <c:v>社会保障和就业支出</c:v>
                </c:pt>
                <c:pt idx="3">
                  <c:v>卫生健康支出</c:v>
                </c:pt>
                <c:pt idx="4">
                  <c:v>节能环保支出</c:v>
                </c:pt>
                <c:pt idx="5">
                  <c:v>城乡社区支出</c:v>
                </c:pt>
                <c:pt idx="6">
                  <c:v>农林水支出</c:v>
                </c:pt>
                <c:pt idx="7">
                  <c:v>住房保障支出</c:v>
                </c:pt>
                <c:pt idx="8">
                  <c:v>灾害防治及应急管理支出</c:v>
                </c:pt>
              </c:strCache>
            </c:strRef>
          </c:cat>
          <c:val>
            <c:numRef>
              <c:f>[决算公开编制说明相关图标.xlsx]Sheet1!$D$100:$D$108</c:f>
              <c:numCache>
                <c:formatCode>0.00%</c:formatCode>
                <c:ptCount val="9"/>
                <c:pt idx="0">
                  <c:v>0.329811133381372</c:v>
                </c:pt>
                <c:pt idx="1">
                  <c:v>0.0348243643387852</c:v>
                </c:pt>
                <c:pt idx="2">
                  <c:v>0.141198839793391</c:v>
                </c:pt>
                <c:pt idx="3">
                  <c:v>0.0241245466050635</c:v>
                </c:pt>
                <c:pt idx="4">
                  <c:v>0.133217877839206</c:v>
                </c:pt>
                <c:pt idx="5">
                  <c:v>0.00532871511356824</c:v>
                </c:pt>
                <c:pt idx="6">
                  <c:v>0.29519265121743</c:v>
                </c:pt>
                <c:pt idx="7">
                  <c:v>0.0361807645495116</c:v>
                </c:pt>
                <c:pt idx="8">
                  <c:v>0.000121107161672005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[2019年决算编制说明图表.xlsx]Sheet5!$A$106:$A$108</c:f>
              <c:strCache>
                <c:ptCount val="3"/>
                <c:pt idx="0">
                  <c:v>因公出国（境）费</c:v>
                </c:pt>
                <c:pt idx="1">
                  <c:v>公务用车购置及运行维护费支出</c:v>
                </c:pt>
                <c:pt idx="2">
                  <c:v>公务接待费支出</c:v>
                </c:pt>
              </c:strCache>
            </c:strRef>
          </c:cat>
          <c:val>
            <c:numRef>
              <c:f>[2019年决算编制说明图表.xlsx]Sheet5!$C$106:$C$108</c:f>
              <c:numCache>
                <c:formatCode>0.00%</c:formatCode>
                <c:ptCount val="3"/>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46</Pages>
  <Words>18306</Words>
  <Characters>19362</Characters>
  <Lines>57</Lines>
  <Paragraphs>16</Paragraphs>
  <TotalTime>1</TotalTime>
  <ScaleCrop>false</ScaleCrop>
  <LinksUpToDate>false</LinksUpToDate>
  <CharactersWithSpaces>19546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2022-10-10T13:17:00Z</cp:lastPrinted>
  <dcterms:modified xsi:type="dcterms:W3CDTF">2023-12-21T08:44:27Z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BA4FE63FDAA7448FA24D96FEAF75F2EC</vt:lpwstr>
  </property>
</Properties>
</file>