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96475"/>
      <w:bookmarkStart w:id="2" w:name="_Toc15396597"/>
      <w:bookmarkStart w:id="3" w:name="_Toc15377193"/>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bookmarkEnd w:id="1"/>
    <w:bookmarkEnd w:id="2"/>
    <w:bookmarkEnd w:id="3"/>
    <w:bookmarkEnd w:id="4"/>
    <w:bookmarkEnd w:id="5"/>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s="Times New Roman"/>
          <w:color w:val="000000"/>
          <w:sz w:val="72"/>
          <w:szCs w:val="72"/>
        </w:rPr>
        <w:t>202</w:t>
      </w:r>
      <w:r>
        <w:rPr>
          <w:rFonts w:hint="eastAsia" w:ascii="方正小标宋简体" w:hAnsi="宋体" w:eastAsia="方正小标宋简体" w:cs="Times New Roman"/>
          <w:color w:val="000000"/>
          <w:sz w:val="72"/>
          <w:szCs w:val="72"/>
          <w:lang w:val="en-US" w:eastAsia="zh-CN"/>
        </w:rPr>
        <w:t>2</w:t>
      </w:r>
      <w:r>
        <w:rPr>
          <w:rFonts w:hint="eastAsia" w:ascii="方正小标宋简体" w:hAnsi="宋体" w:eastAsia="方正小标宋简体" w:cs="Times New Roman"/>
          <w:color w:val="000000"/>
          <w:sz w:val="72"/>
          <w:szCs w:val="72"/>
        </w:rPr>
        <w:t>年度</w:t>
      </w:r>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6" w:name="_Toc15396598"/>
      <w:bookmarkStart w:id="7" w:name="_Toc15306268"/>
      <w:bookmarkStart w:id="8" w:name="_Toc15377194"/>
      <w:bookmarkStart w:id="9" w:name="_Toc15378442"/>
      <w:bookmarkStart w:id="10" w:name="_Toc15396476"/>
      <w:bookmarkStart w:id="11" w:name="_Toc15377426"/>
      <w:r>
        <w:rPr>
          <w:rFonts w:hint="eastAsia" w:ascii="方正小标宋简体" w:hAnsi="宋体" w:eastAsia="方正小标宋简体"/>
          <w:color w:val="000000"/>
          <w:spacing w:val="20"/>
          <w:kern w:val="0"/>
          <w:sz w:val="72"/>
          <w:szCs w:val="72"/>
          <w:lang w:val="en-US" w:eastAsia="zh-CN"/>
        </w:rPr>
        <w:t>四川</w:t>
      </w:r>
      <w:r>
        <w:rPr>
          <w:rFonts w:hint="eastAsia" w:ascii="方正小标宋简体" w:hAnsi="宋体" w:eastAsia="方正小标宋简体"/>
          <w:color w:val="000000"/>
          <w:spacing w:val="20"/>
          <w:kern w:val="0"/>
          <w:sz w:val="72"/>
          <w:szCs w:val="72"/>
        </w:rPr>
        <w:t>剑阁经济开发区管理委员会</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val="en-US" w:eastAsia="zh-CN"/>
        </w:rPr>
        <w:t>公开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
      <w:pPr>
        <w:pStyle w:val="13"/>
      </w:pPr>
      <w:bookmarkStart w:id="12" w:name="_Toc15377196"/>
      <w:bookmarkStart w:id="13" w:name="_Toc15396599"/>
      <w:r>
        <w:rPr>
          <w:rFonts w:hint="eastAsia"/>
          <w:lang w:val="en-US" w:eastAsia="zh-CN"/>
        </w:rPr>
        <w:t>公</w:t>
      </w:r>
      <w:r>
        <w:rPr>
          <w:rFonts w:hint="eastAsia"/>
        </w:rPr>
        <w:t>开时间：2023年</w:t>
      </w:r>
      <w:r>
        <w:rPr>
          <w:rFonts w:hint="eastAsia"/>
          <w:lang w:val="en-US" w:eastAsia="zh-CN"/>
        </w:rPr>
        <w:t>10</w:t>
      </w:r>
      <w:r>
        <w:rPr>
          <w:rFonts w:hint="eastAsia"/>
        </w:rPr>
        <w:t>月</w:t>
      </w:r>
      <w:r>
        <w:rPr>
          <w:rFonts w:hint="eastAsia"/>
          <w:lang w:val="en-US" w:eastAsia="zh-CN"/>
        </w:rPr>
        <w:t>16</w:t>
      </w:r>
      <w:r>
        <w:rPr>
          <w:rFonts w:hint="eastAsia"/>
        </w:rPr>
        <w:t>日</w:t>
      </w:r>
    </w:p>
    <w:sdt>
      <w:sdtPr>
        <w:rPr>
          <w:rFonts w:ascii="宋体" w:hAnsi="宋体" w:eastAsia="宋体" w:cs="Times New Roman"/>
          <w:kern w:val="2"/>
          <w:sz w:val="21"/>
          <w:szCs w:val="24"/>
          <w:lang w:val="en-US" w:eastAsia="zh-CN" w:bidi="ar-SA"/>
        </w:rPr>
        <w:id w:val="147459230"/>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40"/>
            <w:tabs>
              <w:tab w:val="right" w:leader="dot" w:pos="8306"/>
            </w:tabs>
            <w:rPr>
              <w:b/>
            </w:rPr>
          </w:pPr>
          <w:r>
            <w:fldChar w:fldCharType="begin"/>
          </w:r>
          <w:r>
            <w:instrText xml:space="preserve">TOC \o "1-2" \h \u </w:instrText>
          </w:r>
          <w:r>
            <w:fldChar w:fldCharType="separate"/>
          </w:r>
        </w:p>
        <w:p>
          <w:pPr>
            <w:pStyle w:val="40"/>
            <w:tabs>
              <w:tab w:val="right" w:leader="dot" w:pos="8306"/>
            </w:tabs>
            <w:rPr>
              <w:b/>
            </w:rPr>
          </w:pPr>
          <w:r>
            <w:rPr>
              <w:b/>
            </w:rPr>
            <w:fldChar w:fldCharType="begin"/>
          </w:r>
          <w:r>
            <w:rPr>
              <w:b/>
            </w:rPr>
            <w:instrText xml:space="preserve"> HYPERLINK \l _Toc27665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部门概况</w:t>
          </w:r>
          <w:r>
            <w:rPr>
              <w:b/>
            </w:rPr>
            <w:tab/>
          </w:r>
          <w:r>
            <w:rPr>
              <w:b/>
            </w:rPr>
            <w:fldChar w:fldCharType="begin"/>
          </w:r>
          <w:r>
            <w:rPr>
              <w:b/>
            </w:rPr>
            <w:instrText xml:space="preserve"> PAGEREF _Toc27665 \h </w:instrText>
          </w:r>
          <w:r>
            <w:rPr>
              <w:b/>
            </w:rPr>
            <w:fldChar w:fldCharType="separate"/>
          </w:r>
          <w:r>
            <w:rPr>
              <w:b/>
            </w:rPr>
            <w:t>3</w:t>
          </w:r>
          <w:r>
            <w:rPr>
              <w:b/>
            </w:rPr>
            <w:fldChar w:fldCharType="end"/>
          </w:r>
          <w:r>
            <w:rPr>
              <w:b/>
            </w:rPr>
            <w:fldChar w:fldCharType="end"/>
          </w:r>
        </w:p>
        <w:p>
          <w:pPr>
            <w:pStyle w:val="41"/>
            <w:tabs>
              <w:tab w:val="right" w:leader="dot" w:pos="8306"/>
            </w:tabs>
          </w:pPr>
          <w:r>
            <w:fldChar w:fldCharType="begin"/>
          </w:r>
          <w:r>
            <w:instrText xml:space="preserve"> HYPERLINK \l _Toc28452 </w:instrText>
          </w:r>
          <w:r>
            <w:fldChar w:fldCharType="separate"/>
          </w:r>
          <w:r>
            <w:rPr>
              <w:rFonts w:hint="eastAsia" w:ascii="黑体" w:hAnsi="黑体" w:eastAsia="黑体"/>
            </w:rPr>
            <w:t>一、 部门职责</w:t>
          </w:r>
          <w:r>
            <w:rPr>
              <w:rFonts w:hint="eastAsia" w:ascii="黑体" w:hAnsi="黑体" w:eastAsia="黑体"/>
              <w:lang w:val="en-US" w:eastAsia="zh-CN"/>
            </w:rPr>
            <w:t>及重点工作</w:t>
          </w:r>
          <w:r>
            <w:tab/>
          </w:r>
          <w:r>
            <w:rPr>
              <w:rFonts w:hint="eastAsia"/>
              <w:lang w:val="en-US" w:eastAsia="zh-CN"/>
            </w:rPr>
            <w:t>3</w:t>
          </w:r>
          <w:r>
            <w:fldChar w:fldCharType="end"/>
          </w:r>
        </w:p>
        <w:p>
          <w:pPr>
            <w:pStyle w:val="41"/>
            <w:tabs>
              <w:tab w:val="right" w:leader="dot" w:pos="8306"/>
            </w:tabs>
          </w:pPr>
          <w:r>
            <w:fldChar w:fldCharType="begin"/>
          </w:r>
          <w:r>
            <w:instrText xml:space="preserve"> HYPERLINK \l _Toc31586 </w:instrText>
          </w:r>
          <w:r>
            <w:fldChar w:fldCharType="separate"/>
          </w:r>
          <w:r>
            <w:rPr>
              <w:rFonts w:hint="eastAsia" w:ascii="黑体" w:hAnsi="黑体" w:eastAsia="黑体"/>
              <w:bCs w:val="0"/>
            </w:rPr>
            <w:t xml:space="preserve">二、 </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_Toc31586 \h </w:instrText>
          </w:r>
          <w:r>
            <w:fldChar w:fldCharType="separate"/>
          </w:r>
          <w:r>
            <w:t>5</w:t>
          </w:r>
          <w:r>
            <w:fldChar w:fldCharType="end"/>
          </w:r>
          <w:r>
            <w:fldChar w:fldCharType="end"/>
          </w:r>
        </w:p>
        <w:p>
          <w:pPr>
            <w:pStyle w:val="40"/>
            <w:tabs>
              <w:tab w:val="right" w:leader="dot" w:pos="8306"/>
            </w:tabs>
            <w:rPr>
              <w:b/>
            </w:rPr>
          </w:pPr>
          <w:r>
            <w:rPr>
              <w:b/>
            </w:rPr>
            <w:fldChar w:fldCharType="begin"/>
          </w:r>
          <w:r>
            <w:rPr>
              <w:b/>
            </w:rPr>
            <w:instrText xml:space="preserve"> HYPERLINK \l _Toc19571 </w:instrText>
          </w:r>
          <w:r>
            <w:rPr>
              <w:b/>
            </w:rPr>
            <w:fldChar w:fldCharType="separate"/>
          </w:r>
          <w:r>
            <w:rPr>
              <w:rFonts w:hint="eastAsia" w:ascii="黑体" w:hAnsi="黑体" w:eastAsia="黑体"/>
              <w:b/>
            </w:rPr>
            <w:t>第二部分 2022年度</w:t>
          </w:r>
          <w:r>
            <w:rPr>
              <w:rFonts w:hint="eastAsia" w:ascii="黑体" w:hAnsi="黑体" w:eastAsia="黑体"/>
              <w:b/>
              <w:bCs/>
            </w:rPr>
            <w:t>部门决算情况说明</w:t>
          </w:r>
          <w:r>
            <w:rPr>
              <w:b/>
            </w:rPr>
            <w:tab/>
          </w:r>
          <w:r>
            <w:rPr>
              <w:b/>
            </w:rPr>
            <w:fldChar w:fldCharType="begin"/>
          </w:r>
          <w:r>
            <w:rPr>
              <w:b/>
            </w:rPr>
            <w:instrText xml:space="preserve"> PAGEREF _Toc19571 \h </w:instrText>
          </w:r>
          <w:r>
            <w:rPr>
              <w:b/>
            </w:rPr>
            <w:fldChar w:fldCharType="separate"/>
          </w:r>
          <w:r>
            <w:rPr>
              <w:b/>
            </w:rPr>
            <w:t>6</w:t>
          </w:r>
          <w:r>
            <w:rPr>
              <w:b/>
            </w:rPr>
            <w:fldChar w:fldCharType="end"/>
          </w:r>
          <w:r>
            <w:rPr>
              <w:b/>
            </w:rPr>
            <w:fldChar w:fldCharType="end"/>
          </w:r>
        </w:p>
        <w:p>
          <w:pPr>
            <w:pStyle w:val="41"/>
            <w:tabs>
              <w:tab w:val="right" w:leader="dot" w:pos="8306"/>
            </w:tabs>
          </w:pPr>
          <w:r>
            <w:fldChar w:fldCharType="begin"/>
          </w:r>
          <w:r>
            <w:instrText xml:space="preserve"> HYPERLINK \l _Toc14583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_Toc14583 \h </w:instrText>
          </w:r>
          <w:r>
            <w:fldChar w:fldCharType="separate"/>
          </w:r>
          <w:r>
            <w:t>6</w:t>
          </w:r>
          <w:r>
            <w:fldChar w:fldCharType="end"/>
          </w:r>
          <w:r>
            <w:fldChar w:fldCharType="end"/>
          </w:r>
        </w:p>
        <w:p>
          <w:pPr>
            <w:pStyle w:val="41"/>
            <w:tabs>
              <w:tab w:val="right" w:leader="dot" w:pos="8306"/>
            </w:tabs>
          </w:pPr>
          <w:r>
            <w:fldChar w:fldCharType="begin"/>
          </w:r>
          <w:r>
            <w:instrText xml:space="preserve"> HYPERLINK \l _Toc4661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_Toc4661 \h </w:instrText>
          </w:r>
          <w:r>
            <w:fldChar w:fldCharType="separate"/>
          </w:r>
          <w:r>
            <w:t>6</w:t>
          </w:r>
          <w:r>
            <w:fldChar w:fldCharType="end"/>
          </w:r>
          <w:r>
            <w:fldChar w:fldCharType="end"/>
          </w:r>
        </w:p>
        <w:p>
          <w:pPr>
            <w:pStyle w:val="41"/>
            <w:tabs>
              <w:tab w:val="right" w:leader="dot" w:pos="8306"/>
            </w:tabs>
          </w:pPr>
          <w:r>
            <w:fldChar w:fldCharType="begin"/>
          </w:r>
          <w:r>
            <w:instrText xml:space="preserve"> HYPERLINK \l _Toc11328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_Toc11328 \h </w:instrText>
          </w:r>
          <w:r>
            <w:fldChar w:fldCharType="separate"/>
          </w:r>
          <w:r>
            <w:t>7</w:t>
          </w:r>
          <w:r>
            <w:fldChar w:fldCharType="end"/>
          </w:r>
          <w:r>
            <w:fldChar w:fldCharType="end"/>
          </w:r>
        </w:p>
        <w:p>
          <w:pPr>
            <w:pStyle w:val="41"/>
            <w:tabs>
              <w:tab w:val="right" w:leader="dot" w:pos="8306"/>
            </w:tabs>
          </w:pPr>
          <w:r>
            <w:fldChar w:fldCharType="begin"/>
          </w:r>
          <w:r>
            <w:instrText xml:space="preserve"> HYPERLINK \l _Toc23358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_Toc23358 \h </w:instrText>
          </w:r>
          <w:r>
            <w:fldChar w:fldCharType="separate"/>
          </w:r>
          <w:r>
            <w:t>8</w:t>
          </w:r>
          <w:r>
            <w:fldChar w:fldCharType="end"/>
          </w:r>
          <w:r>
            <w:fldChar w:fldCharType="end"/>
          </w:r>
        </w:p>
        <w:p>
          <w:pPr>
            <w:pStyle w:val="41"/>
            <w:tabs>
              <w:tab w:val="right" w:leader="dot" w:pos="8306"/>
            </w:tabs>
          </w:pPr>
          <w:r>
            <w:fldChar w:fldCharType="begin"/>
          </w:r>
          <w:r>
            <w:instrText xml:space="preserve"> HYPERLINK \l _Toc4729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_Toc4729 \h </w:instrText>
          </w:r>
          <w:r>
            <w:fldChar w:fldCharType="separate"/>
          </w:r>
          <w:r>
            <w:t>8</w:t>
          </w:r>
          <w:r>
            <w:fldChar w:fldCharType="end"/>
          </w:r>
          <w:r>
            <w:fldChar w:fldCharType="end"/>
          </w:r>
        </w:p>
        <w:p>
          <w:pPr>
            <w:pStyle w:val="41"/>
            <w:tabs>
              <w:tab w:val="right" w:leader="dot" w:pos="8306"/>
            </w:tabs>
          </w:pPr>
          <w:r>
            <w:fldChar w:fldCharType="begin"/>
          </w:r>
          <w:r>
            <w:instrText xml:space="preserve"> HYPERLINK \l _Toc17119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_Toc17119 \h </w:instrText>
          </w:r>
          <w:r>
            <w:fldChar w:fldCharType="separate"/>
          </w:r>
          <w:r>
            <w:t>12</w:t>
          </w:r>
          <w:r>
            <w:fldChar w:fldCharType="end"/>
          </w:r>
          <w:r>
            <w:fldChar w:fldCharType="end"/>
          </w:r>
        </w:p>
        <w:p>
          <w:pPr>
            <w:pStyle w:val="41"/>
            <w:tabs>
              <w:tab w:val="right" w:leader="dot" w:pos="8306"/>
            </w:tabs>
            <w:rPr>
              <w:rFonts w:hint="eastAsia" w:eastAsia="宋体"/>
              <w:lang w:val="en-US" w:eastAsia="zh-CN"/>
            </w:rPr>
          </w:pPr>
          <w:r>
            <w:fldChar w:fldCharType="begin"/>
          </w:r>
          <w:r>
            <w:instrText xml:space="preserve"> HYPERLINK \l _Toc9826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rPr>
              <w:rFonts w:hint="eastAsia"/>
              <w:lang w:val="en-US" w:eastAsia="zh-CN"/>
            </w:rPr>
            <w:t>1</w:t>
          </w:r>
          <w:r>
            <w:fldChar w:fldCharType="end"/>
          </w:r>
          <w:r>
            <w:rPr>
              <w:rFonts w:hint="eastAsia"/>
              <w:lang w:val="en-US" w:eastAsia="zh-CN"/>
            </w:rPr>
            <w:t>2</w:t>
          </w:r>
        </w:p>
        <w:p>
          <w:pPr>
            <w:pStyle w:val="41"/>
            <w:tabs>
              <w:tab w:val="right" w:leader="dot" w:pos="8306"/>
            </w:tabs>
          </w:pPr>
          <w:r>
            <w:fldChar w:fldCharType="begin"/>
          </w:r>
          <w:r>
            <w:instrText xml:space="preserve"> HYPERLINK \l _Toc19466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_Toc19466 \h </w:instrText>
          </w:r>
          <w:r>
            <w:fldChar w:fldCharType="separate"/>
          </w:r>
          <w:r>
            <w:t>1</w:t>
          </w:r>
          <w:r>
            <w:rPr>
              <w:rFonts w:hint="eastAsia"/>
              <w:lang w:val="en-US" w:eastAsia="zh-CN"/>
            </w:rPr>
            <w:t>3</w:t>
          </w:r>
          <w:r>
            <w:fldChar w:fldCharType="end"/>
          </w:r>
          <w:r>
            <w:fldChar w:fldCharType="end"/>
          </w:r>
        </w:p>
        <w:p>
          <w:pPr>
            <w:pStyle w:val="41"/>
            <w:tabs>
              <w:tab w:val="right" w:leader="dot" w:pos="8306"/>
            </w:tabs>
          </w:pPr>
          <w:r>
            <w:fldChar w:fldCharType="begin"/>
          </w:r>
          <w:r>
            <w:instrText xml:space="preserve"> HYPERLINK \l _Toc8236 </w:instrText>
          </w:r>
          <w:r>
            <w:fldChar w:fldCharType="separate"/>
          </w:r>
          <w:r>
            <w:rPr>
              <w:rFonts w:hint="eastAsia" w:ascii="黑体" w:hAnsi="黑体" w:eastAsia="黑体"/>
            </w:rPr>
            <w:t>九、 国有资本经营预算支出决算情况说明</w:t>
          </w:r>
          <w:r>
            <w:tab/>
          </w:r>
          <w:r>
            <w:fldChar w:fldCharType="begin"/>
          </w:r>
          <w:r>
            <w:instrText xml:space="preserve"> PAGEREF _Toc8236 \h </w:instrText>
          </w:r>
          <w:r>
            <w:fldChar w:fldCharType="separate"/>
          </w:r>
          <w:r>
            <w:t>1</w:t>
          </w:r>
          <w:r>
            <w:rPr>
              <w:rFonts w:hint="eastAsia"/>
              <w:lang w:val="en-US" w:eastAsia="zh-CN"/>
            </w:rPr>
            <w:t>4</w:t>
          </w:r>
          <w:r>
            <w:fldChar w:fldCharType="end"/>
          </w:r>
          <w:r>
            <w:fldChar w:fldCharType="end"/>
          </w:r>
        </w:p>
        <w:p>
          <w:pPr>
            <w:pStyle w:val="41"/>
            <w:tabs>
              <w:tab w:val="right" w:leader="dot" w:pos="8306"/>
            </w:tabs>
          </w:pPr>
          <w:r>
            <w:fldChar w:fldCharType="begin"/>
          </w:r>
          <w:r>
            <w:instrText xml:space="preserve"> HYPERLINK \l _Toc29540 </w:instrText>
          </w:r>
          <w:r>
            <w:fldChar w:fldCharType="separate"/>
          </w:r>
          <w:r>
            <w:rPr>
              <w:rFonts w:hint="eastAsia" w:ascii="黑体" w:hAnsi="黑体" w:eastAsia="黑体"/>
            </w:rPr>
            <w:t>十、 其他重要事项的情况说明</w:t>
          </w:r>
          <w:r>
            <w:tab/>
          </w:r>
          <w:r>
            <w:fldChar w:fldCharType="begin"/>
          </w:r>
          <w:r>
            <w:instrText xml:space="preserve"> PAGEREF _Toc29540 \h </w:instrText>
          </w:r>
          <w:r>
            <w:fldChar w:fldCharType="separate"/>
          </w:r>
          <w:r>
            <w:t>1</w:t>
          </w:r>
          <w:r>
            <w:rPr>
              <w:rFonts w:hint="eastAsia"/>
              <w:lang w:val="en-US" w:eastAsia="zh-CN"/>
            </w:rPr>
            <w:t>4</w:t>
          </w:r>
          <w:r>
            <w:fldChar w:fldCharType="end"/>
          </w:r>
          <w:r>
            <w:fldChar w:fldCharType="end"/>
          </w:r>
        </w:p>
        <w:p>
          <w:pPr>
            <w:pStyle w:val="40"/>
            <w:tabs>
              <w:tab w:val="right" w:leader="dot" w:pos="8306"/>
            </w:tabs>
            <w:rPr>
              <w:b/>
            </w:rPr>
          </w:pPr>
          <w:r>
            <w:rPr>
              <w:b/>
            </w:rPr>
            <w:fldChar w:fldCharType="begin"/>
          </w:r>
          <w:r>
            <w:rPr>
              <w:b/>
            </w:rPr>
            <w:instrText xml:space="preserve"> HYPERLINK \l _Toc28175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_Toc28175 \h </w:instrText>
          </w:r>
          <w:r>
            <w:rPr>
              <w:b/>
            </w:rPr>
            <w:fldChar w:fldCharType="separate"/>
          </w:r>
          <w:r>
            <w:rPr>
              <w:b/>
            </w:rPr>
            <w:t>17</w:t>
          </w:r>
          <w:r>
            <w:rPr>
              <w:b/>
            </w:rPr>
            <w:fldChar w:fldCharType="end"/>
          </w:r>
          <w:r>
            <w:rPr>
              <w:b/>
            </w:rPr>
            <w:fldChar w:fldCharType="end"/>
          </w:r>
        </w:p>
        <w:p>
          <w:pPr>
            <w:pStyle w:val="40"/>
            <w:tabs>
              <w:tab w:val="right" w:leader="dot" w:pos="8306"/>
            </w:tabs>
            <w:rPr>
              <w:rFonts w:hint="default" w:eastAsia="宋体"/>
              <w:b/>
              <w:lang w:val="en-US" w:eastAsia="zh-CN"/>
            </w:rPr>
          </w:pPr>
          <w:r>
            <w:rPr>
              <w:rFonts w:hint="eastAsia"/>
              <w:b/>
              <w:lang w:val="en-US" w:eastAsia="zh-CN"/>
            </w:rPr>
            <w:t>第四部分 附件</w:t>
          </w:r>
          <w:r>
            <w:rPr>
              <w:b/>
            </w:rPr>
            <w:tab/>
          </w:r>
          <w:r>
            <w:rPr>
              <w:rFonts w:hint="eastAsia"/>
              <w:b/>
              <w:lang w:val="en-US" w:eastAsia="zh-CN"/>
            </w:rPr>
            <w:t>20</w:t>
          </w:r>
        </w:p>
        <w:p>
          <w:pPr>
            <w:pStyle w:val="40"/>
            <w:tabs>
              <w:tab w:val="right" w:leader="dot" w:pos="8306"/>
            </w:tabs>
            <w:rPr>
              <w:b/>
            </w:rPr>
          </w:pPr>
          <w:r>
            <w:rPr>
              <w:b/>
            </w:rPr>
            <w:fldChar w:fldCharType="begin"/>
          </w:r>
          <w:r>
            <w:rPr>
              <w:b/>
            </w:rPr>
            <w:instrText xml:space="preserve"> HYPERLINK \l _Toc18680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_Toc18680 \h </w:instrText>
          </w:r>
          <w:r>
            <w:rPr>
              <w:b/>
            </w:rPr>
            <w:fldChar w:fldCharType="separate"/>
          </w:r>
          <w:r>
            <w:rPr>
              <w:b/>
            </w:rPr>
            <w:t>4</w:t>
          </w:r>
          <w:r>
            <w:rPr>
              <w:rFonts w:hint="eastAsia"/>
              <w:b/>
              <w:lang w:val="en-US" w:eastAsia="zh-CN"/>
            </w:rPr>
            <w:t>1</w:t>
          </w:r>
          <w:r>
            <w:rPr>
              <w:b/>
            </w:rPr>
            <w:fldChar w:fldCharType="end"/>
          </w:r>
          <w:r>
            <w:rPr>
              <w:b/>
            </w:rPr>
            <w:fldChar w:fldCharType="end"/>
          </w:r>
        </w:p>
        <w:p>
          <w:pPr>
            <w:pStyle w:val="41"/>
            <w:tabs>
              <w:tab w:val="right" w:leader="dot" w:pos="8306"/>
            </w:tabs>
          </w:pPr>
          <w:r>
            <w:fldChar w:fldCharType="begin"/>
          </w:r>
          <w:r>
            <w:instrText xml:space="preserve"> HYPERLINK \l _Toc13804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_Toc13804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_Toc18766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_Toc18766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_Toc28828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_Toc28828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_Toc17858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_Toc17858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_Toc22223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_Toc22223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_Toc23838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_Toc23838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_Toc7422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_Toc7422 \h </w:instrText>
          </w:r>
          <w:r>
            <w:fldChar w:fldCharType="separate"/>
          </w:r>
          <w:r>
            <w:t>4</w:t>
          </w:r>
          <w:r>
            <w:rPr>
              <w:rFonts w:hint="eastAsia"/>
              <w:lang w:val="en-US" w:eastAsia="zh-CN"/>
            </w:rPr>
            <w:t>1</w:t>
          </w:r>
          <w:r>
            <w:fldChar w:fldCharType="end"/>
          </w:r>
          <w:r>
            <w:fldChar w:fldCharType="end"/>
          </w:r>
        </w:p>
        <w:p>
          <w:pPr>
            <w:pStyle w:val="41"/>
            <w:tabs>
              <w:tab w:val="right" w:leader="dot" w:pos="8306"/>
            </w:tabs>
            <w:rPr>
              <w:rFonts w:hint="eastAsia" w:eastAsia="宋体"/>
              <w:lang w:val="en-US" w:eastAsia="zh-CN"/>
            </w:rPr>
          </w:pPr>
          <w:r>
            <w:fldChar w:fldCharType="begin"/>
          </w:r>
          <w:r>
            <w:instrText xml:space="preserve"> HYPERLINK \l _Toc10084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_Toc10084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_Toc8911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_Toc8911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_Toc13994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_Toc13994 \h </w:instrText>
          </w:r>
          <w:r>
            <w:fldChar w:fldCharType="separate"/>
          </w:r>
          <w:r>
            <w:t>4</w:t>
          </w:r>
          <w:r>
            <w:rPr>
              <w:rFonts w:hint="eastAsia"/>
              <w:lang w:val="en-US" w:eastAsia="zh-CN"/>
            </w:rPr>
            <w:t>1</w:t>
          </w:r>
          <w:r>
            <w:fldChar w:fldCharType="end"/>
          </w:r>
          <w:r>
            <w:fldChar w:fldCharType="end"/>
          </w:r>
        </w:p>
        <w:p>
          <w:pPr>
            <w:pStyle w:val="41"/>
            <w:tabs>
              <w:tab w:val="right" w:leader="dot" w:pos="8306"/>
            </w:tabs>
            <w:rPr>
              <w:rFonts w:hint="eastAsia" w:eastAsia="宋体"/>
              <w:lang w:val="en-US" w:eastAsia="zh-CN"/>
            </w:rPr>
          </w:pPr>
          <w:r>
            <w:fldChar w:fldCharType="begin"/>
          </w:r>
          <w:r>
            <w:instrText xml:space="preserve"> HYPERLINK \l _Toc9979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_Toc9979 \h </w:instrText>
          </w:r>
          <w:r>
            <w:fldChar w:fldCharType="separate"/>
          </w:r>
          <w:r>
            <w:t>4</w:t>
          </w:r>
          <w:r>
            <w:rPr>
              <w:rFonts w:hint="eastAsia"/>
              <w:lang w:val="en-US" w:eastAsia="zh-CN"/>
            </w:rPr>
            <w:t>1</w:t>
          </w:r>
          <w:r>
            <w:fldChar w:fldCharType="end"/>
          </w:r>
          <w:r>
            <w:fldChar w:fldCharType="end"/>
          </w:r>
        </w:p>
        <w:p>
          <w:pPr>
            <w:pStyle w:val="41"/>
            <w:tabs>
              <w:tab w:val="right" w:leader="dot" w:pos="8306"/>
            </w:tabs>
          </w:pPr>
          <w:r>
            <w:fldChar w:fldCharType="begin"/>
          </w:r>
          <w:r>
            <w:instrText xml:space="preserve"> HYPERLINK \l _Toc22478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_Toc22478 \h </w:instrText>
          </w:r>
          <w:r>
            <w:fldChar w:fldCharType="separate"/>
          </w:r>
          <w:r>
            <w:t>4</w:t>
          </w:r>
          <w:r>
            <w:rPr>
              <w:rFonts w:hint="eastAsia"/>
              <w:lang w:val="en-US" w:eastAsia="zh-CN"/>
            </w:rPr>
            <w:t>1</w:t>
          </w:r>
          <w:r>
            <w:fldChar w:fldCharType="end"/>
          </w:r>
          <w:r>
            <w:fldChar w:fldCharType="end"/>
          </w:r>
        </w:p>
        <w:p>
          <w:pPr>
            <w:pStyle w:val="41"/>
            <w:tabs>
              <w:tab w:val="right" w:leader="dot" w:pos="8306"/>
            </w:tabs>
            <w:rPr>
              <w:rFonts w:hint="eastAsia" w:eastAsia="宋体"/>
              <w:lang w:val="en-US" w:eastAsia="zh-CN"/>
            </w:rPr>
          </w:pPr>
          <w:r>
            <w:fldChar w:fldCharType="begin"/>
          </w:r>
          <w:r>
            <w:instrText xml:space="preserve"> HYPERLINK \l _Toc28588 </w:instrText>
          </w:r>
          <w:r>
            <w:fldChar w:fldCharType="separate"/>
          </w:r>
          <w:r>
            <w:rPr>
              <w:rFonts w:hint="eastAsia" w:ascii="仿宋" w:hAnsi="仿宋" w:eastAsia="仿宋"/>
              <w:bCs w:val="0"/>
            </w:rPr>
            <w:t>十三、财政拨款“三公”经费支出决算表</w:t>
          </w:r>
          <w:r>
            <w:tab/>
          </w:r>
          <w:r>
            <w:fldChar w:fldCharType="begin"/>
          </w:r>
          <w:r>
            <w:instrText xml:space="preserve"> PAGEREF _Toc28588 \h </w:instrText>
          </w:r>
          <w:r>
            <w:fldChar w:fldCharType="separate"/>
          </w:r>
          <w:r>
            <w:t>4</w:t>
          </w:r>
          <w:r>
            <w:rPr>
              <w:rFonts w:hint="eastAsia"/>
              <w:lang w:val="en-US" w:eastAsia="zh-CN"/>
            </w:rPr>
            <w:t>1</w:t>
          </w:r>
          <w:r>
            <w:fldChar w:fldCharType="end"/>
          </w:r>
          <w:r>
            <w:fldChar w:fldCharType="end"/>
          </w:r>
        </w:p>
        <w:p>
          <w:pPr>
            <w:pStyle w:val="3"/>
            <w:jc w:val="center"/>
            <w:rPr>
              <w:rFonts w:ascii="宋体" w:hAnsi="宋体" w:eastAsia="宋体" w:cs="Times New Roman"/>
              <w:b/>
              <w:kern w:val="2"/>
              <w:sz w:val="21"/>
              <w:szCs w:val="24"/>
              <w:lang w:val="en-US" w:eastAsia="zh-CN" w:bidi="ar-SA"/>
            </w:rPr>
          </w:pPr>
          <w:r>
            <w:rPr>
              <w:b/>
            </w:rPr>
            <w:fldChar w:fldCharType="end"/>
          </w:r>
        </w:p>
      </w:sdtContent>
    </w:sdt>
    <w:p>
      <w:pPr>
        <w:pStyle w:val="3"/>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Fonts w:hint="eastAsia" w:ascii="黑体" w:hAnsi="黑体" w:eastAsia="黑体"/>
          <w:b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rPr>
        <w:t>部门职责</w:t>
      </w:r>
    </w:p>
    <w:p>
      <w:pPr>
        <w:pStyle w:val="6"/>
        <w:adjustRightInd w:val="0"/>
        <w:snapToGrid w:val="0"/>
        <w:spacing w:before="93" w:line="600" w:lineRule="exact"/>
        <w:ind w:firstLine="675" w:firstLineChars="210"/>
        <w:outlineLvl w:val="2"/>
        <w:rPr>
          <w:rFonts w:hint="eastAsia" w:ascii="楷体" w:hAnsi="楷体" w:eastAsia="楷体" w:cs="楷体"/>
          <w:b/>
          <w:bCs w:val="0"/>
          <w:color w:val="000000"/>
          <w:sz w:val="32"/>
          <w:szCs w:val="32"/>
        </w:rPr>
      </w:pPr>
      <w:bookmarkStart w:id="16" w:name="_Toc15378445"/>
      <w:bookmarkStart w:id="17" w:name="_Toc15377198"/>
      <w:r>
        <w:rPr>
          <w:rFonts w:hint="eastAsia" w:ascii="楷体" w:hAnsi="楷体" w:eastAsia="楷体" w:cs="楷体"/>
          <w:b/>
          <w:bCs w:val="0"/>
          <w:color w:val="000000"/>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四川剑阁经济开发区管理委员会（简称剑阁经开区管委会）是根据四川省人民政府《关于设立四川剑阁经济开发区的批复》（川府函〔2013〕322号）、中共广元市委机构编制委员会《关于设立四川剑阁经济开发区管理委员会的批复》（广编发〔2015〕36号）为剑阁县人民政府的派出机构，正科级；中共四川剑阁经济开发区工作委员会（简称经开区党工委）与其合署办公。</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
          <w:bCs w:val="0"/>
          <w:kern w:val="0"/>
          <w:sz w:val="32"/>
          <w:szCs w:val="32"/>
          <w:lang w:val="en-US" w:eastAsia="zh-CN" w:bidi="ar-SA"/>
        </w:rPr>
        <w:t>1.党工委职责：</w:t>
      </w:r>
      <w:r>
        <w:rPr>
          <w:rFonts w:hint="eastAsia" w:ascii="仿宋" w:hAnsi="仿宋" w:eastAsia="仿宋" w:cs="Times New Roman"/>
          <w:bCs/>
          <w:kern w:val="0"/>
          <w:sz w:val="32"/>
          <w:szCs w:val="32"/>
          <w:lang w:val="en-US" w:eastAsia="zh-CN" w:bidi="ar-SA"/>
        </w:rPr>
        <w:t>贯彻党的路线、方针、政策和上级党委的决议、决定；研究辖区内重大经济社会发展问题；受县委委托负责辖区机构编制和干部管理；负责辖区党的基层组织建设、思想政治建设、党风廉政建设和党的统一战线工作；负责辖区宣传和精神文明建设工作；组织协调辖区政法、社会管理综合治理工作；负责辖区工会、共青团、妇联等群团工作；负责县委交办的其他事项。</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
          <w:bCs w:val="0"/>
          <w:kern w:val="0"/>
          <w:sz w:val="32"/>
          <w:szCs w:val="32"/>
          <w:lang w:val="en-US" w:eastAsia="zh-CN" w:bidi="ar-SA"/>
        </w:rPr>
        <w:t>2.管委会职责：</w:t>
      </w:r>
      <w:r>
        <w:rPr>
          <w:rFonts w:hint="eastAsia" w:ascii="仿宋" w:hAnsi="仿宋" w:eastAsia="仿宋" w:cs="Times New Roman"/>
          <w:bCs/>
          <w:kern w:val="0"/>
          <w:sz w:val="32"/>
          <w:szCs w:val="32"/>
          <w:lang w:val="en-US" w:eastAsia="zh-CN" w:bidi="ar-SA"/>
        </w:rPr>
        <w:t>负责辖区内经济社会发展规划和区域性城市发展规划的编制，经县政府批准后组织实施；对固定资产投资项目进行审核报批；负责辖区内基础设施、公共设施的建设、维护与管理；负责辖区内财务管理，组织实施辖区内财政预算、决算执行和国有资产管理工作；负责辖区内招商引资、进出口贸易和国内经济技术合作工作；负责园区内企业的环境保护，安全生产，应急管理，疫情防控等工作；负责辖区内人力资源社会保障管理工作；负责县人民政府交办的其他事项。</w:t>
      </w:r>
    </w:p>
    <w:p>
      <w:pPr>
        <w:pStyle w:val="6"/>
        <w:adjustRightInd w:val="0"/>
        <w:snapToGrid w:val="0"/>
        <w:spacing w:before="93" w:line="600" w:lineRule="exact"/>
        <w:ind w:firstLine="675" w:firstLineChars="210"/>
        <w:outlineLvl w:val="2"/>
        <w:rPr>
          <w:rFonts w:hint="eastAsia" w:ascii="楷体" w:hAnsi="楷体" w:eastAsia="楷体" w:cs="楷体"/>
          <w:b/>
          <w:bCs w:val="0"/>
          <w:color w:val="000000"/>
          <w:sz w:val="32"/>
          <w:szCs w:val="32"/>
        </w:rPr>
      </w:pPr>
      <w:bookmarkStart w:id="18" w:name="_Toc15378446"/>
      <w:bookmarkStart w:id="19" w:name="_Toc15377199"/>
      <w:r>
        <w:rPr>
          <w:rFonts w:hint="eastAsia" w:ascii="楷体" w:hAnsi="楷体" w:eastAsia="楷体" w:cs="楷体"/>
          <w:b/>
          <w:bCs w:val="0"/>
          <w:color w:val="000000"/>
          <w:sz w:val="32"/>
          <w:szCs w:val="32"/>
        </w:rPr>
        <w:t>（二）202</w:t>
      </w:r>
      <w:r>
        <w:rPr>
          <w:rFonts w:hint="eastAsia" w:ascii="楷体" w:hAnsi="楷体" w:eastAsia="楷体" w:cs="楷体"/>
          <w:b/>
          <w:bCs w:val="0"/>
          <w:color w:val="000000"/>
          <w:sz w:val="32"/>
          <w:szCs w:val="32"/>
          <w:lang w:val="en-US" w:eastAsia="zh-CN"/>
        </w:rPr>
        <w:t>2</w:t>
      </w:r>
      <w:r>
        <w:rPr>
          <w:rFonts w:hint="eastAsia" w:ascii="楷体" w:hAnsi="楷体" w:eastAsia="楷体" w:cs="楷体"/>
          <w:b/>
          <w:bCs w:val="0"/>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2022年，经开区抓实抓细各项工作有序推进。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谋划、推动招商项目10余个，签约资金57.1亿元，到位资金2.8亿元。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全年</w:t>
      </w:r>
      <w:r>
        <w:rPr>
          <w:rFonts w:hint="eastAsia" w:ascii="仿宋_GB2312" w:hAnsi="仿宋_GB2312" w:eastAsia="仿宋_GB2312" w:cs="仿宋_GB2312"/>
          <w:sz w:val="32"/>
          <w:szCs w:val="32"/>
          <w:lang w:val="en-US" w:eastAsia="zh-CN"/>
        </w:rPr>
        <w:t>预计实现工业总产值35.7亿元，其中规上工业总产值33.5亿元。预计实现规上工业增加值8.71亿元。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新增四川金驰资源再生科技有限公司、广元永唯鞋业有限公司、剑阁县巨星农牧有限公司、四川盖瑞新材料科技有限公司等4家企业培育进规，园区现有企业59家，其中规上企业36家，高新技术企业10家。</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抓好“园保贷”试点项目运行，为驰恒挂车、德润通等4家企业推荐“园保贷”融资，通过省工创公司评审，申报融资额4350万元，目前银行实际放贷3350万元。</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1-11月完成项目固定投资4.27亿元，占目标任务的19.4%。预计12月完成投资0.5亿元，1-12月完成投资4.77亿元，占目标任务22亿元的21.6%。</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实施省市县重点项目7个。其中省重点项目1个，市重点项目2个，县重点项目4个。正牧兽药、双鱼001-X6等2个项目建成投产，金剑工业园区项目一期、剑门工业园区基础设施项目、剑阁县普安乡村振兴食品加工产业园等项目加快建设。</w:t>
      </w:r>
    </w:p>
    <w:p/>
    <w:p>
      <w:pPr>
        <w:pStyle w:val="4"/>
        <w:rPr>
          <w:rStyle w:val="31"/>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20"/>
      <w:bookmarkEnd w:id="21"/>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剑阁经开区属于一级预算单位，下属二级单位0个。</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30"/>
          <w:rFonts w:ascii="黑体" w:hAnsi="黑体" w:eastAsia="黑体"/>
          <w:b w:val="0"/>
          <w:bCs/>
        </w:rPr>
      </w:pPr>
      <w:bookmarkStart w:id="22" w:name="_Toc15396602"/>
      <w:bookmarkStart w:id="23" w:name="_Toc15377204"/>
      <w:r>
        <w:rPr>
          <w:rFonts w:hint="eastAsia" w:ascii="黑体" w:hAnsi="黑体" w:eastAsia="黑体"/>
          <w:b w:val="0"/>
        </w:rPr>
        <w:t>第二部分 2022年度</w:t>
      </w:r>
      <w:r>
        <w:rPr>
          <w:rStyle w:val="30"/>
          <w:rFonts w:hint="eastAsia" w:ascii="黑体" w:hAnsi="黑体" w:eastAsia="黑体"/>
          <w:b w:val="0"/>
          <w:bCs/>
        </w:rPr>
        <w:t>部门决算情况说明</w:t>
      </w:r>
      <w:bookmarkEnd w:id="22"/>
      <w:bookmarkEnd w:id="23"/>
    </w:p>
    <w:p/>
    <w:p>
      <w:pPr>
        <w:pStyle w:val="29"/>
        <w:numPr>
          <w:ilvl w:val="0"/>
          <w:numId w:val="1"/>
        </w:numPr>
        <w:spacing w:line="600" w:lineRule="exact"/>
        <w:ind w:firstLineChars="0"/>
        <w:outlineLvl w:val="1"/>
        <w:rPr>
          <w:rStyle w:val="31"/>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val="en-US" w:eastAsia="zh-CN"/>
        </w:rPr>
        <w:t>入</w:t>
      </w:r>
      <w:r>
        <w:rPr>
          <w:rFonts w:hint="eastAsia" w:ascii="仿宋" w:hAnsi="仿宋" w:eastAsia="仿宋"/>
          <w:sz w:val="32"/>
          <w:szCs w:val="32"/>
        </w:rPr>
        <w:t>总计20,649.58万元</w:t>
      </w:r>
      <w:r>
        <w:rPr>
          <w:rFonts w:hint="eastAsia" w:ascii="仿宋" w:hAnsi="仿宋" w:eastAsia="仿宋"/>
          <w:sz w:val="32"/>
          <w:szCs w:val="32"/>
          <w:lang w:eastAsia="zh-CN"/>
        </w:rPr>
        <w:t>，</w:t>
      </w:r>
      <w:r>
        <w:rPr>
          <w:rFonts w:hint="eastAsia" w:ascii="仿宋" w:hAnsi="仿宋" w:eastAsia="仿宋"/>
          <w:sz w:val="32"/>
          <w:szCs w:val="32"/>
          <w:lang w:val="en-US" w:eastAsia="zh-CN"/>
        </w:rPr>
        <w:t>上年结转225.35万元，合计20874.93万元；</w:t>
      </w:r>
      <w:r>
        <w:rPr>
          <w:rFonts w:hint="eastAsia" w:ascii="仿宋" w:hAnsi="仿宋" w:eastAsia="仿宋" w:cs="Times New Roman"/>
          <w:bCs/>
          <w:kern w:val="0"/>
          <w:sz w:val="32"/>
          <w:szCs w:val="32"/>
          <w:lang w:val="en-US" w:eastAsia="zh-CN" w:bidi="ar-SA"/>
        </w:rPr>
        <w:t>本年支出总计20874.93万元</w:t>
      </w:r>
      <w:r>
        <w:rPr>
          <w:rFonts w:hint="eastAsia" w:ascii="仿宋" w:hAnsi="仿宋" w:eastAsia="仿宋"/>
          <w:sz w:val="32"/>
          <w:szCs w:val="32"/>
        </w:rPr>
        <w:t>。与2021年相比</w:t>
      </w:r>
      <w:r>
        <w:rPr>
          <w:rFonts w:hint="eastAsia" w:ascii="仿宋" w:hAnsi="仿宋" w:eastAsia="仿宋"/>
          <w:sz w:val="32"/>
          <w:szCs w:val="32"/>
          <w:lang w:eastAsia="zh-CN"/>
        </w:rPr>
        <w:t>，</w:t>
      </w:r>
      <w:r>
        <w:rPr>
          <w:rFonts w:hint="eastAsia" w:ascii="仿宋" w:hAnsi="仿宋" w:eastAsia="仿宋" w:cs="Times New Roman"/>
          <w:bCs/>
          <w:kern w:val="0"/>
          <w:sz w:val="32"/>
          <w:szCs w:val="32"/>
          <w:lang w:val="en-US" w:eastAsia="zh-CN" w:bidi="ar-SA"/>
        </w:rPr>
        <w:t>收入增加14894.38万元，增加了249.05%，支出比去年增加了15371.38万元，比去年增加了279.29%。主要变动原因是项目经费增加</w:t>
      </w:r>
      <w:r>
        <w:rPr>
          <w:rFonts w:hint="eastAsia" w:ascii="仿宋" w:hAnsi="仿宋" w:eastAsia="仿宋"/>
          <w:sz w:val="32"/>
          <w:szCs w:val="32"/>
        </w:rPr>
        <w:t>收</w:t>
      </w:r>
      <w:r>
        <w:rPr>
          <w:rFonts w:hint="eastAsia" w:ascii="仿宋" w:hAnsi="仿宋" w:eastAsia="仿宋"/>
          <w:sz w:val="32"/>
          <w:szCs w:val="32"/>
          <w:lang w:val="en-US" w:eastAsia="zh-CN"/>
        </w:rPr>
        <w:t>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6"/>
        <w:rPr>
          <w:rFonts w:hint="eastAsia" w:ascii="仿宋" w:hAnsi="仿宋" w:eastAsia="仿宋"/>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6"/>
        <w:rPr>
          <w:rFonts w:hint="eastAsia" w:ascii="仿宋" w:hAnsi="仿宋" w:eastAsia="仿宋"/>
          <w:sz w:val="32"/>
          <w:szCs w:val="32"/>
        </w:rPr>
      </w:pPr>
    </w:p>
    <w:p>
      <w:pPr>
        <w:spacing w:line="600" w:lineRule="exact"/>
        <w:ind w:firstLine="640" w:firstLineChars="200"/>
        <w:jc w:val="left"/>
        <w:rPr>
          <w:rFonts w:ascii="仿宋_GB2312" w:eastAsia="仿宋_GB2312"/>
          <w:sz w:val="32"/>
          <w:szCs w:val="32"/>
        </w:rPr>
      </w:pPr>
    </w:p>
    <w:p>
      <w:pPr>
        <w:pStyle w:val="29"/>
        <w:numPr>
          <w:ilvl w:val="0"/>
          <w:numId w:val="1"/>
        </w:numPr>
        <w:spacing w:line="600" w:lineRule="exact"/>
        <w:ind w:firstLineChars="0"/>
        <w:outlineLvl w:val="1"/>
        <w:rPr>
          <w:rStyle w:val="31"/>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31"/>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20649.58</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1198.77</w:t>
      </w:r>
      <w:r>
        <w:rPr>
          <w:rFonts w:hint="eastAsia" w:ascii="仿宋" w:hAnsi="仿宋" w:eastAsia="仿宋"/>
          <w:sz w:val="32"/>
          <w:szCs w:val="32"/>
        </w:rPr>
        <w:t>万元，占</w:t>
      </w:r>
      <w:r>
        <w:rPr>
          <w:rFonts w:hint="eastAsia" w:ascii="仿宋" w:hAnsi="仿宋" w:eastAsia="仿宋"/>
          <w:sz w:val="32"/>
          <w:szCs w:val="32"/>
          <w:lang w:val="en-US" w:eastAsia="zh-CN"/>
        </w:rPr>
        <w:t>5.81</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19450.81</w:t>
      </w:r>
      <w:r>
        <w:rPr>
          <w:rFonts w:hint="eastAsia" w:ascii="仿宋" w:hAnsi="仿宋" w:eastAsia="仿宋"/>
          <w:sz w:val="32"/>
          <w:szCs w:val="32"/>
        </w:rPr>
        <w:t>万元，占</w:t>
      </w:r>
      <w:r>
        <w:rPr>
          <w:rFonts w:hint="eastAsia" w:ascii="仿宋" w:hAnsi="仿宋" w:eastAsia="仿宋"/>
          <w:sz w:val="32"/>
          <w:szCs w:val="32"/>
          <w:lang w:val="en-US" w:eastAsia="zh-CN"/>
        </w:rPr>
        <w:t>94.19</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（图2：收入决算结构图）</w:t>
      </w:r>
    </w:p>
    <w:p>
      <w:pPr>
        <w:pStyle w:val="6"/>
        <w:rPr>
          <w:rFonts w:ascii="仿宋_GB2312" w:eastAsia="仿宋_GB2312"/>
          <w:sz w:val="32"/>
          <w:szCs w:val="32"/>
        </w:rPr>
      </w:pPr>
      <w:r>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6"/>
        <w:rPr>
          <w:rFonts w:ascii="仿宋_GB2312" w:eastAsia="仿宋_GB2312"/>
          <w:sz w:val="32"/>
          <w:szCs w:val="32"/>
        </w:rPr>
      </w:pPr>
    </w:p>
    <w:p>
      <w:pPr>
        <w:pStyle w:val="29"/>
        <w:numPr>
          <w:ilvl w:val="0"/>
          <w:numId w:val="1"/>
        </w:numPr>
        <w:spacing w:line="600" w:lineRule="exact"/>
        <w:ind w:firstLineChars="0"/>
        <w:outlineLvl w:val="1"/>
        <w:rPr>
          <w:rStyle w:val="31"/>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31"/>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20874.93</w:t>
      </w:r>
      <w:r>
        <w:rPr>
          <w:rFonts w:hint="eastAsia" w:ascii="仿宋" w:hAnsi="仿宋" w:eastAsia="仿宋"/>
          <w:sz w:val="32"/>
          <w:szCs w:val="32"/>
        </w:rPr>
        <w:t>万元，其中：基本支出</w:t>
      </w:r>
      <w:r>
        <w:rPr>
          <w:rFonts w:hint="eastAsia" w:ascii="仿宋" w:hAnsi="仿宋" w:eastAsia="仿宋"/>
          <w:sz w:val="32"/>
          <w:szCs w:val="32"/>
          <w:lang w:val="en-US" w:eastAsia="zh-CN"/>
        </w:rPr>
        <w:t>456.11</w:t>
      </w:r>
      <w:r>
        <w:rPr>
          <w:rFonts w:hint="eastAsia" w:ascii="仿宋" w:hAnsi="仿宋" w:eastAsia="仿宋"/>
          <w:sz w:val="32"/>
          <w:szCs w:val="32"/>
        </w:rPr>
        <w:t>万元，占</w:t>
      </w:r>
      <w:r>
        <w:rPr>
          <w:rFonts w:hint="eastAsia" w:ascii="仿宋" w:hAnsi="仿宋" w:eastAsia="仿宋"/>
          <w:sz w:val="32"/>
          <w:szCs w:val="32"/>
          <w:lang w:val="en-US" w:eastAsia="zh-CN"/>
        </w:rPr>
        <w:t>2.18</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20418.82</w:t>
      </w:r>
      <w:r>
        <w:rPr>
          <w:rFonts w:hint="eastAsia" w:ascii="仿宋" w:hAnsi="仿宋" w:eastAsia="仿宋"/>
          <w:sz w:val="32"/>
          <w:szCs w:val="32"/>
        </w:rPr>
        <w:t>万元，占</w:t>
      </w:r>
      <w:r>
        <w:rPr>
          <w:rFonts w:hint="eastAsia" w:ascii="仿宋" w:hAnsi="仿宋" w:eastAsia="仿宋"/>
          <w:sz w:val="32"/>
          <w:szCs w:val="32"/>
          <w:lang w:val="en-US" w:eastAsia="zh-CN"/>
        </w:rPr>
        <w:t>97.82</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1920" w:firstLineChars="6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rPr>
          <w:rFonts w:ascii="仿宋" w:hAnsi="仿宋" w:eastAsia="仿宋"/>
          <w:sz w:val="32"/>
          <w:szCs w:val="32"/>
          <w:shd w:val="pct10" w:color="auto" w:fill="FFFFFF"/>
        </w:rPr>
      </w:pPr>
    </w:p>
    <w:p>
      <w:pPr>
        <w:pStyle w:val="6"/>
        <w:jc w:val="center"/>
        <w:rPr>
          <w:rFonts w:ascii="仿宋" w:hAnsi="仿宋" w:eastAsia="仿宋"/>
          <w:sz w:val="32"/>
          <w:szCs w:val="32"/>
          <w:shd w:val="pct10" w:color="auto" w:fill="FFFFFF"/>
        </w:rPr>
      </w:pPr>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_GB2312" w:eastAsia="仿宋_GB2312"/>
          <w:sz w:val="32"/>
          <w:szCs w:val="32"/>
        </w:rPr>
      </w:pPr>
    </w:p>
    <w:p>
      <w:pPr>
        <w:spacing w:line="600" w:lineRule="exact"/>
        <w:ind w:firstLine="640" w:firstLineChars="200"/>
        <w:outlineLvl w:val="1"/>
        <w:rPr>
          <w:rStyle w:val="31"/>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val="en-US" w:eastAsia="zh-CN"/>
        </w:rPr>
        <w:t>入</w:t>
      </w:r>
      <w:r>
        <w:rPr>
          <w:rFonts w:hint="eastAsia" w:ascii="仿宋" w:hAnsi="仿宋" w:eastAsia="仿宋"/>
          <w:sz w:val="32"/>
          <w:szCs w:val="32"/>
        </w:rPr>
        <w:t>总计20,649.58万元</w:t>
      </w:r>
      <w:r>
        <w:rPr>
          <w:rFonts w:hint="eastAsia" w:ascii="仿宋" w:hAnsi="仿宋" w:eastAsia="仿宋"/>
          <w:sz w:val="32"/>
          <w:szCs w:val="32"/>
          <w:lang w:eastAsia="zh-CN"/>
        </w:rPr>
        <w:t>，</w:t>
      </w:r>
      <w:r>
        <w:rPr>
          <w:rFonts w:hint="eastAsia" w:ascii="仿宋" w:hAnsi="仿宋" w:eastAsia="仿宋"/>
          <w:sz w:val="32"/>
          <w:szCs w:val="32"/>
          <w:lang w:val="en-US" w:eastAsia="zh-CN"/>
        </w:rPr>
        <w:t>上年结转225.35万元，合计20874.93万元；</w:t>
      </w:r>
      <w:r>
        <w:rPr>
          <w:rFonts w:hint="eastAsia" w:ascii="仿宋" w:hAnsi="仿宋" w:eastAsia="仿宋" w:cs="Times New Roman"/>
          <w:bCs/>
          <w:kern w:val="0"/>
          <w:sz w:val="32"/>
          <w:szCs w:val="32"/>
          <w:lang w:val="en-US" w:eastAsia="zh-CN" w:bidi="ar-SA"/>
        </w:rPr>
        <w:t>本年支出总计20874.93万元</w:t>
      </w:r>
      <w:r>
        <w:rPr>
          <w:rFonts w:hint="eastAsia" w:ascii="仿宋" w:hAnsi="仿宋" w:eastAsia="仿宋"/>
          <w:sz w:val="32"/>
          <w:szCs w:val="32"/>
        </w:rPr>
        <w:t>。与2021年相比</w:t>
      </w:r>
      <w:r>
        <w:rPr>
          <w:rFonts w:hint="eastAsia" w:ascii="仿宋" w:hAnsi="仿宋" w:eastAsia="仿宋"/>
          <w:sz w:val="32"/>
          <w:szCs w:val="32"/>
          <w:lang w:eastAsia="zh-CN"/>
        </w:rPr>
        <w:t>，</w:t>
      </w:r>
      <w:r>
        <w:rPr>
          <w:rFonts w:hint="eastAsia" w:ascii="仿宋" w:hAnsi="仿宋" w:eastAsia="仿宋" w:cs="Times New Roman"/>
          <w:bCs/>
          <w:kern w:val="0"/>
          <w:sz w:val="32"/>
          <w:szCs w:val="32"/>
          <w:lang w:val="en-US" w:eastAsia="zh-CN" w:bidi="ar-SA"/>
        </w:rPr>
        <w:t>收入增加14894.38万元，增加了249.05%，支出比去年增加了15371.38万元，比去年增加了279.29%。主要变动原因是项目经费增加</w:t>
      </w:r>
      <w:r>
        <w:rPr>
          <w:rFonts w:hint="eastAsia" w:ascii="仿宋" w:hAnsi="仿宋" w:eastAsia="仿宋"/>
          <w:sz w:val="32"/>
          <w:szCs w:val="32"/>
        </w:rPr>
        <w:t>收</w:t>
      </w:r>
      <w:r>
        <w:rPr>
          <w:rFonts w:hint="eastAsia" w:ascii="仿宋" w:hAnsi="仿宋" w:eastAsia="仿宋"/>
          <w:sz w:val="32"/>
          <w:szCs w:val="32"/>
          <w:lang w:val="en-US" w:eastAsia="zh-CN"/>
        </w:rPr>
        <w:t>入。</w:t>
      </w:r>
    </w:p>
    <w:p>
      <w:pPr>
        <w:spacing w:line="600" w:lineRule="exact"/>
        <w:rPr>
          <w:rFonts w:ascii="仿宋" w:hAnsi="仿宋" w:eastAsia="仿宋"/>
          <w:sz w:val="32"/>
          <w:szCs w:val="32"/>
        </w:rPr>
      </w:pPr>
    </w:p>
    <w:p>
      <w:pPr>
        <w:pStyle w:val="6"/>
        <w:jc w:val="center"/>
        <w:rPr>
          <w:rFonts w:ascii="仿宋" w:hAnsi="仿宋" w:eastAsia="仿宋"/>
          <w:sz w:val="32"/>
          <w:szCs w:val="32"/>
        </w:rPr>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31"/>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1424.12</w:t>
      </w:r>
      <w:r>
        <w:rPr>
          <w:rFonts w:hint="eastAsia" w:ascii="仿宋" w:hAnsi="仿宋" w:eastAsia="仿宋"/>
          <w:sz w:val="32"/>
          <w:szCs w:val="32"/>
        </w:rPr>
        <w:t>万元，占本年支出合计的</w:t>
      </w:r>
      <w:r>
        <w:rPr>
          <w:rFonts w:hint="eastAsia" w:ascii="仿宋" w:hAnsi="仿宋" w:eastAsia="仿宋"/>
          <w:sz w:val="32"/>
          <w:szCs w:val="32"/>
          <w:lang w:val="en-US" w:eastAsia="zh-CN"/>
        </w:rPr>
        <w:t>6.82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 xml:space="preserve"> 502.93 </w:t>
      </w:r>
      <w:r>
        <w:rPr>
          <w:rFonts w:hint="eastAsia" w:ascii="仿宋" w:hAnsi="仿宋" w:eastAsia="仿宋"/>
          <w:sz w:val="32"/>
          <w:szCs w:val="32"/>
        </w:rPr>
        <w:t>万元，增长</w:t>
      </w:r>
      <w:r>
        <w:rPr>
          <w:rFonts w:hint="eastAsia" w:ascii="仿宋" w:hAnsi="仿宋" w:eastAsia="仿宋"/>
          <w:sz w:val="32"/>
          <w:szCs w:val="32"/>
          <w:lang w:val="en-US" w:eastAsia="zh-CN"/>
        </w:rPr>
        <w:t>54.59</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人员经费及项目经费的增加。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w:t>
      </w:r>
    </w:p>
    <w:p>
      <w:pPr>
        <w:pStyle w:val="6"/>
      </w:pPr>
    </w:p>
    <w:p>
      <w:pPr>
        <w:pStyle w:val="6"/>
        <w:jc w:val="center"/>
        <w:rPr>
          <w:rFonts w:ascii="仿宋" w:hAnsi="仿宋" w:eastAsia="仿宋"/>
          <w:sz w:val="32"/>
          <w:szCs w:val="32"/>
        </w:rPr>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outlineLvl w:val="2"/>
        <w:rPr>
          <w:rFonts w:hint="eastAsia" w:ascii="仿宋" w:hAnsi="仿宋" w:eastAsia="仿宋"/>
          <w:b/>
          <w:sz w:val="32"/>
          <w:szCs w:val="32"/>
        </w:rPr>
      </w:pPr>
      <w:bookmarkStart w:id="35" w:name="_Toc15377211"/>
    </w:p>
    <w:p>
      <w:pPr>
        <w:spacing w:line="600" w:lineRule="exact"/>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1424.12</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609.58</w:t>
      </w:r>
      <w:r>
        <w:rPr>
          <w:rFonts w:hint="eastAsia" w:ascii="仿宋" w:hAnsi="仿宋" w:eastAsia="仿宋"/>
          <w:sz w:val="32"/>
          <w:szCs w:val="32"/>
        </w:rPr>
        <w:t>万元，占</w:t>
      </w:r>
      <w:r>
        <w:rPr>
          <w:rFonts w:hint="eastAsia" w:ascii="仿宋" w:hAnsi="仿宋" w:eastAsia="仿宋"/>
          <w:sz w:val="32"/>
          <w:szCs w:val="32"/>
          <w:lang w:val="en-US" w:eastAsia="zh-CN"/>
        </w:rPr>
        <w:t>42.8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40.6</w:t>
      </w:r>
      <w:r>
        <w:rPr>
          <w:rFonts w:hint="eastAsia" w:ascii="仿宋" w:hAnsi="仿宋" w:eastAsia="仿宋"/>
          <w:sz w:val="32"/>
          <w:szCs w:val="32"/>
        </w:rPr>
        <w:t>万元，占</w:t>
      </w:r>
      <w:r>
        <w:rPr>
          <w:rFonts w:hint="eastAsia" w:ascii="仿宋" w:hAnsi="仿宋" w:eastAsia="仿宋"/>
          <w:sz w:val="32"/>
          <w:szCs w:val="32"/>
          <w:lang w:val="en-US" w:eastAsia="zh-CN"/>
        </w:rPr>
        <w:t>2.85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23.96</w:t>
      </w:r>
      <w:r>
        <w:rPr>
          <w:rFonts w:hint="eastAsia" w:ascii="仿宋" w:hAnsi="仿宋" w:eastAsia="仿宋"/>
          <w:sz w:val="32"/>
          <w:szCs w:val="32"/>
        </w:rPr>
        <w:t>万元，占</w:t>
      </w:r>
      <w:r>
        <w:rPr>
          <w:rFonts w:hint="eastAsia" w:ascii="仿宋" w:hAnsi="仿宋" w:eastAsia="仿宋"/>
          <w:sz w:val="32"/>
          <w:szCs w:val="32"/>
          <w:lang w:val="en-US" w:eastAsia="zh-CN"/>
        </w:rPr>
        <w:t>1.68</w:t>
      </w:r>
      <w:r>
        <w:rPr>
          <w:rFonts w:ascii="仿宋" w:hAnsi="仿宋" w:eastAsia="仿宋"/>
          <w:sz w:val="32"/>
          <w:szCs w:val="32"/>
        </w:rPr>
        <w:t>%</w:t>
      </w:r>
      <w:r>
        <w:rPr>
          <w:rFonts w:hint="eastAsia" w:ascii="仿宋" w:hAnsi="仿宋" w:eastAsia="仿宋"/>
          <w:sz w:val="32"/>
          <w:szCs w:val="32"/>
        </w:rPr>
        <w:t>；九、卫生健康支出</w:t>
      </w:r>
      <w:r>
        <w:rPr>
          <w:rFonts w:hint="eastAsia" w:ascii="仿宋" w:hAnsi="仿宋" w:eastAsia="仿宋"/>
          <w:sz w:val="32"/>
          <w:szCs w:val="32"/>
          <w:lang w:val="en-US" w:eastAsia="zh-CN"/>
        </w:rPr>
        <w:t>7.32万元，占0.51%；</w:t>
      </w:r>
      <w:r>
        <w:rPr>
          <w:rFonts w:hint="eastAsia" w:ascii="仿宋" w:hAnsi="仿宋" w:eastAsia="仿宋"/>
          <w:sz w:val="32"/>
          <w:szCs w:val="32"/>
        </w:rPr>
        <w:t>资源勘探工业信息等支出</w:t>
      </w:r>
      <w:r>
        <w:rPr>
          <w:rFonts w:hint="eastAsia" w:ascii="仿宋" w:hAnsi="仿宋" w:eastAsia="仿宋"/>
          <w:sz w:val="32"/>
          <w:szCs w:val="32"/>
          <w:lang w:val="en-US" w:eastAsia="zh-CN"/>
        </w:rPr>
        <w:t>471.06万元，</w:t>
      </w:r>
      <w:r>
        <w:rPr>
          <w:rFonts w:hint="eastAsia" w:ascii="仿宋" w:hAnsi="仿宋" w:eastAsia="仿宋"/>
          <w:sz w:val="32"/>
          <w:szCs w:val="32"/>
        </w:rPr>
        <w:t>占</w:t>
      </w:r>
      <w:r>
        <w:rPr>
          <w:rFonts w:hint="eastAsia" w:ascii="仿宋" w:hAnsi="仿宋" w:eastAsia="仿宋"/>
          <w:sz w:val="32"/>
          <w:szCs w:val="32"/>
          <w:lang w:val="en-US" w:eastAsia="zh-CN"/>
        </w:rPr>
        <w:t>33.08</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商业服务业等支出35万元，</w:t>
      </w:r>
      <w:r>
        <w:rPr>
          <w:rFonts w:hint="eastAsia" w:ascii="仿宋" w:hAnsi="仿宋" w:eastAsia="仿宋"/>
          <w:sz w:val="32"/>
          <w:szCs w:val="32"/>
        </w:rPr>
        <w:t>占</w:t>
      </w:r>
      <w:r>
        <w:rPr>
          <w:rFonts w:hint="eastAsia" w:ascii="仿宋" w:hAnsi="仿宋" w:eastAsia="仿宋"/>
          <w:sz w:val="32"/>
          <w:szCs w:val="32"/>
          <w:lang w:val="en-US" w:eastAsia="zh-CN"/>
        </w:rPr>
        <w:t>2.46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粮油物资储备支出56.14万元，</w:t>
      </w:r>
      <w:r>
        <w:rPr>
          <w:rFonts w:hint="eastAsia" w:ascii="仿宋" w:hAnsi="仿宋" w:eastAsia="仿宋"/>
          <w:sz w:val="32"/>
          <w:szCs w:val="32"/>
        </w:rPr>
        <w:t>占</w:t>
      </w:r>
      <w:r>
        <w:rPr>
          <w:rFonts w:hint="eastAsia" w:ascii="仿宋" w:hAnsi="仿宋" w:eastAsia="仿宋"/>
          <w:sz w:val="32"/>
          <w:szCs w:val="32"/>
          <w:lang w:val="en-US" w:eastAsia="zh-CN"/>
        </w:rPr>
        <w:t>3.94</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其他支出180.46万元</w:t>
      </w:r>
      <w:r>
        <w:rPr>
          <w:rFonts w:hint="eastAsia" w:ascii="仿宋" w:hAnsi="仿宋" w:eastAsia="仿宋"/>
          <w:sz w:val="32"/>
          <w:szCs w:val="32"/>
        </w:rPr>
        <w:t>占</w:t>
      </w:r>
      <w:r>
        <w:rPr>
          <w:rFonts w:hint="eastAsia" w:ascii="仿宋" w:hAnsi="仿宋" w:eastAsia="仿宋"/>
          <w:sz w:val="32"/>
          <w:szCs w:val="32"/>
          <w:lang w:val="en-US" w:eastAsia="zh-CN"/>
        </w:rPr>
        <w:t>12.68</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pStyle w:val="6"/>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（图6：一般公共预算财政拨款支出决算结构）</w:t>
      </w:r>
      <w:r>
        <w:drawing>
          <wp:inline distT="0" distB="0" distL="114300" distR="114300">
            <wp:extent cx="5267325" cy="2881630"/>
            <wp:effectExtent l="4445" t="4445" r="5080" b="952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6"/>
        <w:rPr>
          <w:rFonts w:ascii="仿宋" w:hAnsi="仿宋" w:eastAsia="仿宋"/>
          <w:sz w:val="32"/>
          <w:szCs w:val="32"/>
        </w:rPr>
      </w:pPr>
    </w:p>
    <w:p>
      <w:pPr>
        <w:spacing w:line="600" w:lineRule="exact"/>
        <w:ind w:firstLine="321" w:firstLineChars="1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7213"/>
      <w:bookmarkStart w:id="38" w:name="_Toc15377444"/>
      <w:bookmarkStart w:id="39"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1424.12万元</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7"/>
      <w:bookmarkEnd w:id="38"/>
      <w:bookmarkEnd w:id="39"/>
    </w:p>
    <w:p>
      <w:pPr>
        <w:spacing w:line="600" w:lineRule="exact"/>
        <w:ind w:firstLine="640" w:firstLineChars="200"/>
        <w:rPr>
          <w:rFonts w:ascii="仿宋" w:hAnsi="仿宋" w:eastAsia="仿宋"/>
          <w:b w:val="0"/>
          <w:bCs w:val="0"/>
          <w:sz w:val="32"/>
          <w:szCs w:val="32"/>
        </w:rPr>
      </w:pPr>
      <w:r>
        <w:rPr>
          <w:rStyle w:val="19"/>
          <w:rFonts w:ascii="仿宋" w:hAnsi="仿宋" w:eastAsia="仿宋"/>
          <w:b w:val="0"/>
          <w:bCs w:val="0"/>
          <w:sz w:val="32"/>
          <w:szCs w:val="32"/>
        </w:rPr>
        <w:t>1.</w:t>
      </w:r>
      <w:r>
        <w:rPr>
          <w:rFonts w:hint="eastAsia" w:ascii="仿宋" w:hAnsi="仿宋" w:eastAsia="仿宋" w:cs="Times New Roman"/>
          <w:b w:val="0"/>
          <w:bCs w:val="0"/>
          <w:kern w:val="0"/>
          <w:sz w:val="32"/>
          <w:szCs w:val="32"/>
          <w:lang w:val="en-US" w:eastAsia="zh-CN" w:bidi="ar-SA"/>
        </w:rPr>
        <w:t>一般公共服务（类）政府办公厅（室）及相关机构事务（款）行政运行（项）：</w:t>
      </w:r>
      <w:r>
        <w:rPr>
          <w:rStyle w:val="19"/>
          <w:rFonts w:ascii="仿宋" w:hAnsi="仿宋" w:eastAsia="仿宋"/>
          <w:b w:val="0"/>
          <w:bCs w:val="0"/>
          <w:sz w:val="32"/>
          <w:szCs w:val="32"/>
        </w:rPr>
        <w:t xml:space="preserve"> </w:t>
      </w:r>
      <w:r>
        <w:rPr>
          <w:rStyle w:val="19"/>
          <w:rFonts w:hint="eastAsia" w:ascii="仿宋" w:hAnsi="仿宋" w:eastAsia="仿宋"/>
          <w:b w:val="0"/>
          <w:bCs w:val="0"/>
          <w:sz w:val="32"/>
          <w:szCs w:val="32"/>
        </w:rPr>
        <w:t>支出决算为</w:t>
      </w:r>
      <w:r>
        <w:rPr>
          <w:rStyle w:val="19"/>
          <w:rFonts w:hint="eastAsia" w:ascii="仿宋" w:hAnsi="仿宋" w:eastAsia="仿宋"/>
          <w:b w:val="0"/>
          <w:bCs w:val="0"/>
          <w:sz w:val="32"/>
          <w:szCs w:val="32"/>
          <w:lang w:val="en-US" w:eastAsia="zh-CN"/>
        </w:rPr>
        <w:t>345.11</w:t>
      </w:r>
      <w:r>
        <w:rPr>
          <w:rStyle w:val="19"/>
          <w:rFonts w:hint="eastAsia" w:ascii="仿宋" w:hAnsi="仿宋" w:eastAsia="仿宋"/>
          <w:b w:val="0"/>
          <w:bCs w:val="0"/>
          <w:sz w:val="32"/>
          <w:szCs w:val="32"/>
        </w:rPr>
        <w:t>万元，完成预算</w:t>
      </w:r>
      <w:r>
        <w:rPr>
          <w:rStyle w:val="19"/>
          <w:rFonts w:hint="eastAsia" w:ascii="仿宋" w:hAnsi="仿宋" w:eastAsia="仿宋"/>
          <w:b w:val="0"/>
          <w:bCs w:val="0"/>
          <w:sz w:val="32"/>
          <w:szCs w:val="32"/>
          <w:lang w:val="en-US" w:eastAsia="zh-CN"/>
        </w:rPr>
        <w:t>100</w:t>
      </w:r>
      <w:r>
        <w:rPr>
          <w:rStyle w:val="19"/>
          <w:rFonts w:ascii="仿宋" w:hAnsi="仿宋" w:eastAsia="仿宋"/>
          <w:b w:val="0"/>
          <w:bCs w:val="0"/>
          <w:sz w:val="32"/>
          <w:szCs w:val="32"/>
        </w:rPr>
        <w:t>%</w:t>
      </w:r>
      <w:r>
        <w:rPr>
          <w:rStyle w:val="19"/>
          <w:rFonts w:hint="eastAsia" w:ascii="仿宋" w:hAnsi="仿宋" w:eastAsia="仿宋"/>
          <w:b w:val="0"/>
          <w:bCs w:val="0"/>
          <w:sz w:val="32"/>
          <w:szCs w:val="32"/>
        </w:rPr>
        <w:t>，</w:t>
      </w:r>
      <w:r>
        <w:rPr>
          <w:rFonts w:hint="eastAsia" w:ascii="仿宋" w:hAnsi="仿宋" w:eastAsia="仿宋" w:cs="Times New Roman"/>
          <w:b w:val="0"/>
          <w:bCs w:val="0"/>
          <w:kern w:val="0"/>
          <w:sz w:val="32"/>
          <w:szCs w:val="32"/>
          <w:lang w:val="en-US" w:eastAsia="zh-CN" w:bidi="ar-SA"/>
        </w:rPr>
        <w:t>决算数和预算数持平</w:t>
      </w:r>
      <w:r>
        <w:rPr>
          <w:rStyle w:val="19"/>
          <w:rFonts w:hint="eastAsia" w:ascii="仿宋" w:hAnsi="仿宋" w:eastAsia="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Style w:val="19"/>
          <w:rFonts w:ascii="仿宋" w:hAnsi="仿宋" w:eastAsia="仿宋"/>
          <w:b w:val="0"/>
          <w:bCs w:val="0"/>
          <w:sz w:val="32"/>
          <w:szCs w:val="32"/>
        </w:rPr>
        <w:t>2.</w:t>
      </w:r>
      <w:r>
        <w:rPr>
          <w:rFonts w:hint="eastAsia" w:ascii="仿宋" w:hAnsi="仿宋" w:eastAsia="仿宋" w:cs="Times New Roman"/>
          <w:b w:val="0"/>
          <w:bCs w:val="0"/>
          <w:kern w:val="0"/>
          <w:sz w:val="32"/>
          <w:szCs w:val="32"/>
          <w:lang w:val="en-US" w:eastAsia="zh-CN" w:bidi="ar-SA"/>
        </w:rPr>
        <w:t>一般公共服务（类）政府办公厅（室）及相关机构事务（款）事业</w:t>
      </w:r>
      <w:r>
        <w:rPr>
          <w:rFonts w:hint="eastAsia" w:ascii="仿宋" w:hAnsi="仿宋" w:eastAsia="仿宋" w:cs="Times New Roman"/>
          <w:bCs/>
          <w:kern w:val="0"/>
          <w:sz w:val="32"/>
          <w:szCs w:val="32"/>
          <w:lang w:val="en-US" w:eastAsia="zh-CN" w:bidi="ar-SA"/>
        </w:rPr>
        <w:t>运行（项）： 支出决算为39.12万元，完成预算100%，决算数和预算数持平。</w:t>
      </w:r>
    </w:p>
    <w:p>
      <w:pPr>
        <w:keepNext w:val="0"/>
        <w:keepLines w:val="0"/>
        <w:pageBreakBefore w:val="0"/>
        <w:widowControl w:val="0"/>
        <w:kinsoku/>
        <w:wordWrap/>
        <w:overflowPunct/>
        <w:topLinePunct w:val="0"/>
        <w:autoSpaceDE/>
        <w:autoSpaceDN/>
        <w:bidi w:val="0"/>
        <w:adjustRightInd/>
        <w:snapToGrid/>
        <w:spacing w:line="550" w:lineRule="exact"/>
        <w:ind w:firstLine="320" w:firstLineChars="1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 3.一般公共服务（类）政府办公厅（室）及相关机构事务（款）其他政府办公厅（室）及相关机构事务支出（项）：支出决算为225.35万元，完成预算100%，决算数和预算数持平。</w:t>
      </w:r>
    </w:p>
    <w:p>
      <w:pPr>
        <w:keepNext w:val="0"/>
        <w:keepLines w:val="0"/>
        <w:pageBreakBefore w:val="0"/>
        <w:widowControl w:val="0"/>
        <w:kinsoku/>
        <w:wordWrap/>
        <w:overflowPunct/>
        <w:topLinePunct w:val="0"/>
        <w:autoSpaceDE/>
        <w:autoSpaceDN/>
        <w:bidi w:val="0"/>
        <w:adjustRightInd/>
        <w:snapToGrid/>
        <w:spacing w:line="550" w:lineRule="exact"/>
        <w:ind w:firstLine="320" w:firstLineChars="1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4.社会保障和就业（类）行政事业单位养老支出（款）机关事业单位基本养老保险缴费支出（项）： 支出决算为40.6万元，完成预算100%，决算数和预算数持平。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5.卫生健康（类）行政事业单位医疗（款）行政单位医疗（项）：支出决算为0.97万元，完成预算100%，决算数和预算数持平，决算数和预算数持平。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6.卫生健康（类）行政事业单位医疗（款）事业单位医疗（项）：支出决算为6.35万元，完成预算100%，决算数和预算数持平，决算数和预算数持平。</w:t>
      </w:r>
    </w:p>
    <w:p>
      <w:pPr>
        <w:pStyle w:val="6"/>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7.资源勘工业信息等支出（类）工业信息和产业监管（款）产业发展（项）：支出决算471.06万元，完成预算100%，决算数和预算数持平，决算数和预算数持平。</w:t>
      </w:r>
    </w:p>
    <w:p>
      <w:pPr>
        <w:pStyle w:val="6"/>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8.商业服务等支出（类）其他商业服务业等支出（款）其他商业服务业等支出（项）支出决算35万元，完成预算100%，决算数和预算数持平。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9.住房保障支出（类）住房改革支出（款）住房公积金（项）：支出决算为18.07万元，完成预算100%，决算数和预算数持平。</w:t>
      </w:r>
    </w:p>
    <w:p>
      <w:pPr>
        <w:pStyle w:val="6"/>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10.粮油物资储备支出（类）粮油物资事务（款）其他粮油物资事务支出（项），支出决算56.14万元，完成预算100%，决算数和预算数持平。</w:t>
      </w:r>
    </w:p>
    <w:p>
      <w:pPr>
        <w:pStyle w:val="6"/>
        <w:ind w:firstLine="640" w:firstLineChars="200"/>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11.其他支出（类）其他支出（款）其他支出（项），支出决算180.64万元，完成预算100%，决算数和预算数持平。</w:t>
      </w:r>
    </w:p>
    <w:p>
      <w:pPr>
        <w:pStyle w:val="6"/>
        <w:rPr>
          <w:rFonts w:hint="eastAsia" w:ascii="仿宋" w:hAnsi="仿宋" w:eastAsia="仿宋" w:cs="Times New Roman"/>
          <w:bCs/>
          <w:kern w:val="0"/>
          <w:sz w:val="32"/>
          <w:szCs w:val="32"/>
          <w:lang w:val="en-US" w:eastAsia="zh-CN" w:bidi="ar-SA"/>
        </w:rPr>
      </w:pPr>
    </w:p>
    <w:p>
      <w:pPr>
        <w:pStyle w:val="6"/>
        <w:rPr>
          <w:rFonts w:hint="eastAsia"/>
          <w:lang w:val="en-US" w:eastAsia="zh-CN"/>
        </w:rPr>
      </w:pPr>
    </w:p>
    <w:p>
      <w:pPr>
        <w:tabs>
          <w:tab w:val="right" w:pos="8306"/>
        </w:tabs>
        <w:spacing w:line="600" w:lineRule="exact"/>
        <w:ind w:firstLine="640"/>
        <w:outlineLvl w:val="1"/>
        <w:rPr>
          <w:rStyle w:val="31"/>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40"/>
      <w:bookmarkEnd w:id="41"/>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456.11</w:t>
      </w:r>
      <w:r>
        <w:rPr>
          <w:rFonts w:hint="eastAsia" w:ascii="仿宋" w:hAnsi="仿宋" w:eastAsia="仿宋"/>
          <w:sz w:val="32"/>
          <w:szCs w:val="32"/>
        </w:rPr>
        <w:t>万元，其中：</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sz w:val="32"/>
          <w:szCs w:val="32"/>
        </w:rPr>
        <w:t>人员经费</w:t>
      </w:r>
      <w:r>
        <w:rPr>
          <w:rFonts w:hint="eastAsia" w:ascii="仿宋" w:hAnsi="仿宋" w:eastAsia="仿宋"/>
          <w:sz w:val="32"/>
          <w:szCs w:val="32"/>
          <w:lang w:val="en-US" w:eastAsia="zh-CN"/>
        </w:rPr>
        <w:t>385.68</w:t>
      </w:r>
      <w:r>
        <w:rPr>
          <w:rFonts w:hint="eastAsia" w:ascii="仿宋" w:hAnsi="仿宋" w:eastAsia="仿宋"/>
          <w:sz w:val="32"/>
          <w:szCs w:val="32"/>
        </w:rPr>
        <w:t>万元，主要包括：</w:t>
      </w:r>
      <w:r>
        <w:rPr>
          <w:rFonts w:hint="eastAsia" w:ascii="仿宋" w:hAnsi="仿宋" w:eastAsia="仿宋" w:cs="Times New Roman"/>
          <w:bCs/>
          <w:kern w:val="0"/>
          <w:sz w:val="32"/>
          <w:szCs w:val="32"/>
          <w:lang w:val="en-US" w:eastAsia="zh-CN" w:bidi="ar-SA"/>
        </w:rPr>
        <w:t>基本工资、津贴补贴、奖金、绩效工资、机关事业单位基本养老保险缴费、其他社会保障缴费、其他工资福利支出、生活补助、住房公积金等。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70.43</w:t>
      </w:r>
      <w:r>
        <w:rPr>
          <w:rFonts w:hint="eastAsia" w:ascii="仿宋" w:hAnsi="仿宋" w:eastAsia="仿宋"/>
          <w:sz w:val="32"/>
          <w:szCs w:val="32"/>
        </w:rPr>
        <w:t>万元，主要包括：</w:t>
      </w:r>
      <w:r>
        <w:rPr>
          <w:rFonts w:hint="eastAsia" w:ascii="仿宋" w:hAnsi="仿宋" w:eastAsia="仿宋" w:cs="Times New Roman"/>
          <w:bCs/>
          <w:kern w:val="0"/>
          <w:sz w:val="32"/>
          <w:szCs w:val="32"/>
          <w:lang w:val="en-US" w:eastAsia="zh-CN" w:bidi="ar-SA"/>
        </w:rPr>
        <w:t>办公费、印刷费、水费、电费、邮电费、差旅费、会议费、培训费、公务接待费、劳务费、工会经费、福利费、其他交通费、其他商品和服务支出等。</w:t>
      </w:r>
    </w:p>
    <w:p>
      <w:pPr>
        <w:spacing w:line="600" w:lineRule="exact"/>
        <w:ind w:firstLine="640"/>
        <w:outlineLvl w:val="1"/>
        <w:rPr>
          <w:rFonts w:hint="eastAsia" w:ascii="黑体" w:eastAsia="黑体"/>
          <w:sz w:val="32"/>
          <w:szCs w:val="32"/>
        </w:rPr>
      </w:pPr>
      <w:bookmarkStart w:id="42" w:name="_Toc15396609"/>
      <w:bookmarkStart w:id="43" w:name="_Toc15377215"/>
    </w:p>
    <w:p>
      <w:pPr>
        <w:spacing w:line="600" w:lineRule="exact"/>
        <w:ind w:firstLine="640"/>
        <w:outlineLvl w:val="1"/>
        <w:rPr>
          <w:rStyle w:val="31"/>
          <w:rFonts w:ascii="黑体" w:hAnsi="黑体" w:eastAsia="黑体"/>
          <w:b w:val="0"/>
        </w:rPr>
      </w:pPr>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3.8</w:t>
      </w:r>
      <w:r>
        <w:rPr>
          <w:rFonts w:hint="eastAsia" w:ascii="仿宋" w:hAnsi="仿宋" w:eastAsia="仿宋"/>
          <w:sz w:val="32"/>
          <w:szCs w:val="32"/>
        </w:rPr>
        <w:t>万元，完成预算</w:t>
      </w:r>
      <w:r>
        <w:rPr>
          <w:rFonts w:hint="eastAsia" w:ascii="仿宋" w:hAnsi="仿宋" w:eastAsia="仿宋"/>
          <w:sz w:val="32"/>
          <w:szCs w:val="32"/>
          <w:lang w:val="en-US" w:eastAsia="zh-CN"/>
        </w:rPr>
        <w:t>3.8</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0.95</w:t>
      </w:r>
      <w:r>
        <w:rPr>
          <w:rFonts w:hint="eastAsia" w:ascii="仿宋" w:hAnsi="仿宋" w:eastAsia="仿宋"/>
          <w:sz w:val="32"/>
          <w:szCs w:val="32"/>
        </w:rPr>
        <w:t>万元，下降</w:t>
      </w:r>
      <w:r>
        <w:rPr>
          <w:rFonts w:hint="eastAsia" w:ascii="仿宋" w:hAnsi="仿宋" w:eastAsia="仿宋"/>
          <w:sz w:val="32"/>
          <w:szCs w:val="32"/>
          <w:lang w:val="en-US" w:eastAsia="zh-CN"/>
        </w:rPr>
        <w:t>20</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6"/>
        <w:rPr>
          <w:rFonts w:hint="eastAsia" w:ascii="仿宋" w:hAnsi="仿宋" w:eastAsia="仿宋"/>
          <w:sz w:val="32"/>
          <w:szCs w:val="32"/>
        </w:rPr>
      </w:pPr>
    </w:p>
    <w:p>
      <w:pPr>
        <w:pStyle w:val="6"/>
        <w:jc w:val="center"/>
        <w:rPr>
          <w:rFonts w:hint="eastAsia" w:ascii="仿宋" w:hAnsi="仿宋" w:eastAsia="仿宋"/>
          <w:sz w:val="32"/>
          <w:szCs w:val="32"/>
        </w:rPr>
      </w:pPr>
      <w:r>
        <w:drawing>
          <wp:inline distT="0" distB="0" distL="114300" distR="114300">
            <wp:extent cx="4847590" cy="2695575"/>
            <wp:effectExtent l="4445" t="5080" r="5715" b="444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_GB2312" w:eastAsia="仿宋_GB2312"/>
          <w:b/>
          <w:sz w:val="32"/>
          <w:szCs w:val="32"/>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3.8</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0.95</w:t>
      </w:r>
      <w:r>
        <w:rPr>
          <w:rFonts w:hint="eastAsia" w:ascii="仿宋_GB2312" w:eastAsia="仿宋_GB2312"/>
          <w:sz w:val="32"/>
          <w:szCs w:val="32"/>
        </w:rPr>
        <w:t>万元，下降</w:t>
      </w: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接待人数减少</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cs="Times New Roman"/>
          <w:bCs/>
          <w:kern w:val="0"/>
          <w:sz w:val="32"/>
          <w:szCs w:val="32"/>
          <w:lang w:val="en-US" w:eastAsia="zh-CN" w:bidi="ar-SA"/>
        </w:rPr>
        <w:t>国内公务接待支出3.8万元，主要用于执行公务、开展业务活动开支的用餐费等。国内公务接待72批次，465人次（不包括陪同人员），共计支出3.8万元，具体内容包括：主要接待上级主管部门来我单位调研、检查指导工作。</w:t>
      </w:r>
    </w:p>
    <w:p>
      <w:pPr>
        <w:spacing w:line="600" w:lineRule="exact"/>
        <w:ind w:firstLine="320" w:firstLineChars="100"/>
        <w:outlineLvl w:val="1"/>
        <w:rPr>
          <w:rFonts w:hint="eastAsia" w:ascii="黑体" w:eastAsia="黑体"/>
          <w:sz w:val="32"/>
          <w:szCs w:val="32"/>
        </w:rPr>
      </w:pPr>
      <w:bookmarkStart w:id="46" w:name="_Toc15396610"/>
      <w:bookmarkStart w:id="47" w:name="_Toc15377218"/>
    </w:p>
    <w:p>
      <w:pPr>
        <w:spacing w:line="600" w:lineRule="exact"/>
        <w:ind w:firstLine="320" w:firstLineChars="10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6"/>
      <w:bookmarkEnd w:id="47"/>
    </w:p>
    <w:p>
      <w:pPr>
        <w:spacing w:line="600" w:lineRule="exact"/>
        <w:ind w:firstLine="64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19450.81</w:t>
      </w:r>
      <w:r>
        <w:rPr>
          <w:rFonts w:hint="eastAsia" w:ascii="仿宋_GB2312" w:eastAsia="仿宋_GB2312"/>
          <w:sz w:val="32"/>
          <w:szCs w:val="32"/>
        </w:rPr>
        <w:t>万元。</w:t>
      </w:r>
      <w:r>
        <w:rPr>
          <w:rFonts w:hint="eastAsia" w:ascii="仿宋_GB2312" w:eastAsia="仿宋_GB2312"/>
          <w:sz w:val="32"/>
          <w:szCs w:val="32"/>
          <w:lang w:val="en-US" w:eastAsia="zh-CN"/>
        </w:rPr>
        <w:t>其中：</w:t>
      </w:r>
      <w:r>
        <w:rPr>
          <w:rFonts w:hint="eastAsia" w:ascii="仿宋_GB2312" w:eastAsia="仿宋_GB2312"/>
          <w:sz w:val="32"/>
          <w:szCs w:val="32"/>
        </w:rPr>
        <w:t>30吨合成公路材料项目基础设施补助</w:t>
      </w:r>
      <w:r>
        <w:rPr>
          <w:rFonts w:hint="eastAsia" w:ascii="仿宋_GB2312" w:eastAsia="仿宋_GB2312"/>
          <w:sz w:val="32"/>
          <w:szCs w:val="32"/>
          <w:lang w:val="en-US" w:eastAsia="zh-CN"/>
        </w:rPr>
        <w:t>37.81万元，普安镇市政基础设施一期PPP项目2000万元，四川川老头食品科技有限公司基础场平补助资金217万元，剑门关木业有限公司退园补偿款100万元，德润通招商协议资金196万元，剑门工业园区基础设施项目5000万元，剑阁县普安金剑工业园区项目一期11900万元。</w:t>
      </w:r>
    </w:p>
    <w:p>
      <w:pPr>
        <w:pStyle w:val="6"/>
        <w:rPr>
          <w:rFonts w:hint="eastAsia" w:ascii="仿宋_GB2312" w:eastAsia="仿宋_GB2312"/>
          <w:sz w:val="32"/>
          <w:szCs w:val="32"/>
        </w:rPr>
      </w:pPr>
    </w:p>
    <w:p>
      <w:pPr>
        <w:spacing w:line="600" w:lineRule="exact"/>
        <w:rPr>
          <w:rFonts w:ascii="仿宋_GB2312" w:eastAsia="仿宋_GB2312"/>
          <w:sz w:val="32"/>
          <w:szCs w:val="32"/>
        </w:rPr>
      </w:pPr>
    </w:p>
    <w:p>
      <w:pPr>
        <w:numPr>
          <w:ilvl w:val="0"/>
          <w:numId w:val="2"/>
        </w:numPr>
        <w:spacing w:line="600" w:lineRule="exact"/>
        <w:ind w:firstLine="640"/>
        <w:outlineLvl w:val="1"/>
        <w:rPr>
          <w:rStyle w:val="31"/>
          <w:rFonts w:ascii="黑体" w:hAnsi="黑体" w:eastAsia="黑体"/>
          <w:b w:val="0"/>
        </w:rPr>
      </w:pPr>
      <w:bookmarkStart w:id="48" w:name="_Toc15377219"/>
      <w:bookmarkStart w:id="49" w:name="_Toc15396611"/>
      <w:r>
        <w:rPr>
          <w:rStyle w:val="31"/>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31"/>
          <w:rFonts w:ascii="黑体" w:hAnsi="黑体" w:eastAsia="黑体"/>
          <w:b w:val="0"/>
        </w:rPr>
      </w:pPr>
      <w:bookmarkStart w:id="50" w:name="_Toc15396612"/>
      <w:bookmarkStart w:id="51" w:name="_Toc15377221"/>
      <w:r>
        <w:rPr>
          <w:rStyle w:val="31"/>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四川剑阁经济开发区管理委员会</w:t>
      </w:r>
      <w:r>
        <w:rPr>
          <w:rFonts w:hint="eastAsia" w:ascii="仿宋_GB2312" w:eastAsia="仿宋_GB2312"/>
          <w:sz w:val="32"/>
          <w:szCs w:val="32"/>
        </w:rPr>
        <w:t>机关运行经费支出</w:t>
      </w:r>
      <w:r>
        <w:rPr>
          <w:rFonts w:hint="eastAsia" w:ascii="仿宋_GB2312" w:eastAsia="仿宋_GB2312"/>
          <w:sz w:val="32"/>
          <w:szCs w:val="32"/>
          <w:lang w:val="en-US" w:eastAsia="zh-CN"/>
        </w:rPr>
        <w:t>70.43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18.07</w:t>
      </w:r>
      <w:r>
        <w:rPr>
          <w:rFonts w:hint="eastAsia" w:ascii="仿宋_GB2312" w:eastAsia="仿宋_GB2312"/>
          <w:sz w:val="32"/>
          <w:szCs w:val="32"/>
        </w:rPr>
        <w:t>万元，增长</w:t>
      </w:r>
      <w:r>
        <w:rPr>
          <w:rFonts w:hint="eastAsia" w:ascii="仿宋_GB2312" w:eastAsia="仿宋_GB2312"/>
          <w:sz w:val="32"/>
          <w:szCs w:val="32"/>
          <w:lang w:val="en-US" w:eastAsia="zh-CN"/>
        </w:rPr>
        <w:t>34.51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机关运行项目资金的增加</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四川剑阁经济开发区管理委员会</w:t>
      </w:r>
      <w:r>
        <w:rPr>
          <w:rFonts w:hint="eastAsia" w:ascii="仿宋_GB2312" w:eastAsia="仿宋_GB2312"/>
          <w:sz w:val="32"/>
          <w:szCs w:val="32"/>
        </w:rPr>
        <w:t>政府采购支出总额</w:t>
      </w:r>
      <w:r>
        <w:rPr>
          <w:rFonts w:hint="eastAsia" w:ascii="仿宋_GB2312" w:eastAsia="仿宋_GB2312"/>
          <w:sz w:val="32"/>
          <w:szCs w:val="32"/>
          <w:lang w:val="en-US" w:eastAsia="zh-CN"/>
        </w:rPr>
        <w:t>243</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49</w:t>
      </w:r>
      <w:r>
        <w:rPr>
          <w:rFonts w:hint="eastAsia" w:ascii="仿宋_GB2312" w:eastAsia="仿宋_GB2312"/>
          <w:sz w:val="32"/>
          <w:szCs w:val="32"/>
        </w:rPr>
        <w:t>万元、政府采购工程支出</w:t>
      </w:r>
      <w:r>
        <w:rPr>
          <w:rFonts w:hint="eastAsia" w:ascii="仿宋_GB2312" w:eastAsia="仿宋_GB2312"/>
          <w:sz w:val="32"/>
          <w:szCs w:val="32"/>
          <w:lang w:val="en-US" w:eastAsia="zh-CN"/>
        </w:rPr>
        <w:t>194</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val="en-US" w:eastAsia="zh-CN"/>
        </w:rPr>
        <w:t>普安污水回用设备采购费用和经开区信息化平台建设费用</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243</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四川剑阁经济开发区管理委员会</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根据预算绩效管理要求，本部门在2022年度预算编制阶段，组织对德润通招商协议资金项目</w:t>
      </w:r>
      <w:r>
        <w:rPr>
          <w:rFonts w:hint="eastAsia" w:ascii="仿宋_GB2312" w:hAnsi="仿宋_GB2312" w:eastAsia="仿宋_GB2312" w:cs="仿宋_GB2312"/>
          <w:sz w:val="32"/>
          <w:szCs w:val="32"/>
          <w:lang w:eastAsia="zh-CN"/>
        </w:rPr>
        <w:t>、四川川老头食品科技有限公司基础场平补助资金</w:t>
      </w:r>
      <w:r>
        <w:rPr>
          <w:rFonts w:hint="eastAsia" w:ascii="仿宋_GB2312" w:hAnsi="仿宋_GB2312" w:eastAsia="仿宋_GB2312" w:cs="仿宋_GB2312"/>
          <w:sz w:val="32"/>
          <w:szCs w:val="32"/>
          <w:lang w:val="en-US" w:eastAsia="zh-CN"/>
        </w:rPr>
        <w:t>等项目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组织对2022年度一般公共预算、政府性基金预算、债券资金等全面开展绩效自评，形成</w:t>
      </w:r>
      <w:r>
        <w:rPr>
          <w:rFonts w:hint="eastAsia" w:ascii="仿宋_GB2312" w:eastAsia="仿宋_GB2312"/>
          <w:sz w:val="32"/>
          <w:szCs w:val="32"/>
          <w:lang w:val="en-US" w:eastAsia="zh-CN"/>
        </w:rPr>
        <w:t>四川剑阁经济开发区管理委员会</w:t>
      </w:r>
      <w:r>
        <w:rPr>
          <w:rFonts w:hint="eastAsia" w:ascii="仿宋_GB2312" w:hAnsi="仿宋_GB2312" w:eastAsia="仿宋_GB2312" w:cs="仿宋_GB2312"/>
          <w:sz w:val="32"/>
          <w:szCs w:val="32"/>
        </w:rPr>
        <w:t>部门整体部门预算项目绩效自评报告、德润通招商协议资金项目</w:t>
      </w:r>
      <w:r>
        <w:rPr>
          <w:rFonts w:hint="eastAsia" w:ascii="仿宋_GB2312" w:hAnsi="仿宋_GB2312" w:eastAsia="仿宋_GB2312" w:cs="仿宋_GB2312"/>
          <w:sz w:val="32"/>
          <w:szCs w:val="32"/>
          <w:lang w:eastAsia="zh-CN"/>
        </w:rPr>
        <w:t>、四川川老头食品科技有限公司基础场平补助资金</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等专项预算项目绩效自评报告，其中，</w:t>
      </w:r>
      <w:r>
        <w:rPr>
          <w:rFonts w:hint="eastAsia" w:ascii="仿宋_GB2312" w:eastAsia="仿宋_GB2312"/>
          <w:sz w:val="32"/>
          <w:szCs w:val="32"/>
          <w:lang w:val="en-US" w:eastAsia="zh-CN"/>
        </w:rPr>
        <w:t>四川剑阁经济开发区管理委员会部门</w:t>
      </w:r>
      <w:r>
        <w:rPr>
          <w:rFonts w:hint="eastAsia" w:ascii="仿宋_GB2312" w:hAnsi="仿宋_GB2312" w:eastAsia="仿宋_GB2312" w:cs="仿宋_GB2312"/>
          <w:sz w:val="32"/>
          <w:szCs w:val="32"/>
        </w:rPr>
        <w:t>整体（含部门预算项目）绩效自评得分为</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分，德润通招商协议资金项目</w:t>
      </w:r>
      <w:r>
        <w:rPr>
          <w:rFonts w:hint="eastAsia" w:ascii="仿宋_GB2312" w:hAnsi="仿宋_GB2312" w:eastAsia="仿宋_GB2312" w:cs="仿宋_GB2312"/>
          <w:sz w:val="32"/>
          <w:szCs w:val="32"/>
          <w:lang w:eastAsia="zh-CN"/>
        </w:rPr>
        <w:t>、四川川老头食品科技有限公司基础场平补助资金</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专项预算项目</w:t>
      </w:r>
      <w:r>
        <w:rPr>
          <w:rFonts w:hint="eastAsia" w:ascii="仿宋_GB2312" w:hAnsi="仿宋_GB2312" w:eastAsia="仿宋_GB2312" w:cs="仿宋_GB2312"/>
          <w:sz w:val="32"/>
          <w:szCs w:val="32"/>
        </w:rPr>
        <w:t>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w:t>
      </w:r>
      <w:r>
        <w:rPr>
          <w:rFonts w:hint="eastAsia" w:ascii="仿宋" w:hAnsi="仿宋" w:eastAsia="仿宋" w:cs="Times New Roman"/>
          <w:bCs/>
          <w:kern w:val="0"/>
          <w:sz w:val="32"/>
          <w:szCs w:val="32"/>
          <w:lang w:val="en-US" w:eastAsia="zh-CN" w:bidi="ar-SA"/>
        </w:rPr>
        <w:t>整体支出和具体项目支出政策依据充分，目标制定明确；按照计划有序实施，资金到位及时，经费使用严格按照相关财务管理制度执行，对资金的使用监管有力有效。整个支出实施达到了预期的绩效目标</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执行情况良好。</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0"/>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30"/>
          <w:rFonts w:hint="eastAsia" w:ascii="黑体" w:hAnsi="黑体" w:eastAsia="黑体"/>
          <w:b w:val="0"/>
        </w:rPr>
        <w:t>词解释</w:t>
      </w:r>
      <w:bookmarkEnd w:id="55"/>
      <w:bookmarkEnd w:id="56"/>
    </w:p>
    <w:p>
      <w:pPr>
        <w:spacing w:line="600" w:lineRule="exact"/>
        <w:jc w:val="left"/>
        <w:rPr>
          <w:rFonts w:ascii="宋体"/>
          <w:b/>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（一）一般公共预算拨款收入：指县级财政当年拨付的资金。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（二）上年结转：指以前年度尚未完成，结转到本年仍按原规定用途继续使用的资金。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三</w:t>
      </w: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一般公共服务</w:t>
      </w:r>
      <w:r>
        <w:rPr>
          <w:rFonts w:hint="default" w:ascii="仿宋" w:hAnsi="仿宋" w:eastAsia="仿宋" w:cs="Times New Roman"/>
          <w:bCs/>
          <w:kern w:val="0"/>
          <w:sz w:val="32"/>
          <w:szCs w:val="32"/>
          <w:lang w:val="en-US" w:eastAsia="zh-CN" w:bidi="ar-SA"/>
        </w:rPr>
        <w:t>（类</w:t>
      </w:r>
      <w:r>
        <w:rPr>
          <w:rFonts w:hint="eastAsia" w:ascii="仿宋" w:hAnsi="仿宋" w:eastAsia="仿宋" w:cs="Times New Roman"/>
          <w:bCs/>
          <w:kern w:val="0"/>
          <w:sz w:val="32"/>
          <w:szCs w:val="32"/>
          <w:lang w:val="en-US" w:eastAsia="zh-CN" w:bidi="ar-SA"/>
        </w:rPr>
        <w:t>）政府办公厅（室）及相关机构事务</w:t>
      </w:r>
      <w:r>
        <w:rPr>
          <w:rFonts w:hint="default" w:ascii="仿宋" w:hAnsi="仿宋" w:eastAsia="仿宋" w:cs="Times New Roman"/>
          <w:bCs/>
          <w:kern w:val="0"/>
          <w:sz w:val="32"/>
          <w:szCs w:val="32"/>
          <w:lang w:val="en-US" w:eastAsia="zh-CN" w:bidi="ar-SA"/>
        </w:rPr>
        <w:t>（款）</w:t>
      </w:r>
      <w:r>
        <w:rPr>
          <w:rFonts w:hint="eastAsia" w:ascii="仿宋" w:hAnsi="仿宋" w:eastAsia="仿宋" w:cs="Times New Roman"/>
          <w:bCs/>
          <w:kern w:val="0"/>
          <w:sz w:val="32"/>
          <w:szCs w:val="32"/>
          <w:lang w:val="en-US" w:eastAsia="zh-CN" w:bidi="ar-SA"/>
        </w:rPr>
        <w:t>行政运行</w:t>
      </w:r>
      <w:r>
        <w:rPr>
          <w:rFonts w:hint="default" w:ascii="仿宋" w:hAnsi="仿宋" w:eastAsia="仿宋" w:cs="Times New Roman"/>
          <w:bCs/>
          <w:kern w:val="0"/>
          <w:sz w:val="32"/>
          <w:szCs w:val="32"/>
          <w:lang w:val="en-US" w:eastAsia="zh-CN" w:bidi="ar-SA"/>
        </w:rPr>
        <w:t>（项）：</w:t>
      </w:r>
      <w:r>
        <w:rPr>
          <w:rFonts w:hint="eastAsia" w:ascii="仿宋" w:hAnsi="仿宋" w:eastAsia="仿宋" w:cs="Times New Roman"/>
          <w:bCs/>
          <w:kern w:val="0"/>
          <w:sz w:val="32"/>
          <w:szCs w:val="32"/>
          <w:lang w:val="en-US" w:eastAsia="zh-CN" w:bidi="ar-SA"/>
        </w:rPr>
        <w:t>指反映行政单位（包括实行公务员管理的事业单位）的基本支出。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四</w:t>
      </w: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一般公共服务</w:t>
      </w:r>
      <w:r>
        <w:rPr>
          <w:rFonts w:hint="default" w:ascii="仿宋" w:hAnsi="仿宋" w:eastAsia="仿宋" w:cs="Times New Roman"/>
          <w:bCs/>
          <w:kern w:val="0"/>
          <w:sz w:val="32"/>
          <w:szCs w:val="32"/>
          <w:lang w:val="en-US" w:eastAsia="zh-CN" w:bidi="ar-SA"/>
        </w:rPr>
        <w:t>（类</w:t>
      </w:r>
      <w:r>
        <w:rPr>
          <w:rFonts w:hint="eastAsia" w:ascii="仿宋" w:hAnsi="仿宋" w:eastAsia="仿宋" w:cs="Times New Roman"/>
          <w:bCs/>
          <w:kern w:val="0"/>
          <w:sz w:val="32"/>
          <w:szCs w:val="32"/>
          <w:lang w:val="en-US" w:eastAsia="zh-CN" w:bidi="ar-SA"/>
        </w:rPr>
        <w:t>）政府办公厅（室）及相关机构事务</w:t>
      </w:r>
      <w:r>
        <w:rPr>
          <w:rFonts w:hint="default" w:ascii="仿宋" w:hAnsi="仿宋" w:eastAsia="仿宋" w:cs="Times New Roman"/>
          <w:bCs/>
          <w:kern w:val="0"/>
          <w:sz w:val="32"/>
          <w:szCs w:val="32"/>
          <w:lang w:val="en-US" w:eastAsia="zh-CN" w:bidi="ar-SA"/>
        </w:rPr>
        <w:t>（款）</w:t>
      </w:r>
      <w:r>
        <w:rPr>
          <w:rFonts w:hint="eastAsia" w:ascii="仿宋" w:hAnsi="仿宋" w:eastAsia="仿宋" w:cs="Times New Roman"/>
          <w:bCs/>
          <w:kern w:val="0"/>
          <w:sz w:val="32"/>
          <w:szCs w:val="32"/>
          <w:lang w:val="en-US" w:eastAsia="zh-CN" w:bidi="ar-SA"/>
        </w:rPr>
        <w:t>一般行政管理事务</w:t>
      </w:r>
      <w:r>
        <w:rPr>
          <w:rFonts w:hint="default" w:ascii="仿宋" w:hAnsi="仿宋" w:eastAsia="仿宋" w:cs="Times New Roman"/>
          <w:bCs/>
          <w:kern w:val="0"/>
          <w:sz w:val="32"/>
          <w:szCs w:val="32"/>
          <w:lang w:val="en-US" w:eastAsia="zh-CN" w:bidi="ar-SA"/>
        </w:rPr>
        <w:t>（项）：</w:t>
      </w:r>
      <w:r>
        <w:rPr>
          <w:rFonts w:hint="eastAsia" w:ascii="仿宋" w:hAnsi="仿宋" w:eastAsia="仿宋" w:cs="Times New Roman"/>
          <w:bCs/>
          <w:kern w:val="0"/>
          <w:sz w:val="32"/>
          <w:szCs w:val="32"/>
          <w:lang w:val="en-US" w:eastAsia="zh-CN" w:bidi="ar-SA"/>
        </w:rPr>
        <w:t>指反映行政单位（包括实行公务员管理的事业单位）未单独设置项级科目的其他项目支出。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五</w:t>
      </w: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一般公共服务</w:t>
      </w:r>
      <w:r>
        <w:rPr>
          <w:rFonts w:hint="default" w:ascii="仿宋" w:hAnsi="仿宋" w:eastAsia="仿宋" w:cs="Times New Roman"/>
          <w:bCs/>
          <w:kern w:val="0"/>
          <w:sz w:val="32"/>
          <w:szCs w:val="32"/>
          <w:lang w:val="en-US" w:eastAsia="zh-CN" w:bidi="ar-SA"/>
        </w:rPr>
        <w:t>（类</w:t>
      </w:r>
      <w:r>
        <w:rPr>
          <w:rFonts w:hint="eastAsia" w:ascii="仿宋" w:hAnsi="仿宋" w:eastAsia="仿宋" w:cs="Times New Roman"/>
          <w:bCs/>
          <w:kern w:val="0"/>
          <w:sz w:val="32"/>
          <w:szCs w:val="32"/>
          <w:lang w:val="en-US" w:eastAsia="zh-CN" w:bidi="ar-SA"/>
        </w:rPr>
        <w:t>）政府办公厅（室）及相关机构事务</w:t>
      </w:r>
      <w:r>
        <w:rPr>
          <w:rFonts w:hint="default" w:ascii="仿宋" w:hAnsi="仿宋" w:eastAsia="仿宋" w:cs="Times New Roman"/>
          <w:bCs/>
          <w:kern w:val="0"/>
          <w:sz w:val="32"/>
          <w:szCs w:val="32"/>
          <w:lang w:val="en-US" w:eastAsia="zh-CN" w:bidi="ar-SA"/>
        </w:rPr>
        <w:t>（款）</w:t>
      </w:r>
      <w:r>
        <w:rPr>
          <w:rFonts w:hint="eastAsia" w:ascii="仿宋" w:hAnsi="仿宋" w:eastAsia="仿宋" w:cs="Times New Roman"/>
          <w:bCs/>
          <w:kern w:val="0"/>
          <w:sz w:val="32"/>
          <w:szCs w:val="32"/>
          <w:lang w:val="en-US" w:eastAsia="zh-CN" w:bidi="ar-SA"/>
        </w:rPr>
        <w:t>事业运行</w:t>
      </w:r>
      <w:r>
        <w:rPr>
          <w:rFonts w:hint="default" w:ascii="仿宋" w:hAnsi="仿宋" w:eastAsia="仿宋" w:cs="Times New Roman"/>
          <w:bCs/>
          <w:kern w:val="0"/>
          <w:sz w:val="32"/>
          <w:szCs w:val="32"/>
          <w:lang w:val="en-US" w:eastAsia="zh-CN" w:bidi="ar-SA"/>
        </w:rPr>
        <w:t>（项）：</w:t>
      </w:r>
      <w:r>
        <w:rPr>
          <w:rFonts w:hint="eastAsia" w:ascii="仿宋" w:hAnsi="仿宋" w:eastAsia="仿宋" w:cs="Times New Roman"/>
          <w:bCs/>
          <w:kern w:val="0"/>
          <w:sz w:val="32"/>
          <w:szCs w:val="32"/>
          <w:lang w:val="en-US" w:eastAsia="zh-CN" w:bidi="ar-SA"/>
        </w:rPr>
        <w:t>指反映事业单位的基本支出，不包括行政单位（包括实行公务员管理的事业单位）后勤服务中心、医务室等附属事业单位。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（六</w:t>
      </w:r>
      <w:r>
        <w:rPr>
          <w:rFonts w:hint="default" w:ascii="仿宋" w:hAnsi="仿宋" w:eastAsia="仿宋" w:cs="Times New Roman"/>
          <w:bCs/>
          <w:kern w:val="0"/>
          <w:sz w:val="32"/>
          <w:szCs w:val="32"/>
          <w:lang w:val="en-US" w:eastAsia="zh-CN" w:bidi="ar-SA"/>
        </w:rPr>
        <w:t>）卫生健康（类）行政事业单位医疗（款）行政单位医疗（项）：指局机关及参公管理事业单位用于缴纳单位基本医疗保险支出。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七</w:t>
      </w:r>
      <w:r>
        <w:rPr>
          <w:rFonts w:hint="default" w:ascii="仿宋" w:hAnsi="仿宋" w:eastAsia="仿宋" w:cs="Times New Roman"/>
          <w:bCs/>
          <w:kern w:val="0"/>
          <w:sz w:val="32"/>
          <w:szCs w:val="32"/>
          <w:lang w:val="en-US" w:eastAsia="zh-CN" w:bidi="ar-SA"/>
        </w:rPr>
        <w:t>）卫生健康（类）行政事业单位医疗（款）事业单位医疗（项）：指事业单位用于缴纳单位基本医疗保险支出。</w:t>
      </w:r>
    </w:p>
    <w:p>
      <w:pPr>
        <w:pStyle w:val="6"/>
        <w:ind w:firstLine="640" w:firstLineChars="200"/>
        <w:rPr>
          <w:rFonts w:hint="default"/>
          <w:lang w:val="en-US" w:eastAsia="zh-CN"/>
        </w:rPr>
      </w:pPr>
      <w:r>
        <w:rPr>
          <w:rFonts w:hint="eastAsia" w:hAnsi="Times New Roman" w:cs="Times New Roman"/>
          <w:b w:val="0"/>
          <w:bCs w:val="0"/>
          <w:color w:val="000000"/>
          <w:kern w:val="2"/>
          <w:sz w:val="32"/>
          <w:szCs w:val="32"/>
          <w:lang w:val="en-US" w:eastAsia="zh-CN" w:bidi="ar-SA"/>
        </w:rPr>
        <w:t>（八</w:t>
      </w:r>
      <w:r>
        <w:rPr>
          <w:rFonts w:hint="default" w:ascii="仿宋_GB2312" w:hAnsi="Times New Roman" w:eastAsia="仿宋_GB2312" w:cs="Times New Roman"/>
          <w:b w:val="0"/>
          <w:bCs w:val="0"/>
          <w:color w:val="000000"/>
          <w:kern w:val="2"/>
          <w:sz w:val="32"/>
          <w:szCs w:val="32"/>
          <w:lang w:val="en-US" w:eastAsia="zh-CN" w:bidi="ar-SA"/>
        </w:rPr>
        <w:t>）社会保障和就业（类）行政事业单位离退休（款）机关事业单位基本养老保险缴费支出（项）：指部门实施养老保险制度由单位缴纳的养老保险费的支出</w:t>
      </w:r>
      <w:r>
        <w:rPr>
          <w:rFonts w:hint="eastAsia" w:hAnsi="Times New Roman" w:cs="Times New Roman"/>
          <w:b w:val="0"/>
          <w:bCs w:val="0"/>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（十</w:t>
      </w:r>
      <w:r>
        <w:rPr>
          <w:rFonts w:hint="default" w:ascii="仿宋" w:hAnsi="仿宋" w:eastAsia="仿宋" w:cs="Times New Roman"/>
          <w:bCs/>
          <w:kern w:val="0"/>
          <w:sz w:val="32"/>
          <w:szCs w:val="32"/>
          <w:lang w:val="en-US" w:eastAsia="zh-CN" w:bidi="ar-SA"/>
        </w:rPr>
        <w:t>）住房保障（类）住房改革支出（款）住房公积金（项）：指按照《住房公积金管理条例》的规定，由单位及其在职职工缴存的长期住房储金。</w:t>
      </w:r>
    </w:p>
    <w:p>
      <w:pPr>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十一</w:t>
      </w:r>
      <w:r>
        <w:rPr>
          <w:rFonts w:hint="eastAsia" w:ascii="仿宋_GB2312" w:eastAsia="仿宋_GB2312"/>
          <w:sz w:val="32"/>
          <w:szCs w:val="32"/>
          <w:lang w:eastAsia="zh-CN"/>
        </w:rPr>
        <w:t>）</w:t>
      </w:r>
      <w:r>
        <w:rPr>
          <w:rFonts w:hint="eastAsia" w:ascii="仿宋" w:hAnsi="仿宋" w:eastAsia="仿宋" w:cs="Times New Roman"/>
          <w:bCs/>
          <w:kern w:val="0"/>
          <w:sz w:val="32"/>
          <w:szCs w:val="32"/>
          <w:lang w:val="en-US" w:eastAsia="zh-CN" w:bidi="ar-SA"/>
        </w:rPr>
        <w:t>资源勘工业信息等支出（类）工业信息和产业监管（款）产业发展（项）：</w:t>
      </w:r>
      <w:r>
        <w:rPr>
          <w:rFonts w:hint="eastAsia" w:ascii="仿宋_GB2312" w:eastAsia="仿宋_GB2312"/>
          <w:sz w:val="32"/>
          <w:szCs w:val="32"/>
        </w:rPr>
        <w:t>指</w:t>
      </w:r>
      <w:r>
        <w:rPr>
          <w:rFonts w:hint="eastAsia" w:ascii="仿宋_GB2312" w:eastAsia="仿宋_GB2312"/>
          <w:sz w:val="32"/>
          <w:szCs w:val="32"/>
          <w:lang w:val="en-US" w:eastAsia="zh-CN"/>
        </w:rPr>
        <w:t>反映工业和信息化发展的支出</w:t>
      </w:r>
      <w:r>
        <w:rPr>
          <w:rFonts w:hint="eastAsia" w:ascii="仿宋_GB2312" w:eastAsia="仿宋_GB2312"/>
          <w:sz w:val="32"/>
          <w:szCs w:val="32"/>
        </w:rPr>
        <w:t>。</w:t>
      </w:r>
    </w:p>
    <w:p>
      <w:pPr>
        <w:pStyle w:val="6"/>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（十二）商业服务等支出（类）其他商业服务业等支出（款）其他商业服务业等支出（项）支出：指反映其他商业服务业中除了相关规定以外的其他商业服务业的支出。</w:t>
      </w:r>
    </w:p>
    <w:p>
      <w:pPr>
        <w:pStyle w:val="6"/>
        <w:ind w:firstLine="640" w:firstLineChars="200"/>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（十三）粮油物资储备支出（类）粮油物资事务（款）其他粮油物资事务支出（项）：指反映除了相关规定中列明的其他用于支持企业发展的粮油物资事务支出。</w:t>
      </w:r>
    </w:p>
    <w:p>
      <w:pPr>
        <w:pStyle w:val="6"/>
        <w:ind w:firstLine="640" w:firstLineChars="200"/>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（十四）其他支出（类）其他支出（款）其他支出（项）：指其他支出，只要是指金剑工业园区上缴耕地占用税的支出。</w:t>
      </w:r>
    </w:p>
    <w:p>
      <w:pPr>
        <w:ind w:firstLine="640" w:firstLineChars="200"/>
        <w:rPr>
          <w:rFonts w:ascii="仿宋_GB2312" w:eastAsia="仿宋_GB2312"/>
          <w:sz w:val="32"/>
          <w:szCs w:val="32"/>
        </w:rPr>
      </w:pPr>
      <w:r>
        <w:rPr>
          <w:rFonts w:hint="eastAsia" w:ascii="仿宋_GB2312" w:hAnsi="仿宋_GB2312" w:eastAsia="仿宋_GB2312" w:cs="仿宋_GB2312"/>
          <w:color w:val="auto"/>
          <w:sz w:val="32"/>
          <w:szCs w:val="32"/>
          <w:lang w:val="en-US" w:eastAsia="zh-CN"/>
        </w:rPr>
        <w:br w:type="page"/>
      </w:r>
    </w:p>
    <w:p>
      <w:pPr>
        <w:pStyle w:val="6"/>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（十五）城乡社区支出：主要是用于城市基础设施配套等建设支出。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十六</w:t>
      </w:r>
      <w:r>
        <w:rPr>
          <w:rFonts w:hint="default" w:ascii="仿宋" w:hAnsi="仿宋" w:eastAsia="仿宋" w:cs="Times New Roman"/>
          <w:bCs/>
          <w:kern w:val="0"/>
          <w:sz w:val="32"/>
          <w:szCs w:val="32"/>
          <w:lang w:val="en-US" w:eastAsia="zh-CN" w:bidi="ar-SA"/>
        </w:rPr>
        <w:t>）基本支出：指为保证机构正常运转，完成日常工作任务而发生的人员支出和公用支出。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w:t>
      </w:r>
      <w:r>
        <w:rPr>
          <w:rFonts w:hint="eastAsia" w:ascii="仿宋" w:hAnsi="仿宋" w:eastAsia="仿宋" w:cs="Times New Roman"/>
          <w:bCs/>
          <w:kern w:val="0"/>
          <w:sz w:val="32"/>
          <w:szCs w:val="32"/>
          <w:lang w:val="en-US" w:eastAsia="zh-CN" w:bidi="ar-SA"/>
        </w:rPr>
        <w:t>十七</w:t>
      </w:r>
      <w:r>
        <w:rPr>
          <w:rFonts w:hint="default" w:ascii="仿宋" w:hAnsi="仿宋" w:eastAsia="仿宋" w:cs="Times New Roman"/>
          <w:bCs/>
          <w:kern w:val="0"/>
          <w:sz w:val="32"/>
          <w:szCs w:val="32"/>
          <w:lang w:val="en-US" w:eastAsia="zh-CN" w:bidi="ar-SA"/>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（十八）</w:t>
      </w:r>
      <w:r>
        <w:rPr>
          <w:rFonts w:hint="default" w:ascii="仿宋" w:hAnsi="仿宋" w:eastAsia="仿宋" w:cs="Times New Roman"/>
          <w:bCs/>
          <w:kern w:val="0"/>
          <w:sz w:val="32"/>
          <w:szCs w:val="32"/>
          <w:lang w:val="en-US" w:eastAsia="zh-CN" w:bidi="ar-SA"/>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十九）机关运行经费：为保障行政单位（含参照公务员法管理的事业单位）运行用于购买货物和服务的各项资金，包括办公及印刷费、邮电费、差旅费、会议费、福利费、日常维修费、专用材料及一般设备购置费、办公用房水电费及其他费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 w:hAnsi="仿宋" w:eastAsia="仿宋" w:cs="Times New Roman"/>
          <w:bCs/>
          <w:kern w:val="0"/>
          <w:sz w:val="32"/>
          <w:szCs w:val="32"/>
          <w:lang w:val="en-US" w:eastAsia="zh-CN" w:bidi="ar-SA"/>
        </w:rPr>
        <w:t>（二十）政府性基金预算财政拨款收入：指市级财政政府性基金预算当年拨付的资金</w:t>
      </w:r>
      <w:r>
        <w:rPr>
          <w:rFonts w:hint="eastAsia" w:ascii="仿宋_GB2312" w:hAnsi="仿宋_GB2312" w:eastAsia="仿宋_GB2312" w:cs="仿宋_GB2312"/>
          <w:color w:val="auto"/>
          <w:sz w:val="32"/>
          <w:szCs w:val="32"/>
          <w:lang w:val="en-US" w:eastAsia="zh-CN"/>
        </w:rPr>
        <w:t>。</w:t>
      </w:r>
    </w:p>
    <w:p>
      <w:pPr>
        <w:spacing w:line="600" w:lineRule="exact"/>
        <w:jc w:val="center"/>
        <w:outlineLvl w:val="0"/>
        <w:rPr>
          <w:rFonts w:hint="eastAsia" w:ascii="黑体" w:hAnsi="黑体" w:eastAsia="黑体"/>
          <w:sz w:val="44"/>
          <w:szCs w:val="44"/>
        </w:rPr>
      </w:pPr>
      <w:bookmarkStart w:id="57" w:name="_Toc15396614"/>
      <w:bookmarkStart w:id="58" w:name="_Toc15377226"/>
    </w:p>
    <w:p>
      <w:pPr>
        <w:spacing w:line="600" w:lineRule="exact"/>
        <w:jc w:val="center"/>
        <w:outlineLvl w:val="0"/>
        <w:rPr>
          <w:rStyle w:val="30"/>
          <w:rFonts w:hint="eastAsia" w:ascii="黑体" w:hAnsi="黑体" w:eastAsia="黑体"/>
          <w:b w:val="0"/>
        </w:rPr>
      </w:pPr>
      <w:r>
        <w:rPr>
          <w:rFonts w:hint="eastAsia" w:ascii="黑体" w:hAnsi="黑体" w:eastAsia="黑体"/>
          <w:sz w:val="44"/>
          <w:szCs w:val="44"/>
        </w:rPr>
        <w:t>第</w:t>
      </w:r>
      <w:r>
        <w:rPr>
          <w:rStyle w:val="30"/>
          <w:rFonts w:hint="eastAsia" w:ascii="黑体" w:hAnsi="黑体" w:eastAsia="黑体"/>
          <w:b w:val="0"/>
        </w:rPr>
        <w:t>四部分 附件</w:t>
      </w:r>
      <w:bookmarkEnd w:id="57"/>
    </w:p>
    <w:p>
      <w:pPr>
        <w:spacing w:line="600" w:lineRule="exact"/>
        <w:jc w:val="both"/>
        <w:outlineLvl w:val="0"/>
        <w:rPr>
          <w:rFonts w:hint="eastAsia" w:eastAsia="宋体"/>
          <w:sz w:val="32"/>
          <w:szCs w:val="32"/>
          <w:lang w:val="en-US" w:eastAsia="zh-CN"/>
        </w:rPr>
      </w:pPr>
      <w:r>
        <w:rPr>
          <w:rFonts w:hint="eastAsia" w:hAnsi="宋体" w:cs="宋体"/>
          <w:sz w:val="32"/>
          <w:szCs w:val="32"/>
          <w:shd w:val="clear" w:color="auto" w:fill="FFFFFF"/>
          <w:lang w:val="zh-CN"/>
        </w:rPr>
        <w:t>附件</w:t>
      </w:r>
      <w:r>
        <w:rPr>
          <w:rFonts w:hint="eastAsia" w:hAnsi="宋体" w:cs="宋体"/>
          <w:sz w:val="32"/>
          <w:szCs w:val="32"/>
          <w:shd w:val="clear" w:color="auto" w:fill="FFFFFF"/>
          <w:lang w:val="en-US" w:eastAsia="zh-CN"/>
        </w:rPr>
        <w:t>1</w:t>
      </w:r>
    </w:p>
    <w:p>
      <w:pPr>
        <w:widowControl/>
        <w:tabs>
          <w:tab w:val="left" w:pos="373"/>
        </w:tabs>
        <w:spacing w:line="560" w:lineRule="exact"/>
        <w:ind w:firstLine="1928" w:firstLineChars="600"/>
        <w:contextualSpacing/>
        <w:jc w:val="both"/>
        <w:rPr>
          <w:rFonts w:hint="eastAsia" w:ascii="宋体" w:hAnsi="宋体" w:eastAsia="宋体"/>
          <w:b/>
          <w:sz w:val="32"/>
          <w:szCs w:val="32"/>
          <w:shd w:val="clear" w:color="auto" w:fill="FFFFFF"/>
          <w:lang w:eastAsia="zh-CN"/>
        </w:rPr>
      </w:pPr>
    </w:p>
    <w:p>
      <w:pPr>
        <w:widowControl/>
        <w:spacing w:line="560" w:lineRule="exact"/>
        <w:ind w:firstLine="1928" w:firstLineChars="600"/>
        <w:contextualSpacing/>
        <w:jc w:val="both"/>
        <w:rPr>
          <w:rFonts w:ascii="宋体" w:hAnsi="宋体"/>
          <w:b/>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年省级部门整体绩效评价报告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4"/>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（一）机构组成。</w:t>
      </w:r>
    </w:p>
    <w:p>
      <w:pPr>
        <w:pStyle w:val="6"/>
        <w:rPr>
          <w:rFonts w:hint="default" w:ascii="仿宋" w:hAnsi="仿宋" w:eastAsia="仿宋" w:cs="Times New Roman"/>
          <w:bCs/>
          <w:kern w:val="0"/>
          <w:sz w:val="32"/>
          <w:szCs w:val="32"/>
          <w:lang w:val="en-US" w:eastAsia="zh-CN" w:bidi="ar-SA"/>
        </w:rPr>
      </w:pPr>
      <w:r>
        <w:rPr>
          <w:rFonts w:hint="eastAsia" w:ascii="楷体_GB2312" w:hAnsi="楷体_GB2312" w:eastAsia="楷体_GB2312" w:cs="楷体_GB2312"/>
          <w:b/>
          <w:bCs/>
          <w:kern w:val="0"/>
          <w:sz w:val="32"/>
          <w:szCs w:val="32"/>
          <w:shd w:val="clear" w:color="auto" w:fill="FFFFFF"/>
          <w:lang w:val="en-US" w:eastAsia="zh-CN"/>
        </w:rPr>
        <w:t xml:space="preserve">   </w:t>
      </w:r>
      <w:r>
        <w:rPr>
          <w:rFonts w:hint="eastAsia" w:ascii="仿宋" w:hAnsi="仿宋" w:eastAsia="仿宋" w:cs="Times New Roman"/>
          <w:bCs/>
          <w:kern w:val="0"/>
          <w:sz w:val="32"/>
          <w:szCs w:val="32"/>
          <w:lang w:val="en-US" w:eastAsia="zh-CN" w:bidi="ar-SA"/>
        </w:rPr>
        <w:t>剑阁经开区管委会内设机构5个，分别是党政办公室(党群工作部)、规划建设办公室、经济发展服务办公室、项目推进办公室、应急管理办公室（信访维稳办公室）。</w:t>
      </w:r>
    </w:p>
    <w:p>
      <w:pPr>
        <w:widowControl/>
        <w:tabs>
          <w:tab w:val="center" w:pos="4153"/>
        </w:tabs>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r>
        <w:rPr>
          <w:rFonts w:hint="eastAsia" w:ascii="楷体_GB2312" w:hAnsi="楷体_GB2312" w:eastAsia="楷体_GB2312" w:cs="楷体_GB2312"/>
          <w:b/>
          <w:bCs/>
          <w:kern w:val="0"/>
          <w:sz w:val="32"/>
          <w:szCs w:val="32"/>
          <w:shd w:val="clear" w:color="auto" w:fill="FFFFFF"/>
          <w:lang w:val="zh-CN"/>
        </w:rPr>
        <w:tab/>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Times New Roman"/>
          <w:bCs/>
          <w:kern w:val="0"/>
          <w:sz w:val="32"/>
          <w:szCs w:val="32"/>
          <w:lang w:val="en-US" w:eastAsia="zh-CN" w:bidi="ar-SA"/>
        </w:rPr>
      </w:pPr>
      <w:r>
        <w:rPr>
          <w:rStyle w:val="19"/>
          <w:rFonts w:ascii="黑体" w:hAnsi="黑体" w:eastAsia="黑体" w:cs="黑体"/>
          <w:i w:val="0"/>
          <w:iCs w:val="0"/>
          <w:caps w:val="0"/>
          <w:color w:val="000000"/>
          <w:spacing w:val="0"/>
          <w:kern w:val="0"/>
          <w:sz w:val="21"/>
          <w:szCs w:val="21"/>
          <w:lang w:val="en-US" w:eastAsia="zh-CN" w:bidi="ar"/>
        </w:rPr>
        <w:t>（</w:t>
      </w:r>
      <w:r>
        <w:rPr>
          <w:rFonts w:hint="eastAsia" w:ascii="仿宋" w:hAnsi="仿宋" w:eastAsia="仿宋" w:cs="Times New Roman"/>
          <w:bCs/>
          <w:kern w:val="0"/>
          <w:sz w:val="32"/>
          <w:szCs w:val="32"/>
          <w:lang w:val="en-US" w:eastAsia="zh-CN" w:bidi="ar-SA"/>
        </w:rPr>
        <w:t>一）党政办公室（党群工作部）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w:t>
      </w:r>
      <w:r>
        <w:rPr>
          <w:rFonts w:hint="default" w:ascii="仿宋" w:hAnsi="仿宋" w:eastAsia="仿宋" w:cs="Times New Roman"/>
          <w:bCs/>
          <w:kern w:val="0"/>
          <w:sz w:val="32"/>
          <w:szCs w:val="32"/>
          <w:lang w:val="en-US" w:eastAsia="zh-CN" w:bidi="ar-SA"/>
        </w:rPr>
        <w:t>  </w:t>
      </w:r>
      <w:r>
        <w:rPr>
          <w:rFonts w:hint="eastAsia" w:ascii="仿宋" w:hAnsi="仿宋" w:eastAsia="仿宋" w:cs="Times New Roman"/>
          <w:bCs/>
          <w:kern w:val="0"/>
          <w:sz w:val="32"/>
          <w:szCs w:val="32"/>
          <w:lang w:val="en-US" w:eastAsia="zh-CN" w:bidi="ar-SA"/>
        </w:rPr>
        <w:t>负责有关公文处理、综合会议、秘书事务、目标管理、工作督办、公务接待、调研接待、外事服务、党政信息、政务公开、档案管理、史志编纂、机关效能、机要保密和通信收发等工作；负责书记签批件、外出调研安排事项、常委会议定事项等的追踪督办工作；负责机关国有资产管理、公共机构节能、财务管理及预决算执行工作；参与制定经开区有关规章制度和管理办法等；负责经开区基层组织建设、党风廉政建设、作风建设、意识形态及宣传思想、统一战线、精神文明建设、巡视（察）、乡村振兴、全面深化改革、机构编制、人事、人才、工会等工作；负责应急信息报送工作；负责机关内保、卫生管理及公务用车申报工作；负责人大代表建议和政协委员提案办理、落实总体国家安全观目标任务；负责双拥、退役军人事务、关心下一代、负责依法治县、法治宣传教育工作；负责协调经开区妇联、共青团、老龄、残联等群团组织工作；负责协调经开区与乡镇、县级各部门及其派出机构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（二）规划建设办公室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default" w:ascii="仿宋" w:hAnsi="仿宋" w:eastAsia="仿宋" w:cs="Times New Roman"/>
          <w:bCs/>
          <w:kern w:val="0"/>
          <w:sz w:val="32"/>
          <w:szCs w:val="32"/>
          <w:lang w:val="en-US" w:eastAsia="zh-CN" w:bidi="ar-SA"/>
        </w:rPr>
        <w:t>         </w:t>
      </w:r>
      <w:r>
        <w:rPr>
          <w:rFonts w:hint="eastAsia" w:ascii="仿宋" w:hAnsi="仿宋" w:eastAsia="仿宋" w:cs="Times New Roman"/>
          <w:bCs/>
          <w:kern w:val="0"/>
          <w:sz w:val="32"/>
          <w:szCs w:val="32"/>
          <w:lang w:val="en-US" w:eastAsia="zh-CN" w:bidi="ar-SA"/>
        </w:rPr>
        <w:t>负责园区内区域性城市发展规划的编制；负责做好园区内建设项目的规划、审核、报批；负责按县政府批准的总体规划、控制性详细规划组织实施经开区范围内的建设规划；负责审核经开区政府性投资项目的初步设计；负责合理利用经开区土地资源、矿产资源；负责经开区范围内规划建设、国土、水土、环境保护、安全生产、气象、地震、消防等与建设项目有关的报规报建工作；负责协助相关部门做好园区内基础设施及公共设施的建设、维护和管理等工作；负责违法建设查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（三）经济发展服务办公室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负责国家产业政策及产业投资项目的信息资料收集、整理、分析工作，编制和实施经开区经济社会发展规划和年度计划，研究制定和组织实施促进经开区产业发展的政策措施；负责经开区科技促进工作和高新技术的引进、开发、利用；负责园区提档升级工作；指导企业开展技术创新、技术改造、产业提升及项目资金争取工作，负责节能降耗、淘汰落后产能等工作；负责创新创业工作；负责经开区商务贸易管理服务工作；负责经开区内企业经济数据统计及宏观经济预测、监测和分析工作；负责协调融资和园区企业土地使用权抵押登记初核工作；负责指导、检查、监督企事业单位执行国家财经法规和财务会计制度的情况；负责内部审计及企业会计管理工作；负责协调税收工作；负责优化营商环境，改善投资环境，经委托授权为入驻经开区企业项目提供立项备案、工商登记、税务登记等手续的辅导、服务工作；负责为企业办理相关证照，提供咨询和服务；负责人园企业后期跟踪服务工作；负责协调园区企业供水、供电、供气、通讯、用工、道路等生产要素保障工作；负责协调处理园区内企业与企业、企业与单位（乡镇）之间的各项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（四）项目推进办公室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负责包装谋划开发区投资项目，制定项目建设计划和责任清单，做好项目储备工作；负责重点项目跟踪服务和督促检查；负责做好项目立项、环评手续、用地报批、项目开工、建设推进等工作；协调落实企业投资项目备案或核准工作；参与经开区内政府投资项目招投标监督、管理工作；参与入园建设项目的初审工作；负责经开区项目申报、跟踪和向上争取工作；负责审核经开区政府性投资项目可行性研究报告；落实固定资产投资及入库统计工作；协助相关县级部门及乡镇做好小区内建设涉及的征地、拆迁、安置和补偿等工作；加强和指导建设项目农民工工资管理；负责东西部协作相关工作；负责编制和实施经开区投资促进规划和招商引资政策；组织开展招商引资活动，完成县委、县政府下达的各项招商引资目标任务；负责招商项目的推介和信息发布，负责招商项目编制、策划、考察、评估、论证、筛选、储备、引进、备案等工作；参与入园招商项目的初审工作；负责对外开放、招商引资等对外宣传工作；负责经开区招商引资项目库的建立、管理工作；负责经开区招商协作数据的统计、分析和上报工作；负责跟踪督办、协调落实签约项目的资金到位、审批注册等工作；负责招商协议的履约和优惠政策的兑现；负责全县天然气资源勘探开发、综合利用有关事务的统一管理和服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（五）应急管理办公室（信访维稳办公室）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负责园区内企业环境保护、安全生产、消防安全、应急管理、防疫等日常管理工作；负责园区内地质灾害防治、防汛抗旱工作；负责经开区社会保障、就业促进、劳动用工维权、民族宗教、体育、民政、残疾人权益保护、社会管理综合治理、维护社会稳定、扫黑除恶、禁毒、职业健康、食品药品安全监督管理、法律援助、惠民帮扶、信访、群众、重大疾病防治、艾滋病防治、医疗卫生工作等社会事务工作；负责经开区范围内市容市貌、文明城市建设、爱国卫生及城乡环境综合治理工作；负责开展园区网格化环境监管，督促入园企业、项目环境保护设施与主体工程同时设计、同时施工、同时投入使用，加强重大环境风险单位的监管能力建设；负责“散乱污”治理，负责推进经开区循环经济、低碳经济及环保产业发展，协调做好污染减排工作；组织开展安全生产、环境保护宣传、教育、培训及服务工作；督促园区内生产经营单位落实安全生产主体责任，建立健全安全生产责任制、安全生产规章制度，完善实施岗位安全操作规程；协助开展安全生产、消防、环境保护执法工作；协助食品药品安全监管执法工作；负责网络舆情处置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截至2022年12月31日，剑阁经开区总编制31名，其中行政编制18名，参公编制0名，事业编制12名，工勤编制1名。在职人员总数29人，其中行政人员17人，参公人员0人，事业人员12人，工勤人员1人。</w:t>
      </w:r>
    </w:p>
    <w:p>
      <w:pPr>
        <w:widowControl/>
        <w:adjustRightInd w:val="0"/>
        <w:snapToGrid w:val="0"/>
        <w:spacing w:line="560" w:lineRule="exact"/>
        <w:ind w:firstLine="321" w:firstLineChars="1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（三）年度主要工作任务。</w:t>
      </w:r>
    </w:p>
    <w:p>
      <w:pPr>
        <w:pStyle w:val="6"/>
        <w:rPr>
          <w:rFonts w:hint="default" w:ascii="仿宋" w:hAnsi="仿宋" w:eastAsia="仿宋" w:cs="Times New Roman"/>
          <w:bCs/>
          <w:kern w:val="0"/>
          <w:sz w:val="32"/>
          <w:szCs w:val="32"/>
          <w:lang w:val="en-US" w:eastAsia="zh-CN" w:bidi="ar-SA"/>
        </w:rPr>
      </w:pPr>
      <w:r>
        <w:rPr>
          <w:rFonts w:hint="eastAsia"/>
          <w:lang w:val="en-US" w:eastAsia="zh-CN"/>
        </w:rPr>
        <w:t xml:space="preserve">    </w:t>
      </w:r>
      <w:r>
        <w:rPr>
          <w:rFonts w:hint="eastAsia" w:ascii="仿宋" w:hAnsi="仿宋" w:eastAsia="仿宋" w:cs="Times New Roman"/>
          <w:bCs/>
          <w:kern w:val="0"/>
          <w:sz w:val="32"/>
          <w:szCs w:val="32"/>
          <w:lang w:val="en-US" w:eastAsia="zh-CN" w:bidi="ar-SA"/>
        </w:rPr>
        <w:t>工业园区拓展完成工业增加值31.2亿元，园区基础配套设施建设完成园区总产值120亿元，固定资产投资完成固定资产投资22亿元，向上争取项目资金超过1亿元，招商引资完成招商引资签约25亿元，力争到位资金17.5亿元。</w:t>
      </w:r>
    </w:p>
    <w:p>
      <w:pPr>
        <w:widowControl/>
        <w:adjustRightInd w:val="0"/>
        <w:snapToGrid w:val="0"/>
        <w:spacing w:line="560" w:lineRule="exact"/>
        <w:ind w:firstLine="321" w:firstLineChars="1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（四）部门整体支出绩效目标。</w:t>
      </w:r>
    </w:p>
    <w:p>
      <w:pPr>
        <w:pStyle w:val="6"/>
        <w:ind w:firstLine="640" w:firstLineChars="200"/>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始终如一地加强党的建设，持续深入学习党的二十大精神，进一步巩固党史学习教育成果，认真贯彻落实县委“1233”执政兴县和工业富县战略，坚持“工业挑大梁，园区当先锋”，围绕“3+2”新型工业体系，突出“一园一主业，一园一特色”，统筹抓好“一区四园”建设发展和天然气资源开发利用服务工作，奋力拼搏，勇争一流，坚决打赢工业翻身仗，推进工业园区拓展，抓好园区基础设施建设。</w:t>
      </w:r>
    </w:p>
    <w:p>
      <w:pPr>
        <w:pStyle w:val="6"/>
        <w:rPr>
          <w:rFonts w:hint="default" w:eastAsia="仿宋_GB2312"/>
          <w:lang w:val="en-US" w:eastAsia="zh-CN"/>
        </w:rPr>
      </w:pP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spacing w:line="600" w:lineRule="exact"/>
        <w:ind w:firstLine="640" w:firstLineChars="200"/>
        <w:outlineLvl w:val="1"/>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w:t>
      </w:r>
      <w:r>
        <w:rPr>
          <w:rFonts w:hint="eastAsia" w:ascii="仿宋" w:hAnsi="仿宋" w:eastAsia="仿宋"/>
          <w:sz w:val="32"/>
          <w:szCs w:val="32"/>
          <w:lang w:val="en-US" w:eastAsia="zh-CN"/>
        </w:rPr>
        <w:t>年经开区</w:t>
      </w:r>
      <w:r>
        <w:rPr>
          <w:rFonts w:hint="eastAsia" w:ascii="仿宋_GB2312" w:hAnsi="仿宋_GB2312" w:eastAsia="仿宋_GB2312" w:cs="仿宋_GB2312"/>
          <w:kern w:val="0"/>
          <w:sz w:val="32"/>
          <w:szCs w:val="32"/>
          <w:shd w:val="clear" w:color="auto" w:fill="FFFFFF"/>
          <w:lang w:val="en-US" w:eastAsia="zh-CN"/>
        </w:rPr>
        <w:t>本年</w:t>
      </w:r>
      <w:r>
        <w:rPr>
          <w:rFonts w:hint="eastAsia" w:ascii="仿宋" w:hAnsi="仿宋" w:eastAsia="仿宋"/>
          <w:sz w:val="32"/>
          <w:szCs w:val="32"/>
        </w:rPr>
        <w:t>收入</w:t>
      </w:r>
      <w:r>
        <w:rPr>
          <w:rFonts w:hint="eastAsia" w:ascii="仿宋" w:hAnsi="仿宋" w:eastAsia="仿宋"/>
          <w:sz w:val="32"/>
          <w:szCs w:val="32"/>
          <w:lang w:val="en-US" w:eastAsia="zh-CN"/>
        </w:rPr>
        <w:t>20649.58万元，上年结转225.35万元</w:t>
      </w:r>
      <w:r>
        <w:rPr>
          <w:rFonts w:hint="eastAsia" w:ascii="仿宋" w:hAnsi="仿宋" w:eastAsia="仿宋"/>
          <w:sz w:val="32"/>
          <w:szCs w:val="32"/>
        </w:rPr>
        <w:t>，</w:t>
      </w:r>
      <w:r>
        <w:rPr>
          <w:rFonts w:hint="eastAsia" w:ascii="仿宋" w:hAnsi="仿宋" w:eastAsia="仿宋"/>
          <w:sz w:val="32"/>
          <w:szCs w:val="32"/>
          <w:lang w:val="en-US" w:eastAsia="zh-CN"/>
        </w:rPr>
        <w:t>总计20874.93万元，</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1424.12</w:t>
      </w:r>
      <w:r>
        <w:rPr>
          <w:rFonts w:hint="eastAsia" w:ascii="仿宋" w:hAnsi="仿宋" w:eastAsia="仿宋"/>
          <w:sz w:val="32"/>
          <w:szCs w:val="32"/>
        </w:rPr>
        <w:t>万元，占</w:t>
      </w:r>
      <w:r>
        <w:rPr>
          <w:rFonts w:hint="eastAsia" w:ascii="仿宋" w:hAnsi="仿宋" w:eastAsia="仿宋"/>
          <w:sz w:val="32"/>
          <w:szCs w:val="32"/>
          <w:lang w:val="en-US" w:eastAsia="zh-CN"/>
        </w:rPr>
        <w:t>6.82</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19450.81</w:t>
      </w:r>
      <w:r>
        <w:rPr>
          <w:rFonts w:hint="eastAsia" w:ascii="仿宋" w:hAnsi="仿宋" w:eastAsia="仿宋"/>
          <w:sz w:val="32"/>
          <w:szCs w:val="32"/>
        </w:rPr>
        <w:t>万元，占</w:t>
      </w:r>
      <w:r>
        <w:rPr>
          <w:rFonts w:hint="eastAsia" w:ascii="仿宋" w:hAnsi="仿宋" w:eastAsia="仿宋"/>
          <w:sz w:val="32"/>
          <w:szCs w:val="32"/>
          <w:lang w:val="en-US" w:eastAsia="zh-CN"/>
        </w:rPr>
        <w:t>93.18</w:t>
      </w:r>
      <w:r>
        <w:rPr>
          <w:rFonts w:ascii="仿宋" w:hAnsi="仿宋" w:eastAsia="仿宋"/>
          <w:sz w:val="32"/>
          <w:szCs w:val="32"/>
        </w:rPr>
        <w:t>%</w:t>
      </w:r>
      <w:r>
        <w:rPr>
          <w:rFonts w:hint="eastAsia" w:ascii="仿宋" w:hAnsi="仿宋" w:eastAsia="仿宋"/>
          <w:sz w:val="32"/>
          <w:szCs w:val="32"/>
          <w:lang w:eastAsia="zh-CN"/>
        </w:rPr>
        <w:t>。</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2.部门总体支出情况</w:t>
      </w:r>
    </w:p>
    <w:p>
      <w:pPr>
        <w:spacing w:line="600" w:lineRule="exact"/>
        <w:ind w:firstLine="640" w:firstLineChars="200"/>
        <w:outlineLvl w:val="1"/>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经开区2022年</w:t>
      </w:r>
      <w:r>
        <w:rPr>
          <w:rFonts w:hint="eastAsia" w:ascii="仿宋_GB2312" w:hAnsi="仿宋_GB2312" w:eastAsia="仿宋_GB2312" w:cs="仿宋_GB2312"/>
          <w:kern w:val="0"/>
          <w:sz w:val="32"/>
          <w:szCs w:val="32"/>
          <w:shd w:val="clear" w:color="auto" w:fill="FFFFFF"/>
        </w:rPr>
        <w:t>部门总体</w:t>
      </w:r>
      <w:r>
        <w:rPr>
          <w:rFonts w:hint="eastAsia" w:ascii="仿宋" w:hAnsi="仿宋" w:eastAsia="仿宋" w:cs="Times New Roman"/>
          <w:bCs/>
          <w:kern w:val="0"/>
          <w:sz w:val="32"/>
          <w:szCs w:val="32"/>
          <w:lang w:val="en-US" w:eastAsia="zh-CN" w:bidi="ar-SA"/>
        </w:rPr>
        <w:t xml:space="preserve">支出 </w:t>
      </w:r>
      <w:r>
        <w:rPr>
          <w:rFonts w:hint="eastAsia" w:ascii="仿宋" w:hAnsi="仿宋" w:eastAsia="仿宋"/>
          <w:sz w:val="32"/>
          <w:szCs w:val="32"/>
          <w:lang w:val="en-US" w:eastAsia="zh-CN"/>
        </w:rPr>
        <w:t>20874.93</w:t>
      </w:r>
      <w:r>
        <w:rPr>
          <w:rFonts w:hint="eastAsia" w:ascii="仿宋" w:hAnsi="仿宋" w:eastAsia="仿宋" w:cs="Times New Roman"/>
          <w:bCs/>
          <w:kern w:val="0"/>
          <w:sz w:val="32"/>
          <w:szCs w:val="32"/>
          <w:lang w:val="en-US" w:eastAsia="zh-CN" w:bidi="ar-SA"/>
        </w:rPr>
        <w:t>万元 。</w:t>
      </w:r>
      <w:r>
        <w:rPr>
          <w:rFonts w:hint="eastAsia" w:ascii="仿宋" w:hAnsi="仿宋" w:eastAsia="仿宋"/>
          <w:sz w:val="32"/>
          <w:szCs w:val="32"/>
        </w:rPr>
        <w:t>其中：基本支出</w:t>
      </w:r>
      <w:r>
        <w:rPr>
          <w:rFonts w:hint="eastAsia" w:ascii="仿宋" w:hAnsi="仿宋" w:eastAsia="仿宋"/>
          <w:sz w:val="32"/>
          <w:szCs w:val="32"/>
          <w:lang w:val="en-US" w:eastAsia="zh-CN"/>
        </w:rPr>
        <w:t>456.11</w:t>
      </w:r>
      <w:r>
        <w:rPr>
          <w:rFonts w:hint="eastAsia" w:ascii="仿宋" w:hAnsi="仿宋" w:eastAsia="仿宋"/>
          <w:sz w:val="32"/>
          <w:szCs w:val="32"/>
        </w:rPr>
        <w:t>万元，</w:t>
      </w:r>
      <w:r>
        <w:rPr>
          <w:rFonts w:hint="eastAsia" w:ascii="仿宋" w:hAnsi="仿宋" w:eastAsia="仿宋" w:cs="Times New Roman"/>
          <w:bCs/>
          <w:kern w:val="0"/>
          <w:sz w:val="32"/>
          <w:szCs w:val="32"/>
          <w:lang w:val="en-US" w:eastAsia="zh-CN" w:bidi="ar-SA"/>
        </w:rPr>
        <w:t>人员经费决算 385.68万元，（包括基本工资、津贴补贴（含绩效工资）、奖金、机关事业单位基本养老保险缴费、行政事业单位医疗保险、其他社会保障缴费、住房保障费）；日常公务支出费用70.43万元，是用于保障单位日常公务费用支出。（包括办公费、印刷费、水费，电费，邮电费，差旅费，维护费、会议费、培训费、公务接待费、工会费、福利费、其他商品和服务支出费）。项目支出20418.82万元。</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pStyle w:val="6"/>
        <w:ind w:firstLine="640" w:firstLineChars="200"/>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2022年经开区无结转结余资金。</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pStyle w:val="6"/>
        <w:ind w:firstLine="300" w:firstLineChars="100"/>
        <w:rPr>
          <w:rFonts w:hint="eastAsia" w:eastAsia="仿宋_GB2312"/>
          <w:lang w:val="en-US" w:eastAsia="zh-CN"/>
        </w:rPr>
      </w:pPr>
      <w:r>
        <w:rPr>
          <w:rFonts w:hint="eastAsia"/>
          <w:lang w:val="en-US" w:eastAsia="zh-CN"/>
        </w:rPr>
        <w:t xml:space="preserve"> </w:t>
      </w:r>
      <w:r>
        <w:rPr>
          <w:rFonts w:ascii="仿宋" w:hAnsi="仿宋" w:eastAsia="仿宋"/>
          <w:sz w:val="32"/>
          <w:szCs w:val="32"/>
        </w:rPr>
        <w:t>20</w:t>
      </w:r>
      <w:r>
        <w:rPr>
          <w:rFonts w:hint="eastAsia" w:ascii="仿宋" w:hAnsi="仿宋" w:eastAsia="仿宋"/>
          <w:sz w:val="32"/>
          <w:szCs w:val="32"/>
        </w:rPr>
        <w:t>22年</w:t>
      </w:r>
      <w:r>
        <w:rPr>
          <w:rFonts w:hint="eastAsia" w:ascii="仿宋_GB2312" w:hAnsi="仿宋_GB2312" w:eastAsia="仿宋_GB2312" w:cs="仿宋_GB2312"/>
          <w:kern w:val="0"/>
          <w:sz w:val="32"/>
          <w:szCs w:val="32"/>
          <w:shd w:val="clear" w:color="auto" w:fill="FFFFFF"/>
        </w:rPr>
        <w:t>部门财政拨款收入</w:t>
      </w:r>
      <w:r>
        <w:rPr>
          <w:rFonts w:hint="eastAsia" w:ascii="仿宋" w:hAnsi="仿宋" w:eastAsia="仿宋"/>
          <w:sz w:val="32"/>
          <w:szCs w:val="32"/>
        </w:rPr>
        <w:t>合计</w:t>
      </w:r>
      <w:r>
        <w:rPr>
          <w:rFonts w:hint="eastAsia" w:ascii="仿宋" w:hAnsi="仿宋" w:eastAsia="仿宋"/>
          <w:sz w:val="32"/>
          <w:szCs w:val="32"/>
          <w:lang w:val="en-US" w:eastAsia="zh-CN"/>
        </w:rPr>
        <w:t>20874.93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含上年结转225.35万元</w:t>
      </w:r>
      <w:r>
        <w:rPr>
          <w:rFonts w:hint="eastAsia" w:ascii="仿宋" w:hAnsi="仿宋" w:eastAsia="仿宋"/>
          <w:sz w:val="32"/>
          <w:szCs w:val="32"/>
          <w:lang w:eastAsia="zh-CN"/>
        </w:rPr>
        <w:t>）</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1424.12</w:t>
      </w:r>
      <w:r>
        <w:rPr>
          <w:rFonts w:hint="eastAsia" w:ascii="仿宋" w:hAnsi="仿宋" w:eastAsia="仿宋"/>
          <w:sz w:val="32"/>
          <w:szCs w:val="32"/>
        </w:rPr>
        <w:t>万元，占</w:t>
      </w:r>
      <w:r>
        <w:rPr>
          <w:rFonts w:hint="eastAsia" w:ascii="仿宋" w:hAnsi="仿宋" w:eastAsia="仿宋"/>
          <w:sz w:val="32"/>
          <w:szCs w:val="32"/>
          <w:lang w:val="en-US" w:eastAsia="zh-CN"/>
        </w:rPr>
        <w:t>6.82</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19450.81</w:t>
      </w:r>
      <w:r>
        <w:rPr>
          <w:rFonts w:hint="eastAsia" w:ascii="仿宋" w:hAnsi="仿宋" w:eastAsia="仿宋"/>
          <w:sz w:val="32"/>
          <w:szCs w:val="32"/>
        </w:rPr>
        <w:t>万元，占</w:t>
      </w:r>
      <w:r>
        <w:rPr>
          <w:rFonts w:hint="eastAsia" w:ascii="仿宋" w:hAnsi="仿宋" w:eastAsia="仿宋"/>
          <w:sz w:val="32"/>
          <w:szCs w:val="32"/>
          <w:lang w:val="en-US" w:eastAsia="zh-CN"/>
        </w:rPr>
        <w:t>93.18</w:t>
      </w:r>
      <w:r>
        <w:rPr>
          <w:rFonts w:ascii="仿宋" w:hAnsi="仿宋" w:eastAsia="仿宋"/>
          <w:sz w:val="32"/>
          <w:szCs w:val="32"/>
        </w:rPr>
        <w:t>%</w:t>
      </w:r>
      <w:r>
        <w:rPr>
          <w:rFonts w:hint="eastAsia" w:ascii="仿宋" w:hAnsi="仿宋" w:eastAsia="仿宋"/>
          <w:sz w:val="32"/>
          <w:szCs w:val="32"/>
          <w:lang w:eastAsia="zh-CN"/>
        </w:rPr>
        <w:t>。</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2.部门财政拨款支出情况</w:t>
      </w:r>
    </w:p>
    <w:p>
      <w:pPr>
        <w:spacing w:line="600" w:lineRule="exact"/>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2022年经开区部门财政拨款支出合计20874.93万元，一般公共预算财政拨款支出1424.12万元，主要用于以下方面：一般公共服务支出609.58万元，占42.8%；社会保障和就业支出40.6万元，占2.85%；住房保障支出23.96万元，占1.68%；九、卫生健康支出7.32万元，占0.51%；资源勘探工业信息等支出471.06万元，占33.08%；商业服务业等支出35万元，占2.46%；粮油物资储备支出56.14万元，</w:t>
      </w:r>
      <w:r>
        <w:rPr>
          <w:rFonts w:hint="eastAsia" w:ascii="仿宋" w:hAnsi="仿宋" w:eastAsia="仿宋"/>
          <w:sz w:val="32"/>
          <w:szCs w:val="32"/>
        </w:rPr>
        <w:t>占</w:t>
      </w:r>
      <w:r>
        <w:rPr>
          <w:rFonts w:hint="eastAsia" w:ascii="仿宋" w:hAnsi="仿宋" w:eastAsia="仿宋"/>
          <w:sz w:val="32"/>
          <w:szCs w:val="32"/>
          <w:lang w:val="en-US" w:eastAsia="zh-CN"/>
        </w:rPr>
        <w:t>3.94</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其他支出180.46万元</w:t>
      </w:r>
      <w:r>
        <w:rPr>
          <w:rFonts w:hint="eastAsia" w:ascii="仿宋" w:hAnsi="仿宋" w:eastAsia="仿宋"/>
          <w:sz w:val="32"/>
          <w:szCs w:val="32"/>
        </w:rPr>
        <w:t>占</w:t>
      </w:r>
      <w:r>
        <w:rPr>
          <w:rFonts w:hint="eastAsia" w:ascii="仿宋" w:hAnsi="仿宋" w:eastAsia="仿宋"/>
          <w:sz w:val="32"/>
          <w:szCs w:val="32"/>
          <w:lang w:val="en-US" w:eastAsia="zh-CN"/>
        </w:rPr>
        <w:t>12.68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政府性基金支出19450.81万元，主要用于金剑工业园区基础设施建设及对相关企业如德润通、剑门关木业等企业的补助。</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3.部门财政拨款结转结余情况</w:t>
      </w:r>
    </w:p>
    <w:p>
      <w:pPr>
        <w:pStyle w:val="6"/>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2022年经开区无结转结余资金。</w:t>
      </w:r>
    </w:p>
    <w:p>
      <w:pPr>
        <w:widowControl/>
        <w:adjustRightInd w:val="0"/>
        <w:snapToGrid w:val="0"/>
        <w:spacing w:line="560" w:lineRule="exact"/>
        <w:ind w:firstLine="320" w:firstLineChars="1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lang w:val="zh-CN" w:eastAsia="zh-CN"/>
        </w:rPr>
        <w:t>人员类项目保障职工工资待遇及五险一金正常发放，促进机关职能运转。我单位</w:t>
      </w:r>
      <w:r>
        <w:rPr>
          <w:rFonts w:hint="eastAsia" w:ascii="仿宋_GB2312" w:hAnsi="仿宋" w:eastAsia="仿宋_GB2312"/>
          <w:color w:val="000000"/>
          <w:sz w:val="32"/>
          <w:szCs w:val="32"/>
          <w:lang w:val="en-US" w:eastAsia="zh-CN"/>
        </w:rPr>
        <w:t>2022年人员类项目预算</w:t>
      </w:r>
      <w:r>
        <w:rPr>
          <w:rFonts w:hint="eastAsia" w:ascii="仿宋" w:hAnsi="仿宋" w:eastAsia="仿宋" w:cs="Times New Roman"/>
          <w:bCs/>
          <w:kern w:val="0"/>
          <w:sz w:val="32"/>
          <w:szCs w:val="32"/>
          <w:lang w:val="en-US" w:eastAsia="zh-CN" w:bidi="ar-SA"/>
        </w:rPr>
        <w:t>385.68</w:t>
      </w:r>
      <w:r>
        <w:rPr>
          <w:rFonts w:hint="eastAsia" w:ascii="仿宋_GB2312" w:hAnsi="仿宋" w:eastAsia="仿宋_GB2312"/>
          <w:color w:val="000000"/>
          <w:sz w:val="32"/>
          <w:szCs w:val="32"/>
          <w:lang w:val="en-US" w:eastAsia="zh-CN"/>
        </w:rPr>
        <w:t>万元，实际支付</w:t>
      </w:r>
      <w:r>
        <w:rPr>
          <w:rFonts w:hint="eastAsia" w:ascii="仿宋" w:hAnsi="仿宋" w:eastAsia="仿宋" w:cs="Times New Roman"/>
          <w:bCs/>
          <w:kern w:val="0"/>
          <w:sz w:val="32"/>
          <w:szCs w:val="32"/>
          <w:lang w:val="en-US" w:eastAsia="zh-CN" w:bidi="ar-SA"/>
        </w:rPr>
        <w:t>385.68</w:t>
      </w:r>
      <w:r>
        <w:rPr>
          <w:rFonts w:hint="eastAsia" w:ascii="仿宋_GB2312" w:hAnsi="仿宋" w:eastAsia="仿宋_GB2312"/>
          <w:color w:val="000000"/>
          <w:sz w:val="32"/>
          <w:szCs w:val="32"/>
          <w:lang w:val="en-US" w:eastAsia="zh-CN"/>
        </w:rPr>
        <w:t>万元，资金执行100%，执行情况较好。</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 w:cs="Times New Roman"/>
          <w:sz w:val="32"/>
          <w:szCs w:val="32"/>
          <w:highlight w:val="none"/>
          <w:lang w:val="en-US" w:eastAsia="zh-CN"/>
        </w:rPr>
      </w:pPr>
      <w:r>
        <w:rPr>
          <w:rFonts w:hint="eastAsia" w:ascii="仿宋_GB2312" w:hAnsi="仿宋" w:eastAsia="仿宋_GB2312"/>
          <w:color w:val="000000"/>
          <w:sz w:val="32"/>
          <w:szCs w:val="32"/>
          <w:lang w:val="zh-CN" w:eastAsia="zh-CN"/>
        </w:rPr>
        <w:t>运转类项目保障机关运转，日常水电气、办公费、差旅费等开销。我单位</w:t>
      </w:r>
      <w:r>
        <w:rPr>
          <w:rFonts w:hint="eastAsia" w:ascii="仿宋_GB2312" w:hAnsi="仿宋" w:eastAsia="仿宋_GB2312"/>
          <w:color w:val="000000"/>
          <w:sz w:val="32"/>
          <w:szCs w:val="32"/>
          <w:lang w:val="en-US" w:eastAsia="zh-CN"/>
        </w:rPr>
        <w:t>2022年运转类项目预算70.43万元，实际支付70.43万元，资金执行率100%，机关日常事务运转得到充分保障，预算执行情况较好。</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 w:eastAsia="仿宋_GB2312"/>
          <w:color w:val="000000"/>
          <w:sz w:val="32"/>
          <w:szCs w:val="32"/>
          <w:lang w:val="en-US" w:eastAsia="zh-CN"/>
        </w:rPr>
        <w:t>特定目标类</w:t>
      </w:r>
      <w:r>
        <w:rPr>
          <w:rFonts w:hint="eastAsia" w:ascii="仿宋_GB2312" w:hAnsi="仿宋" w:eastAsia="仿宋_GB2312"/>
          <w:color w:val="000000"/>
          <w:sz w:val="32"/>
          <w:szCs w:val="32"/>
          <w:lang w:val="zh-CN" w:eastAsia="zh-CN"/>
        </w:rPr>
        <w:t>项目用于</w:t>
      </w:r>
      <w:r>
        <w:rPr>
          <w:rFonts w:hint="eastAsia" w:ascii="仿宋_GB2312" w:hAnsi="仿宋" w:eastAsia="仿宋_GB2312"/>
          <w:color w:val="000000"/>
          <w:sz w:val="32"/>
          <w:szCs w:val="32"/>
          <w:lang w:val="en-US" w:eastAsia="zh-CN"/>
        </w:rPr>
        <w:t>招商经费</w:t>
      </w:r>
      <w:r>
        <w:rPr>
          <w:rFonts w:hint="eastAsia" w:ascii="仿宋_GB2312" w:hAnsi="仿宋" w:eastAsia="仿宋_GB2312"/>
          <w:color w:val="000000"/>
          <w:sz w:val="32"/>
          <w:szCs w:val="32"/>
          <w:lang w:val="zh-CN" w:eastAsia="zh-CN"/>
        </w:rPr>
        <w:t>支出，</w:t>
      </w:r>
      <w:r>
        <w:rPr>
          <w:rFonts w:hint="eastAsia" w:ascii="仿宋_GB2312" w:hAnsi="仿宋" w:eastAsia="仿宋_GB2312"/>
          <w:color w:val="000000"/>
          <w:sz w:val="32"/>
          <w:szCs w:val="32"/>
          <w:lang w:val="en-US" w:eastAsia="zh-CN"/>
        </w:rPr>
        <w:t>给企业的补助</w:t>
      </w:r>
      <w:r>
        <w:rPr>
          <w:rFonts w:hint="eastAsia" w:ascii="仿宋_GB2312" w:hAnsi="仿宋" w:eastAsia="仿宋_GB2312"/>
          <w:color w:val="000000"/>
          <w:sz w:val="32"/>
          <w:szCs w:val="32"/>
          <w:lang w:val="zh-CN" w:eastAsia="zh-CN"/>
        </w:rPr>
        <w:t>及其他项目支出。我单位</w:t>
      </w:r>
      <w:r>
        <w:rPr>
          <w:rFonts w:hint="eastAsia" w:ascii="仿宋_GB2312" w:hAnsi="仿宋" w:eastAsia="仿宋_GB2312"/>
          <w:color w:val="000000"/>
          <w:sz w:val="32"/>
          <w:szCs w:val="32"/>
          <w:lang w:val="en-US" w:eastAsia="zh-CN"/>
        </w:rPr>
        <w:t>2022年特定目标类项目预算</w:t>
      </w:r>
      <w:r>
        <w:rPr>
          <w:rFonts w:hint="eastAsia" w:ascii="仿宋" w:hAnsi="仿宋" w:eastAsia="仿宋"/>
          <w:sz w:val="32"/>
          <w:szCs w:val="32"/>
          <w:lang w:val="en-US" w:eastAsia="zh-CN"/>
        </w:rPr>
        <w:t>19450.81</w:t>
      </w:r>
      <w:r>
        <w:rPr>
          <w:rFonts w:hint="eastAsia" w:ascii="仿宋_GB2312" w:hAnsi="仿宋" w:eastAsia="仿宋_GB2312"/>
          <w:color w:val="000000"/>
          <w:sz w:val="32"/>
          <w:szCs w:val="32"/>
          <w:lang w:val="en-US" w:eastAsia="zh-CN"/>
        </w:rPr>
        <w:t>万元，实际支付</w:t>
      </w:r>
      <w:r>
        <w:rPr>
          <w:rFonts w:hint="eastAsia" w:ascii="仿宋" w:hAnsi="仿宋" w:eastAsia="仿宋"/>
          <w:sz w:val="32"/>
          <w:szCs w:val="32"/>
          <w:lang w:val="en-US" w:eastAsia="zh-CN"/>
        </w:rPr>
        <w:t>19450.81</w:t>
      </w:r>
      <w:r>
        <w:rPr>
          <w:rFonts w:hint="eastAsia" w:ascii="仿宋_GB2312" w:hAnsi="仿宋" w:eastAsia="仿宋_GB2312"/>
          <w:color w:val="000000"/>
          <w:sz w:val="32"/>
          <w:szCs w:val="32"/>
          <w:lang w:val="en-US" w:eastAsia="zh-CN"/>
        </w:rPr>
        <w:t>万元，资金执行率100 %，执行情况较好。</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spacing w:line="540" w:lineRule="atLeas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剑阁经开区管委会</w:t>
      </w:r>
      <w:r>
        <w:rPr>
          <w:rFonts w:hint="eastAsia" w:ascii="仿宋_GB2312" w:hAnsi="仿宋_GB2312" w:eastAsia="仿宋_GB2312" w:cs="仿宋_GB2312"/>
          <w:color w:val="000000"/>
          <w:kern w:val="0"/>
          <w:sz w:val="32"/>
          <w:szCs w:val="32"/>
        </w:rPr>
        <w:t>及时组织财务人员进行预决算的编制，对本年度相应用款进行及时清理和处理，做到账账相符、账实相符、账证相符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先有预算再有支出的原则，及时处理相关事务；对绩效目标进行季度梳理和年度分析，及时上报相关报表；对专项预算提前细化，分科目上报，做到收支平衡。预算动态调整及时、执行及时，预算完成情况良好，无违规记录。</w:t>
      </w:r>
    </w:p>
    <w:p>
      <w:pPr>
        <w:widowControl/>
        <w:adjustRightInd w:val="0"/>
        <w:snapToGrid w:val="0"/>
        <w:spacing w:line="560" w:lineRule="exact"/>
        <w:ind w:firstLine="640" w:firstLineChars="200"/>
        <w:contextualSpacing/>
        <w:jc w:val="left"/>
        <w:rPr>
          <w:rFonts w:ascii="楷体_GB2312" w:hAnsi="楷体_GB2312" w:eastAsia="楷体_GB2312" w:cs="楷体_GB2312"/>
          <w:b/>
          <w:bCs/>
          <w:kern w:val="0"/>
          <w:sz w:val="32"/>
          <w:szCs w:val="32"/>
          <w:shd w:val="clear" w:color="auto" w:fill="FFFFFF"/>
          <w:lang w:val="zh-CN"/>
        </w:rPr>
      </w:pPr>
      <w:bookmarkStart w:id="59" w:name="_Toc27360"/>
      <w:bookmarkStart w:id="60" w:name="_Toc5349"/>
      <w:r>
        <w:rPr>
          <w:rFonts w:hint="eastAsia" w:ascii="仿宋_GB2312" w:hAnsi="仿宋_GB2312" w:eastAsia="仿宋_GB2312" w:cs="仿宋_GB2312"/>
          <w:color w:val="000000"/>
          <w:kern w:val="0"/>
          <w:sz w:val="32"/>
          <w:szCs w:val="32"/>
        </w:rPr>
        <w:t>预期编制：</w:t>
      </w:r>
      <w:r>
        <w:rPr>
          <w:rFonts w:hint="eastAsia" w:ascii="仿宋_GB2312" w:hAnsi="仿宋_GB2312" w:eastAsia="仿宋_GB2312" w:cs="仿宋_GB2312"/>
          <w:color w:val="000000"/>
          <w:kern w:val="0"/>
          <w:sz w:val="32"/>
          <w:szCs w:val="32"/>
          <w:lang w:val="en-US" w:eastAsia="zh-CN"/>
        </w:rPr>
        <w:t>剑阁经开区管委会</w:t>
      </w:r>
      <w:r>
        <w:rPr>
          <w:rFonts w:hint="eastAsia" w:ascii="仿宋_GB2312" w:hAnsi="仿宋_GB2312" w:eastAsia="仿宋_GB2312" w:cs="仿宋_GB2312"/>
          <w:color w:val="000000"/>
          <w:kern w:val="0"/>
          <w:sz w:val="32"/>
          <w:szCs w:val="32"/>
        </w:rPr>
        <w:t>对202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年部门支出进行预算：</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年本年收入合计</w:t>
      </w:r>
      <w:r>
        <w:rPr>
          <w:rFonts w:hint="eastAsia" w:ascii="仿宋" w:hAnsi="仿宋" w:eastAsia="仿宋"/>
          <w:sz w:val="32"/>
          <w:szCs w:val="32"/>
          <w:lang w:val="en-US" w:eastAsia="zh-CN"/>
        </w:rPr>
        <w:t>20874.93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含上年结转225.35万元</w:t>
      </w:r>
      <w:r>
        <w:rPr>
          <w:rFonts w:hint="eastAsia" w:ascii="仿宋" w:hAnsi="仿宋" w:eastAsia="仿宋"/>
          <w:sz w:val="32"/>
          <w:szCs w:val="32"/>
          <w:lang w:eastAsia="zh-CN"/>
        </w:rPr>
        <w:t>）</w:t>
      </w:r>
      <w:r>
        <w:rPr>
          <w:rFonts w:hint="eastAsia" w:ascii="仿宋_GB2312" w:hAnsi="仿宋_GB2312" w:eastAsia="仿宋_GB2312" w:cs="仿宋_GB2312"/>
          <w:color w:val="000000"/>
          <w:sz w:val="32"/>
          <w:szCs w:val="32"/>
        </w:rPr>
        <w:t>，其中：一般公共预算财政拨款收入</w:t>
      </w:r>
      <w:r>
        <w:rPr>
          <w:rFonts w:hint="eastAsia" w:ascii="仿宋" w:hAnsi="仿宋" w:eastAsia="仿宋"/>
          <w:sz w:val="32"/>
          <w:szCs w:val="32"/>
          <w:lang w:val="en-US" w:eastAsia="zh-CN"/>
        </w:rPr>
        <w:t>1424.12</w:t>
      </w:r>
      <w:r>
        <w:rPr>
          <w:rFonts w:hint="eastAsia" w:ascii="仿宋_GB2312" w:hAnsi="仿宋_GB2312" w:eastAsia="仿宋_GB2312" w:cs="仿宋_GB2312"/>
          <w:color w:val="000000"/>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6.82</w:t>
      </w:r>
      <w:r>
        <w:rPr>
          <w:rFonts w:ascii="仿宋" w:hAnsi="仿宋" w:eastAsia="仿宋"/>
          <w:sz w:val="32"/>
          <w:szCs w:val="32"/>
        </w:rPr>
        <w:t>%</w:t>
      </w:r>
      <w:r>
        <w:rPr>
          <w:rFonts w:hint="eastAsia" w:ascii="仿宋_GB2312" w:hAnsi="仿宋_GB2312" w:eastAsia="仿宋_GB2312" w:cs="仿宋_GB2312"/>
          <w:color w:val="000000"/>
          <w:sz w:val="32"/>
          <w:szCs w:val="32"/>
        </w:rPr>
        <w:t>；政府性基金预算财政拨款收入</w:t>
      </w:r>
      <w:r>
        <w:rPr>
          <w:rFonts w:hint="eastAsia" w:ascii="仿宋" w:hAnsi="仿宋" w:eastAsia="仿宋"/>
          <w:sz w:val="32"/>
          <w:szCs w:val="32"/>
          <w:lang w:val="en-US" w:eastAsia="zh-CN"/>
        </w:rPr>
        <w:t>19450.81</w:t>
      </w:r>
      <w:r>
        <w:rPr>
          <w:rFonts w:hint="eastAsia" w:ascii="仿宋" w:hAnsi="仿宋" w:eastAsia="仿宋"/>
          <w:sz w:val="32"/>
          <w:szCs w:val="32"/>
        </w:rPr>
        <w:t>万元，占</w:t>
      </w:r>
      <w:r>
        <w:rPr>
          <w:rFonts w:hint="eastAsia" w:ascii="仿宋" w:hAnsi="仿宋" w:eastAsia="仿宋"/>
          <w:sz w:val="32"/>
          <w:szCs w:val="32"/>
          <w:lang w:val="en-US" w:eastAsia="zh-CN"/>
        </w:rPr>
        <w:t>93.18</w:t>
      </w:r>
      <w:r>
        <w:rPr>
          <w:rFonts w:ascii="仿宋" w:hAnsi="仿宋" w:eastAsia="仿宋"/>
          <w:sz w:val="32"/>
          <w:szCs w:val="32"/>
        </w:rPr>
        <w:t>%</w:t>
      </w:r>
      <w:r>
        <w:rPr>
          <w:rFonts w:hint="eastAsia" w:ascii="仿宋_GB2312" w:hAnsi="仿宋_GB2312" w:eastAsia="仿宋_GB2312" w:cs="仿宋_GB2312"/>
          <w:color w:val="000000"/>
          <w:sz w:val="32"/>
          <w:szCs w:val="32"/>
        </w:rPr>
        <w:t>；上级补助收入0万元；事业收入0万元；经营收入0万元；附属单位上缴收入0万元；其他收入0万元。</w:t>
      </w:r>
      <w:bookmarkEnd w:id="59"/>
      <w:bookmarkEnd w:id="60"/>
      <w:r>
        <w:rPr>
          <w:rFonts w:hint="eastAsia" w:ascii="楷体_GB2312" w:hAnsi="楷体_GB2312" w:eastAsia="楷体_GB2312" w:cs="楷体_GB2312"/>
          <w:b/>
          <w:bCs/>
          <w:kern w:val="0"/>
          <w:sz w:val="32"/>
          <w:szCs w:val="32"/>
          <w:shd w:val="clear" w:color="auto" w:fill="FFFFFF"/>
          <w:lang w:val="zh-CN"/>
        </w:rPr>
        <w:t>（三）结果应用情况。</w:t>
      </w:r>
    </w:p>
    <w:p>
      <w:pPr>
        <w:pStyle w:val="15"/>
        <w:shd w:val="clear" w:color="auto" w:fill="FFFFFF"/>
        <w:spacing w:before="0" w:beforeAutospacing="0" w:after="0" w:afterAutospacing="0" w:line="600" w:lineRule="exact"/>
        <w:ind w:firstLine="640" w:firstLineChars="200"/>
        <w:jc w:val="both"/>
        <w:rPr>
          <w:rFonts w:ascii="仿宋" w:hAnsi="仿宋" w:eastAsia="仿宋" w:cs="仿宋"/>
          <w:color w:val="333333"/>
          <w:sz w:val="32"/>
          <w:szCs w:val="32"/>
          <w:shd w:val="clear" w:color="auto" w:fill="FFFFFF"/>
        </w:rPr>
      </w:pPr>
      <w:r>
        <w:rPr>
          <w:rFonts w:hint="eastAsia" w:ascii="仿宋_GB2312" w:hAnsi="仿宋_GB2312" w:eastAsia="仿宋_GB2312" w:cs="仿宋_GB2312"/>
          <w:sz w:val="32"/>
          <w:szCs w:val="32"/>
        </w:rPr>
        <w:t>通过对本部门202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年部门整体支出绩效自评，能够严格执行预算管理，达到了预期目的，通过对部门整体支出绩效的自评，有利于更好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加强对202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年部门整体支出的管理，合理分配各项支出，保障了重点工作的开展。</w:t>
      </w:r>
    </w:p>
    <w:p>
      <w:pPr>
        <w:widowControl/>
        <w:adjustRightInd w:val="0"/>
        <w:snapToGrid w:val="0"/>
        <w:spacing w:line="560" w:lineRule="exact"/>
        <w:contextualSpacing/>
        <w:jc w:val="left"/>
        <w:rPr>
          <w:rFonts w:ascii="仿宋_GB2312" w:hAnsi="仿宋_GB2312" w:eastAsia="仿宋_GB2312" w:cs="仿宋_GB2312"/>
          <w:kern w:val="0"/>
          <w:sz w:val="32"/>
          <w:szCs w:val="32"/>
          <w:shd w:val="clear" w:color="auto" w:fill="FFFFFF"/>
        </w:rPr>
      </w:pP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keepNext w:val="0"/>
        <w:keepLines w:val="0"/>
        <w:pageBreakBefore w:val="0"/>
        <w:kinsoku/>
        <w:wordWrap/>
        <w:overflowPunct/>
        <w:topLinePunct w:val="0"/>
        <w:autoSpaceDN/>
        <w:bidi w:val="0"/>
        <w:spacing w:afterAutospacing="0" w:line="600" w:lineRule="exact"/>
        <w:ind w:firstLine="640" w:firstLineChars="200"/>
        <w:jc w:val="both"/>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综上所述，通过绩效自评，2022年整体支出政策依据充分，目标制定明确；按照计划有序实施，资金到位及时，经费使用严格按照相关财务管理制度执行，对资金的使用监管有力有效。整个支出实施达到了预期的绩效目标。 </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keepNext w:val="0"/>
        <w:keepLines w:val="0"/>
        <w:pageBreakBefore w:val="0"/>
        <w:kinsoku/>
        <w:wordWrap/>
        <w:overflowPunct/>
        <w:topLinePunct w:val="0"/>
        <w:autoSpaceDE w:val="0"/>
        <w:autoSpaceDN/>
        <w:bidi w:val="0"/>
        <w:adjustRightInd w:val="0"/>
        <w:snapToGrid w:val="0"/>
        <w:spacing w:afterAutospacing="0" w:line="600" w:lineRule="exact"/>
        <w:ind w:firstLine="640" w:firstLineChars="200"/>
        <w:contextualSpacing/>
        <w:jc w:val="both"/>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根据绩效评价工作要求，我单位成立了自评工作领导小组，对自评工作进行了认真研究和部署，使自评工作得以顺利开展，并取得了较好的效果。存在问题主要是对定性指标的评议上，由于采取问卷形式的自评，以及部分参与评价人员对指标不熟悉，不能客观地对本部门的支出绩效进行评价。</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一是加大对财务人员的培训力度，夯实财务理论基础，提高业务水平，提高工作效率；二是加大经费投入，提高预算基数，按申报项目资金有效预算；三是厉行勤俭节约，坚决执行中央八项规定，切实加强“三公”经费的管理，确保单位“三公”经费只减不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今后，在编制预算中，进一步重视预算的编制工作，提高预算编制的精确度；在预算执行中，严格遵循“先有预算、后有支出”的原则，认真执行各项资金使用管理制度，确保各项支出合法、真实，有效提升工作绩效。</w:t>
      </w:r>
    </w:p>
    <w:tbl>
      <w:tblPr>
        <w:tblStyle w:val="17"/>
        <w:tblpPr w:leftFromText="180" w:rightFromText="180" w:vertAnchor="text" w:horzAnchor="page" w:tblpX="932" w:tblpY="523"/>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7"/>
        <w:gridCol w:w="498"/>
        <w:gridCol w:w="1386"/>
        <w:gridCol w:w="1653"/>
        <w:gridCol w:w="1298"/>
        <w:gridCol w:w="1716"/>
        <w:gridCol w:w="984"/>
        <w:gridCol w:w="1335"/>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51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780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四川剑阁经济开发区管理委员会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35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6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6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3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园区拓展完成工业增加值31.2亿元，园区基础配套设施建设完成园区总产值120亿元，固定资产投资完成固定资产投资22亿元，向上争取项目资金超过1亿元，招商引资完成招商引资签约25亿元，力争到位资金17.5亿元。</w:t>
            </w:r>
          </w:p>
        </w:tc>
        <w:tc>
          <w:tcPr>
            <w:tcW w:w="61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谋划、推动招商项目10余个，签约资金57.1亿元，到位资金2.8亿元。实现工业总产值35.7亿元，其中规上工业总产值33.5亿元。预计实现规上工业增加值8.71亿元，完成投资4.77亿元，完成固定资产投资6.16亿元。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29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20874.93</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20874.93</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8"/>
                <w:lang w:val="en-US" w:eastAsia="zh-CN" w:bidi="ar"/>
              </w:rPr>
              <w:t xml:space="preserve"> 其中：财政拨款</w:t>
            </w:r>
          </w:p>
        </w:tc>
        <w:tc>
          <w:tcPr>
            <w:tcW w:w="29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20874.93</w:t>
            </w: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20874.93</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9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53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615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5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始终如一加强党的政治建设，持续深入学习党的十九届六中全会和党的</w:t>
            </w:r>
            <w:bookmarkStart w:id="75" w:name="_GoBack"/>
            <w:bookmarkEnd w:id="75"/>
            <w:r>
              <w:rPr>
                <w:rFonts w:hint="eastAsia" w:ascii="宋体" w:hAnsi="宋体" w:eastAsia="宋体" w:cs="宋体"/>
                <w:i w:val="0"/>
                <w:iCs w:val="0"/>
                <w:color w:val="000000"/>
                <w:kern w:val="0"/>
                <w:sz w:val="12"/>
                <w:szCs w:val="12"/>
                <w:u w:val="none"/>
                <w:lang w:val="en-US" w:eastAsia="zh-CN" w:bidi="ar"/>
              </w:rPr>
              <w:t>二十大精神，进一步巩固党史学习教育成果，认真贯彻县委“1233”执政兴县和“工业富县”战略，坚持“工业挑大梁、园区当先锋”，围绕“3+2”新型工业体系，突出“一园一主业、一园一特色”，统筹抓好“一区四园”建设发展和天然气资源开发利用服务工作，奋力拼搏，勇争一流，坚决打赢工业发展翻身仗。推进工业园区拓展，抓好园区基础配套设施建设。</w:t>
            </w:r>
          </w:p>
        </w:tc>
        <w:tc>
          <w:tcPr>
            <w:tcW w:w="61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始终如一加强党的政治建设，持续深入学习党的十九届六中全会和党的二十大精神，进一步巩固党史学习教育成果，认真贯彻县委“1233”执政兴县和“工业富县”战略，坚持“工业挑大梁、园区当先锋”，围绕“3+2”新型工业体系，突出“一园一主业、一园一特色”，统筹抓好“一区四园”建设发展和天然气资源开发利用服务工作，奋力拼搏，勇争一流，坚决打赢工业发展翻身仗。推进工业园区拓展，抓好园区基础配套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71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完成工业增加值</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≥31.2亿元</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8.71亿</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完成固定资产投资</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≥22亿元</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完成园区总产值</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≥120亿元</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35.8亿</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完成招商引资签约</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≥25亿元</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57.1亿元</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推进省、市、县重点项目</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保障各项工作正常开展</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定性优良中低差</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完成园区总产值</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≥120亿元</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稳定就业</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促进当地经济发展</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长期</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各园区企业≥95%</w:t>
            </w: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bl>
    <w:p>
      <w:pPr>
        <w:pStyle w:val="6"/>
        <w:rPr>
          <w:lang w:val="zh-CN"/>
        </w:rPr>
      </w:pPr>
    </w:p>
    <w:p>
      <w:pPr>
        <w:pStyle w:val="6"/>
        <w:spacing w:before="93"/>
        <w:rPr>
          <w:rFonts w:hAnsi="宋体" w:cs="宋体"/>
          <w:sz w:val="32"/>
          <w:szCs w:val="32"/>
          <w:shd w:val="clear" w:color="auto" w:fill="FFFFFF"/>
          <w:lang w:val="zh-CN"/>
        </w:rPr>
      </w:pPr>
    </w:p>
    <w:p>
      <w:pPr>
        <w:pStyle w:val="6"/>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36"/>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w:t>
      </w:r>
      <w:r>
        <w:rPr>
          <w:rFonts w:hint="eastAsia" w:ascii="方正小标宋简体" w:hAnsi="方正小标宋简体" w:eastAsia="方正小标宋简体" w:cs="方正小标宋简体"/>
          <w:color w:val="auto"/>
          <w:kern w:val="2"/>
          <w:sz w:val="32"/>
          <w:szCs w:val="32"/>
          <w:lang w:val="en-US" w:eastAsia="zh-CN"/>
        </w:rPr>
        <w:t>2</w:t>
      </w:r>
      <w:r>
        <w:rPr>
          <w:rFonts w:hint="eastAsia" w:ascii="方正小标宋简体" w:hAnsi="方正小标宋简体" w:eastAsia="方正小标宋简体" w:cs="方正小标宋简体"/>
          <w:color w:val="auto"/>
          <w:kern w:val="2"/>
          <w:sz w:val="32"/>
          <w:szCs w:val="32"/>
          <w:lang w:val="en-US"/>
        </w:rPr>
        <w:t>年</w:t>
      </w:r>
      <w:r>
        <w:rPr>
          <w:rFonts w:hint="eastAsia" w:ascii="方正小标宋简体" w:hAnsi="方正小标宋简体" w:eastAsia="方正小标宋简体" w:cs="方正小标宋简体"/>
          <w:color w:val="auto"/>
          <w:kern w:val="2"/>
          <w:sz w:val="32"/>
          <w:szCs w:val="32"/>
          <w:lang w:val="en-US" w:eastAsia="zh-CN"/>
        </w:rPr>
        <w:t>招商工作经费</w:t>
      </w:r>
      <w:r>
        <w:rPr>
          <w:rFonts w:hint="eastAsia" w:ascii="方正小标宋简体" w:hAnsi="方正小标宋简体" w:eastAsia="方正小标宋简体" w:cs="方正小标宋简体"/>
          <w:color w:val="auto"/>
          <w:kern w:val="2"/>
          <w:sz w:val="32"/>
          <w:szCs w:val="32"/>
          <w:lang w:val="en-US"/>
        </w:rPr>
        <w:t>预算项目绩效自评报告</w:t>
      </w:r>
    </w:p>
    <w:p>
      <w:pPr>
        <w:pStyle w:val="36"/>
        <w:spacing w:line="578" w:lineRule="exact"/>
        <w:ind w:firstLine="640"/>
        <w:jc w:val="center"/>
        <w:rPr>
          <w:rFonts w:ascii="宋体" w:hAnsi="宋体"/>
          <w:color w:val="auto"/>
          <w:kern w:val="2"/>
          <w:sz w:val="32"/>
          <w:szCs w:val="32"/>
        </w:rPr>
      </w:pP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为了加快剑阁经济发展，引进龙头企业，改善产业结构，提升产业层次，提高资源的利用率，延伸、完善产业链，带动当地就业，增加税收，确保完成县预算下达的招商引资目标，签约新的项目，在此过程中发生的包括差旅费、接待费、为引进投资而发生的相关广告费等支出。</w:t>
      </w:r>
    </w:p>
    <w:p>
      <w:pPr>
        <w:tabs>
          <w:tab w:val="left" w:pos="463"/>
        </w:tabs>
        <w:adjustRightInd w:val="0"/>
        <w:snapToGrid w:val="0"/>
        <w:spacing w:line="578"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1.项目主要内容：确保我县招商工作正常开展，完成县预算下达的招商引资目标，</w:t>
      </w:r>
      <w:r>
        <w:rPr>
          <w:rFonts w:hint="eastAsia" w:ascii="仿宋_GB2312" w:hAnsi="仿宋_GB2312" w:eastAsia="仿宋_GB2312" w:cs="仿宋_GB2312"/>
          <w:sz w:val="32"/>
          <w:szCs w:val="32"/>
          <w:lang w:val="en-US" w:eastAsia="zh-CN"/>
        </w:rPr>
        <w:t>谋划、推动招商项目10余个</w:t>
      </w:r>
      <w:r>
        <w:rPr>
          <w:rFonts w:hint="eastAsia" w:ascii="仿宋" w:hAnsi="仿宋" w:eastAsia="仿宋" w:cs="Times New Roman"/>
          <w:bCs/>
          <w:kern w:val="0"/>
          <w:sz w:val="32"/>
          <w:szCs w:val="32"/>
          <w:lang w:val="en-US" w:eastAsia="zh-CN" w:bidi="ar-SA"/>
        </w:rPr>
        <w:t>，</w:t>
      </w:r>
      <w:r>
        <w:rPr>
          <w:rFonts w:hint="eastAsia" w:ascii="仿宋_GB2312" w:hAnsi="仿宋_GB2312" w:eastAsia="仿宋_GB2312" w:cs="仿宋_GB2312"/>
          <w:sz w:val="32"/>
          <w:szCs w:val="32"/>
          <w:lang w:val="en-US" w:eastAsia="zh-CN"/>
        </w:rPr>
        <w:t>签约资金25亿元，到位资金17.5亿元</w:t>
      </w:r>
      <w:r>
        <w:rPr>
          <w:rFonts w:hint="eastAsia" w:ascii="仿宋" w:hAnsi="仿宋" w:eastAsia="仿宋" w:cs="Times New Roman"/>
          <w:bCs/>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项目应实现的具体绩效目标：产出指标：外出招商12次，完成招商引资目标25亿元；项目时效时间为2022年12月；成本指标控制在50万内；效绩指标：促进当地经济发展，增加和稳定就业，提高当地居民生活水平。满意度指标：群众满意度大于等于 95%。</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3.本项目对促进当地经济发展、增加就业，实现我县“工业强县”的目标有重大现实意义，项目实施后社会效益经济效益、凸显，具有可持续性。申报目标设定合理。 </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部门对招商服务工作的成果建立了考核监督制度，考核细则健全，扣分项目、处罚措施明确。根据综合得分，对项目进行评估，评价项目效益，并提出改进措施。</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在规定时间内，由部门进行申报，财政局统一批复</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17"/>
        <w:tblpPr w:leftFromText="180" w:rightFromText="180" w:vertAnchor="text" w:horzAnchor="page" w:tblpX="435" w:tblpY="702"/>
        <w:tblOverlap w:val="never"/>
        <w:tblW w:w="11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75"/>
        <w:gridCol w:w="2595"/>
        <w:gridCol w:w="135"/>
        <w:gridCol w:w="1380"/>
        <w:gridCol w:w="1380"/>
        <w:gridCol w:w="975"/>
        <w:gridCol w:w="132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项目名称</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招商服务工作经费</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项目负责人及电话</w:t>
            </w:r>
          </w:p>
        </w:tc>
        <w:tc>
          <w:tcPr>
            <w:tcW w:w="337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主管部门及预算编码</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经建股</w:t>
            </w:r>
          </w:p>
        </w:tc>
        <w:tc>
          <w:tcPr>
            <w:tcW w:w="28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实施单位</w:t>
            </w:r>
          </w:p>
        </w:tc>
        <w:tc>
          <w:tcPr>
            <w:tcW w:w="33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四川剑阁经济开发区管理委员会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 xml:space="preserve">项目资金 情况                   </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c>
          <w:tcPr>
            <w:tcW w:w="138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全年预算数</w:t>
            </w:r>
          </w:p>
        </w:tc>
        <w:tc>
          <w:tcPr>
            <w:tcW w:w="138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全年执行数</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分值</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执行率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  年度资金总额：</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其中：本年一般公共预算拨款</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100.00%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            其他资金</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1305" w:type="dxa"/>
            <w:tcBorders>
              <w:top w:val="single" w:color="000000" w:sz="4" w:space="0"/>
              <w:left w:val="nil"/>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r>
    </w:tbl>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p>
    <w:p>
      <w:pPr>
        <w:adjustRightInd w:val="0"/>
        <w:snapToGrid w:val="0"/>
        <w:spacing w:line="578" w:lineRule="exact"/>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项目实施单位财务管理制度健全，严格执行财务管理制度，账务处理及时，会计核算规范。 </w:t>
      </w:r>
    </w:p>
    <w:p>
      <w:pPr>
        <w:widowControl/>
        <w:adjustRightInd w:val="0"/>
        <w:snapToGrid w:val="0"/>
        <w:spacing w:line="578"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p>
    <w:p>
      <w:pPr>
        <w:adjustRightInd w:val="0"/>
        <w:snapToGrid w:val="0"/>
        <w:spacing w:line="578" w:lineRule="exact"/>
        <w:rPr>
          <w:rFonts w:ascii="黑体" w:hAnsi="宋体" w:eastAsia="黑体"/>
          <w:sz w:val="32"/>
          <w:szCs w:val="32"/>
        </w:rPr>
      </w:pPr>
      <w:r>
        <w:rPr>
          <w:rFonts w:hint="eastAsia" w:ascii="黑体" w:hAnsi="宋体" w:eastAsia="黑体"/>
          <w:sz w:val="32"/>
          <w:szCs w:val="32"/>
        </w:rPr>
        <w:t>三、项目实施及管理情况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结合项目组织实施管理办法，重点围绕以下内容进行分析评价，并对自评中发现的问题分析说明。</w:t>
      </w:r>
    </w:p>
    <w:p>
      <w:pPr>
        <w:adjustRightInd w:val="0"/>
        <w:snapToGrid w:val="0"/>
        <w:spacing w:line="578"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6"/>
        <w:ind w:firstLine="934" w:firstLineChars="300"/>
        <w:rPr>
          <w:lang w:val="zh-CN"/>
        </w:rPr>
      </w:pPr>
      <w:r>
        <w:rPr>
          <w:rFonts w:hint="eastAsia" w:ascii="楷体" w:hAnsi="楷体" w:eastAsia="楷体" w:cs="楷体"/>
          <w:b/>
          <w:bCs/>
          <w:color w:val="000000"/>
          <w:kern w:val="0"/>
          <w:sz w:val="31"/>
          <w:szCs w:val="31"/>
          <w:lang w:val="en-US" w:eastAsia="zh-CN" w:bidi="ar"/>
        </w:rPr>
        <w:t>申报项目－项目执行－项目监督－项目评价</w:t>
      </w:r>
    </w:p>
    <w:p>
      <w:pPr>
        <w:keepNext w:val="0"/>
        <w:keepLines w:val="0"/>
        <w:pageBreakBefore w:val="0"/>
        <w:widowControl w:val="0"/>
        <w:tabs>
          <w:tab w:val="center" w:pos="4153"/>
        </w:tabs>
        <w:kinsoku/>
        <w:wordWrap/>
        <w:overflowPunct/>
        <w:topLinePunct w:val="0"/>
        <w:autoSpaceDE/>
        <w:autoSpaceDN/>
        <w:bidi w:val="0"/>
        <w:adjustRightInd/>
        <w:snapToGrid/>
        <w:spacing w:line="550" w:lineRule="exact"/>
        <w:ind w:firstLine="643" w:firstLineChars="200"/>
        <w:textAlignment w:val="auto"/>
        <w:rPr>
          <w:rFonts w:hint="default" w:ascii="仿宋" w:hAnsi="仿宋" w:eastAsia="仿宋" w:cs="Times New Roman"/>
          <w:bCs/>
          <w:color w:val="000000" w:themeColor="text1"/>
          <w:kern w:val="0"/>
          <w:sz w:val="32"/>
          <w:szCs w:val="32"/>
          <w:lang w:val="en-US" w:eastAsia="zh-CN" w:bidi="ar-SA"/>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（二）项目管理情况。</w:t>
      </w:r>
      <w:r>
        <w:rPr>
          <w:rFonts w:hint="eastAsia" w:ascii="仿宋" w:hAnsi="仿宋" w:eastAsia="仿宋" w:cs="Times New Roman"/>
          <w:bCs/>
          <w:color w:val="000000" w:themeColor="text1"/>
          <w:kern w:val="0"/>
          <w:sz w:val="32"/>
          <w:szCs w:val="32"/>
          <w:lang w:val="en-US" w:eastAsia="zh-CN" w:bidi="ar-SA"/>
          <w14:textFill>
            <w14:solidFill>
              <w14:schemeClr w14:val="tx1"/>
            </w14:solidFill>
          </w14:textFill>
        </w:rPr>
        <w:t>项目实施根据年初目标进行招商服务工作，其间发生的费用根据财政相关规定及单位财务制度据实报销。</w:t>
      </w:r>
    </w:p>
    <w:p>
      <w:pPr>
        <w:adjustRightInd w:val="0"/>
        <w:snapToGrid w:val="0"/>
        <w:spacing w:line="578" w:lineRule="exact"/>
        <w:ind w:firstLine="643" w:firstLineChars="200"/>
        <w:rPr>
          <w:rFonts w:hint="eastAsia" w:ascii="仿宋" w:hAnsi="仿宋" w:eastAsia="仿宋" w:cs="Times New Roman"/>
          <w:bCs/>
          <w:kern w:val="0"/>
          <w:sz w:val="32"/>
          <w:szCs w:val="32"/>
          <w:lang w:val="en-US" w:eastAsia="zh-CN" w:bidi="ar-SA"/>
        </w:rPr>
      </w:pPr>
      <w:r>
        <w:rPr>
          <w:rFonts w:hint="eastAsia" w:ascii="楷体_GB2312" w:hAnsi="宋体" w:eastAsia="楷体_GB2312"/>
          <w:b/>
          <w:sz w:val="32"/>
          <w:szCs w:val="32"/>
          <w:lang w:val="zh-CN"/>
        </w:rPr>
        <w:t>（三）项目监管情况。</w:t>
      </w:r>
      <w:r>
        <w:rPr>
          <w:rFonts w:hint="eastAsia" w:ascii="仿宋" w:hAnsi="仿宋" w:eastAsia="仿宋" w:cs="Times New Roman"/>
          <w:bCs/>
          <w:kern w:val="0"/>
          <w:sz w:val="32"/>
          <w:szCs w:val="32"/>
          <w:lang w:val="en-US" w:eastAsia="zh-CN" w:bidi="ar-SA"/>
        </w:rPr>
        <w:t>经开区管理委员会项目的实施，确保了我单位招商工作的正常开展，增加了企业和项目的落地，增加了就业，同时项目实施监督到位，产生了良好的社会效益。</w:t>
      </w:r>
    </w:p>
    <w:p>
      <w:pPr>
        <w:adjustRightInd w:val="0"/>
        <w:snapToGrid w:val="0"/>
        <w:spacing w:line="578"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外出开展招商引资工作27次，谋划、推动招商项目10余个。签约资金52.1亿元，到位资金6.2亿元。分别是中国航天国际（万源）有限公司签订剑阁县清洁能源集群项目总投资30亿元、节能环保颗粒和颗粒制品项目总投资1.2亿元、年产80万吨新型聚合物道理新材料项目10.5亿元，智能装备制造项目总投资1.5亿元、剑门火腿精深加工技术开发及产业化项目总投资1.2亿元、川陕甘渝（剑门关）国际优食谷一期项目5亿元、新型建筑材料生产项目总投资1.5亿元、智能仓储组件生产项目总投资1.2亿元。</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1.社会效益：通过项目的实施，可以引进新的企业，促进当地经济发展，稳定就业，提供了更多的就业机会，改善了当地居民的生活水平，从而保证整个剑阁县社会经济又好又快发展。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2.经济效益：新企业的入驻，吸引了新的投资，增加了当地就业，带动了当地产业的发展，增加了税收。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3.可持续影响：通过项目的实施，可持续地改善当地的经济环境，增加就业，可持续提高人民生活质量，并可取得良好的社会、经济效益，具有可持续影响。 </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我们认为：经开区招商服务工作项目的实施，增加了新的企业入驻，增加了就业，完善了我县的产业链，增加了税收，项目实施到位，产生了良好的社会环境效益。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根据经开区招商服务工作项目绩效评价指标表考评，此次评价指标总分值 98 分，综合得分为 90 分，其中：产出指标总分值 50 分，评价得分 48 分，效益指标总分值 30 分， 评价得分 30 分，满意度指标分值 10 分，评价得分 10 分，财务指标分值 10 分，评价得分 10 分。评价等次：优。 </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招商工作质量有待提高。引进的战略性项目少，产业带动效果不明显。</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rPr>
      </w:pP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tbl>
      <w:tblPr>
        <w:tblStyle w:val="17"/>
        <w:tblpPr w:leftFromText="180" w:rightFromText="180" w:vertAnchor="text" w:horzAnchor="page" w:tblpXSpec="center" w:tblpY="660"/>
        <w:tblOverlap w:val="never"/>
        <w:tblW w:w="9811" w:type="dxa"/>
        <w:jc w:val="center"/>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在以后的工作中，要更加主动的去发掘优秀企业，吸引他们到剑投资，提高招商工作质量，早日完成工业强县的目标。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p>
          <w:p>
            <w:pPr>
              <w:widowControl/>
              <w:ind w:firstLine="1285" w:firstLineChars="400"/>
              <w:textAlignment w:val="center"/>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招商服务工作</w:t>
            </w:r>
            <w:r>
              <w:rPr>
                <w:rFonts w:hint="eastAsia" w:ascii="宋体" w:hAnsi="宋体" w:eastAsia="宋体" w:cs="宋体"/>
                <w:b/>
                <w:sz w:val="32"/>
                <w:szCs w:val="32"/>
                <w:lang w:val="zh-CN"/>
              </w:rPr>
              <w:t>支出</w:t>
            </w:r>
            <w:r>
              <w:rPr>
                <w:rFonts w:hint="eastAsia" w:ascii="宋体" w:hAnsi="宋体" w:eastAsia="宋体" w:cs="宋体"/>
                <w:b/>
                <w:sz w:val="32"/>
                <w:szCs w:val="32"/>
              </w:rPr>
              <w:t>项目绩效目标自评</w:t>
            </w:r>
          </w:p>
        </w:tc>
        <w:tc>
          <w:tcPr>
            <w:tcW w:w="234" w:type="dxa"/>
            <w:tcBorders>
              <w:top w:val="nil"/>
              <w:left w:val="nil"/>
              <w:bottom w:val="nil"/>
              <w:right w:val="nil"/>
            </w:tcBorders>
            <w:noWrap w:val="0"/>
            <w:vAlign w:val="center"/>
          </w:tcPr>
          <w:p>
            <w:pPr>
              <w:widowControl/>
              <w:textAlignment w:val="center"/>
              <w:rPr>
                <w:rFonts w:hint="eastAsia" w:ascii="宋体" w:hAnsi="宋体" w:eastAsia="宋体" w:cs="宋体"/>
                <w:b/>
                <w:sz w:val="32"/>
                <w:szCs w:val="32"/>
              </w:rPr>
            </w:pPr>
          </w:p>
        </w:tc>
      </w:tr>
      <w:tr>
        <w:tblPrEx>
          <w:tblCellMar>
            <w:top w:w="0" w:type="dxa"/>
            <w:left w:w="108" w:type="dxa"/>
            <w:bottom w:w="0" w:type="dxa"/>
            <w:right w:w="108" w:type="dxa"/>
          </w:tblCellMar>
        </w:tblPrEx>
        <w:trPr>
          <w:gridAfter w:val="1"/>
          <w:wAfter w:w="234" w:type="dxa"/>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经建股</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剑阁经济开发区管理委员会</w:t>
            </w:r>
          </w:p>
        </w:tc>
      </w:tr>
      <w:tr>
        <w:tblPrEx>
          <w:tblCellMar>
            <w:top w:w="0" w:type="dxa"/>
            <w:left w:w="108" w:type="dxa"/>
            <w:bottom w:w="0" w:type="dxa"/>
            <w:right w:w="108" w:type="dxa"/>
          </w:tblCellMar>
        </w:tblPrEx>
        <w:trPr>
          <w:gridAfter w:val="1"/>
          <w:wAfter w:w="234" w:type="dxa"/>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50</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宋体" w:hAnsi="宋体" w:eastAsia="宋体" w:cs="宋体"/>
                <w:sz w:val="24"/>
                <w:lang w:val="en-US" w:eastAsia="zh-CN"/>
              </w:rPr>
            </w:pPr>
            <w:r>
              <w:rPr>
                <w:rFonts w:hint="eastAsia" w:ascii="宋体" w:hAnsi="宋体" w:cs="宋体"/>
                <w:sz w:val="24"/>
                <w:lang w:val="en-US" w:eastAsia="zh-CN"/>
              </w:rPr>
              <w:t>50</w:t>
            </w:r>
          </w:p>
        </w:tc>
      </w:tr>
      <w:tr>
        <w:tblPrEx>
          <w:tblCellMar>
            <w:top w:w="0" w:type="dxa"/>
            <w:left w:w="108" w:type="dxa"/>
            <w:bottom w:w="0" w:type="dxa"/>
            <w:right w:w="108" w:type="dxa"/>
          </w:tblCellMar>
        </w:tblPrEx>
        <w:trPr>
          <w:gridAfter w:val="1"/>
          <w:wAfter w:w="234" w:type="dxa"/>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50</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50</w:t>
            </w:r>
          </w:p>
        </w:tc>
      </w:tr>
      <w:tr>
        <w:tblPrEx>
          <w:tblCellMar>
            <w:top w:w="0" w:type="dxa"/>
            <w:left w:w="108" w:type="dxa"/>
            <w:bottom w:w="0" w:type="dxa"/>
            <w:right w:w="108" w:type="dxa"/>
          </w:tblCellMar>
        </w:tblPrEx>
        <w:trPr>
          <w:gridAfter w:val="1"/>
          <w:wAfter w:w="234" w:type="dxa"/>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hint="default" w:ascii="宋体" w:hAnsi="宋体" w:eastAsia="宋体" w:cs="宋体"/>
                <w:sz w:val="24"/>
                <w:lang w:val="en-US" w:eastAsia="zh-CN"/>
              </w:rPr>
            </w:pPr>
            <w:r>
              <w:rPr>
                <w:rFonts w:hint="eastAsia" w:ascii="宋体" w:hAnsi="宋体" w:cs="宋体"/>
                <w:sz w:val="24"/>
                <w:lang w:val="en-US" w:eastAsia="zh-CN"/>
              </w:rPr>
              <w:t>外出招商12次，完成县预计下达的招商引资任务25亿元，新签约6个，协议投资金额6亿元，到位资金5亿元，</w:t>
            </w:r>
          </w:p>
        </w:tc>
        <w:tc>
          <w:tcPr>
            <w:tcW w:w="3634"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ascii="宋体" w:hAnsi="宋体" w:cs="宋体"/>
                <w:sz w:val="24"/>
              </w:rPr>
            </w:pPr>
            <w:r>
              <w:rPr>
                <w:rFonts w:hint="eastAsia" w:ascii="宋体" w:hAnsi="宋体" w:cs="宋体"/>
                <w:sz w:val="24"/>
                <w:lang w:val="en-US" w:eastAsia="zh-CN"/>
              </w:rPr>
              <w:t>外出招商27次，完成县预计下达的招商引资任务6亿元，新签约7个，协议投资金额23亿元，</w:t>
            </w:r>
          </w:p>
        </w:tc>
      </w:tr>
      <w:tr>
        <w:tblPrEx>
          <w:tblCellMar>
            <w:top w:w="0" w:type="dxa"/>
            <w:left w:w="108" w:type="dxa"/>
            <w:bottom w:w="0" w:type="dxa"/>
            <w:right w:w="108" w:type="dxa"/>
          </w:tblCellMar>
        </w:tblPrEx>
        <w:trPr>
          <w:gridAfter w:val="1"/>
          <w:wAfter w:w="234" w:type="dxa"/>
          <w:trHeight w:val="693" w:hRule="atLeast"/>
          <w:jc w:val="center"/>
        </w:trPr>
        <w:tc>
          <w:tcPr>
            <w:tcW w:w="1977"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外出招商12次</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12次</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27次</w:t>
            </w:r>
          </w:p>
        </w:tc>
      </w:tr>
      <w:tr>
        <w:tblPrEx>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完成目标任务</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优</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优</w:t>
            </w:r>
          </w:p>
        </w:tc>
      </w:tr>
      <w:tr>
        <w:tblPrEx>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项目成果时效</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2022年底</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2022年底</w:t>
            </w:r>
          </w:p>
        </w:tc>
      </w:tr>
      <w:tr>
        <w:tblPrEx>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50万以内</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50万以内</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50万以内</w:t>
            </w:r>
          </w:p>
        </w:tc>
      </w:tr>
      <w:tr>
        <w:tblPrEx>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经济发展</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促进当地经济发展，增加税收</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促进当地经济发展，增加税收</w:t>
            </w:r>
          </w:p>
        </w:tc>
      </w:tr>
      <w:tr>
        <w:tblPrEx>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就业增加</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both"/>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增加了当地就业</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增加了当地就业</w:t>
            </w:r>
          </w:p>
        </w:tc>
      </w:tr>
      <w:tr>
        <w:tblPrEx>
          <w:tblCellMar>
            <w:top w:w="0" w:type="dxa"/>
            <w:left w:w="108" w:type="dxa"/>
            <w:bottom w:w="0" w:type="dxa"/>
            <w:right w:w="108" w:type="dxa"/>
          </w:tblCellMar>
        </w:tblPrEx>
        <w:trPr>
          <w:gridAfter w:val="1"/>
          <w:wAfter w:w="234" w:type="dxa"/>
          <w:trHeight w:val="577"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both"/>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持续增就业、促进当地经济发展</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持续增就业、促进当地经济发展</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持续增就业、促进当地经济发展</w:t>
            </w:r>
          </w:p>
        </w:tc>
      </w:tr>
      <w:tr>
        <w:tblPrEx>
          <w:tblCellMar>
            <w:top w:w="0" w:type="dxa"/>
            <w:left w:w="108" w:type="dxa"/>
            <w:bottom w:w="0" w:type="dxa"/>
            <w:right w:w="108" w:type="dxa"/>
          </w:tblCellMar>
        </w:tblPrEx>
        <w:trPr>
          <w:gridAfter w:val="1"/>
          <w:wAfter w:w="234" w:type="dxa"/>
          <w:trHeight w:val="530" w:hRule="atLeast"/>
          <w:jc w:val="center"/>
        </w:trPr>
        <w:tc>
          <w:tcPr>
            <w:tcW w:w="1977"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 w:hAnsi="仿宋" w:eastAsia="仿宋" w:cs="仿宋"/>
                <w:color w:val="000000"/>
                <w:kern w:val="0"/>
                <w:sz w:val="31"/>
                <w:szCs w:val="31"/>
                <w:lang w:val="en-US" w:eastAsia="zh-CN" w:bidi="ar"/>
              </w:rPr>
              <w:t>大于等于 95%</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w:t>
            </w:r>
          </w:p>
        </w:tc>
      </w:tr>
    </w:tbl>
    <w:p>
      <w:pPr>
        <w:spacing w:line="580" w:lineRule="exact"/>
        <w:rPr>
          <w:rStyle w:val="30"/>
          <w:rFonts w:ascii="黑体" w:hAnsi="黑体" w:eastAsia="黑体"/>
          <w:b w:val="0"/>
        </w:rPr>
      </w:pPr>
    </w:p>
    <w:p>
      <w:pPr>
        <w:widowControl/>
        <w:jc w:val="left"/>
        <w:rPr>
          <w:rStyle w:val="30"/>
          <w:rFonts w:ascii="黑体" w:hAnsi="黑体" w:eastAsia="黑体"/>
          <w:b w:val="0"/>
        </w:rPr>
      </w:pPr>
    </w:p>
    <w:p>
      <w:pPr>
        <w:widowControl/>
        <w:jc w:val="left"/>
        <w:rPr>
          <w:rStyle w:val="30"/>
          <w:rFonts w:ascii="黑体" w:hAnsi="黑体" w:eastAsia="黑体"/>
          <w:b w:val="0"/>
        </w:rPr>
      </w:pPr>
    </w:p>
    <w:p>
      <w:pPr>
        <w:keepNext w:val="0"/>
        <w:keepLines w:val="0"/>
        <w:widowControl/>
        <w:suppressLineNumbers w:val="0"/>
        <w:ind w:left="3208" w:hanging="3200" w:hangingChars="800"/>
        <w:jc w:val="left"/>
      </w:pPr>
      <w:r>
        <w:rPr>
          <w:rFonts w:ascii="微软雅黑" w:hAnsi="微软雅黑" w:eastAsia="微软雅黑" w:cs="微软雅黑"/>
          <w:color w:val="000000"/>
          <w:kern w:val="0"/>
          <w:sz w:val="40"/>
          <w:szCs w:val="40"/>
          <w:lang w:val="en-US" w:eastAsia="zh-CN" w:bidi="ar"/>
        </w:rPr>
        <w:t>202</w:t>
      </w:r>
      <w:r>
        <w:rPr>
          <w:rFonts w:hint="eastAsia" w:ascii="微软雅黑" w:hAnsi="微软雅黑" w:eastAsia="微软雅黑" w:cs="微软雅黑"/>
          <w:color w:val="000000"/>
          <w:kern w:val="0"/>
          <w:sz w:val="40"/>
          <w:szCs w:val="40"/>
          <w:lang w:val="en-US" w:eastAsia="zh-CN" w:bidi="ar"/>
        </w:rPr>
        <w:t>2</w:t>
      </w:r>
      <w:r>
        <w:rPr>
          <w:rFonts w:ascii="微软雅黑" w:hAnsi="微软雅黑" w:eastAsia="微软雅黑" w:cs="微软雅黑"/>
          <w:color w:val="000000"/>
          <w:kern w:val="0"/>
          <w:sz w:val="40"/>
          <w:szCs w:val="40"/>
          <w:lang w:val="en-US" w:eastAsia="zh-CN" w:bidi="ar"/>
        </w:rPr>
        <w:t xml:space="preserve"> 年</w:t>
      </w:r>
      <w:r>
        <w:rPr>
          <w:rFonts w:hint="eastAsia" w:ascii="微软雅黑" w:hAnsi="微软雅黑" w:eastAsia="微软雅黑" w:cs="微软雅黑"/>
          <w:color w:val="000000"/>
          <w:kern w:val="0"/>
          <w:sz w:val="40"/>
          <w:szCs w:val="40"/>
          <w:lang w:val="en-US" w:eastAsia="zh-CN" w:bidi="ar"/>
        </w:rPr>
        <w:t>园区项目集中推进工作经费</w:t>
      </w:r>
      <w:r>
        <w:rPr>
          <w:rFonts w:ascii="微软雅黑" w:hAnsi="微软雅黑" w:eastAsia="微软雅黑" w:cs="微软雅黑"/>
          <w:color w:val="000000"/>
          <w:kern w:val="0"/>
          <w:sz w:val="40"/>
          <w:szCs w:val="40"/>
          <w:lang w:val="en-US" w:eastAsia="zh-CN" w:bidi="ar"/>
        </w:rPr>
        <w:t>项目支出绩效自</w:t>
      </w:r>
      <w:r>
        <w:rPr>
          <w:rFonts w:hint="eastAsia" w:ascii="微软雅黑" w:hAnsi="微软雅黑" w:eastAsia="微软雅黑" w:cs="微软雅黑"/>
          <w:color w:val="000000"/>
          <w:kern w:val="0"/>
          <w:sz w:val="40"/>
          <w:szCs w:val="40"/>
          <w:lang w:val="en-US" w:eastAsia="zh-CN" w:bidi="ar"/>
        </w:rPr>
        <w:t xml:space="preserve">评报告 </w:t>
      </w:r>
    </w:p>
    <w:p>
      <w:pPr>
        <w:keepNext w:val="0"/>
        <w:keepLines w:val="0"/>
        <w:widowControl/>
        <w:suppressLineNumbers w:val="0"/>
        <w:ind w:firstLine="620" w:firstLineChars="200"/>
        <w:jc w:val="left"/>
      </w:pPr>
      <w:r>
        <w:rPr>
          <w:rFonts w:ascii="黑体" w:hAnsi="宋体" w:eastAsia="黑体" w:cs="黑体"/>
          <w:color w:val="000000"/>
          <w:kern w:val="0"/>
          <w:sz w:val="31"/>
          <w:szCs w:val="31"/>
          <w:lang w:val="en-US" w:eastAsia="zh-CN" w:bidi="ar"/>
        </w:rPr>
        <w:t xml:space="preserve">一、项目概况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（一）项目基本情况。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务实推进扩园拓面、项目建设、招商引资、做好企业服务、园区治理、安全生产、环境保护等重点工作，不断改善园区生态环境，促进金剑工业园超常规推进，剑门工业园新拓展兽药产业园、普安工业园东西部协作产业园加快建设，保护社会稳定促进经济的可持续发展。进行园区环境治理8次，安全生产会议12次，企业咨询服务12次，相关标语横幅若干。</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（二）项目绩效目标。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在运用各类宣传平台和宣传资源的基础上，创新宣传方 式，加强对企业安全生产、环境保护的宣传，包括用电安全、消防安全、职业卫生安全、施工安全等，使安全意识牢记每个企业职工心中；对企业主要负责人进行相关政策的培训和讲解，为园区企业服好务；对园区环境进行清杂理乱，改善园区生活环境，营造良好的营商环境，从而加快完成2个县重点项目，加快推进3个县重点项目、3个市重点项目，促进当地经济可持续又快又好发展。</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（三）项目自评步骤及方法。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部门对园区项目集中推进工作和建立了考核监督制度，考核细则健全，扣分项目、处罚措施明确。根据综合得分，组织分管领导及部门负责人对本年园区项目集中推进工作进行评估，评价项目效益，并提出改进措施。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二、项目资金申报及使用情况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（一）项目资金申报及批复情况。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在规定时间内，由部门进行申报，财政局统一批复。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（二）资金计划、到位及使用情况。 </w:t>
      </w:r>
    </w:p>
    <w:tbl>
      <w:tblPr>
        <w:tblStyle w:val="17"/>
        <w:tblpPr w:leftFromText="180" w:rightFromText="180" w:vertAnchor="text" w:horzAnchor="page" w:tblpXSpec="center" w:tblpY="636"/>
        <w:tblOverlap w:val="never"/>
        <w:tblW w:w="102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10"/>
        <w:gridCol w:w="2649"/>
        <w:gridCol w:w="1120"/>
        <w:gridCol w:w="1092"/>
        <w:gridCol w:w="946"/>
        <w:gridCol w:w="1310"/>
        <w:gridCol w:w="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2110" w:type="dxa"/>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项目名称</w:t>
            </w:r>
          </w:p>
        </w:tc>
        <w:tc>
          <w:tcPr>
            <w:tcW w:w="2649"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园区项目集中推进工作</w:t>
            </w:r>
          </w:p>
        </w:tc>
        <w:tc>
          <w:tcPr>
            <w:tcW w:w="2212"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项目负责人及电话</w:t>
            </w:r>
          </w:p>
        </w:tc>
        <w:tc>
          <w:tcPr>
            <w:tcW w:w="3246" w:type="dxa"/>
            <w:gridSpan w:val="3"/>
            <w:tcBorders>
              <w:left w:val="single" w:color="000000" w:sz="4" w:space="0"/>
              <w:bottom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2110"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主管部门及预算编码</w:t>
            </w: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经建股</w:t>
            </w:r>
          </w:p>
        </w:tc>
        <w:tc>
          <w:tcPr>
            <w:tcW w:w="221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实施单位</w:t>
            </w:r>
          </w:p>
        </w:tc>
        <w:tc>
          <w:tcPr>
            <w:tcW w:w="3246" w:type="dxa"/>
            <w:gridSpan w:val="3"/>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四川剑阁经济开发区管理委员会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2110" w:type="dxa"/>
            <w:vMerge w:val="restart"/>
            <w:tcBorders>
              <w:top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 xml:space="preserve">项目资金 情况（万元）                   </w:t>
            </w: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1"/>
                <w:szCs w:val="21"/>
                <w:u w:val="none"/>
              </w:rPr>
            </w:pPr>
          </w:p>
        </w:tc>
        <w:tc>
          <w:tcPr>
            <w:tcW w:w="112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全年预算数</w:t>
            </w:r>
          </w:p>
        </w:tc>
        <w:tc>
          <w:tcPr>
            <w:tcW w:w="109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全年执行数</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分值</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执行率</w:t>
            </w:r>
          </w:p>
        </w:tc>
        <w:tc>
          <w:tcPr>
            <w:tcW w:w="990"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lang w:val="en-US" w:eastAsia="zh-CN"/>
              </w:rPr>
            </w:pPr>
            <w:r>
              <w:rPr>
                <w:rFonts w:hint="eastAsia" w:ascii="仿宋_GB2312" w:hAnsi="宋体" w:eastAsia="仿宋_GB2312" w:cs="仿宋_GB2312"/>
                <w:b/>
                <w:bCs/>
                <w:i w:val="0"/>
                <w:iCs w:val="0"/>
                <w:color w:val="000000"/>
                <w:sz w:val="21"/>
                <w:szCs w:val="21"/>
                <w:u w:val="none"/>
                <w:lang w:val="en-US" w:eastAsia="zh-CN"/>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211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 </w:t>
            </w:r>
            <w:r>
              <w:rPr>
                <w:rStyle w:val="39"/>
                <w:rFonts w:hAnsi="宋体"/>
                <w:lang w:val="en-US" w:eastAsia="zh-CN" w:bidi="ar"/>
              </w:rPr>
              <w:t xml:space="preserve"> 年度资金总额：</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lang w:val="en-US"/>
              </w:rPr>
            </w:pPr>
            <w:r>
              <w:rPr>
                <w:rFonts w:hint="eastAsia" w:ascii="仿宋_GB2312" w:hAnsi="宋体" w:eastAsia="仿宋_GB2312" w:cs="仿宋_GB2312"/>
                <w:b/>
                <w:bCs/>
                <w:i w:val="0"/>
                <w:iCs w:val="0"/>
                <w:color w:val="000000"/>
                <w:kern w:val="0"/>
                <w:sz w:val="21"/>
                <w:szCs w:val="21"/>
                <w:u w:val="none"/>
                <w:lang w:val="en-US" w:eastAsia="zh-CN" w:bidi="ar"/>
              </w:rPr>
              <w:t>15</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lang w:val="en-US"/>
              </w:rPr>
            </w:pPr>
            <w:r>
              <w:rPr>
                <w:rFonts w:hint="eastAsia" w:ascii="仿宋_GB2312" w:hAnsi="宋体" w:eastAsia="仿宋_GB2312" w:cs="仿宋_GB2312"/>
                <w:b/>
                <w:bCs/>
                <w:i w:val="0"/>
                <w:iCs w:val="0"/>
                <w:color w:val="000000"/>
                <w:kern w:val="0"/>
                <w:sz w:val="21"/>
                <w:szCs w:val="21"/>
                <w:u w:val="none"/>
                <w:lang w:val="en-US" w:eastAsia="zh-CN" w:bidi="ar"/>
              </w:rPr>
              <w:t>15</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100.00%</w:t>
            </w:r>
          </w:p>
        </w:tc>
        <w:tc>
          <w:tcPr>
            <w:tcW w:w="990"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211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2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其中：本年一般公共预算拨款</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lang w:val="en-US"/>
              </w:rPr>
            </w:pPr>
            <w:r>
              <w:rPr>
                <w:rFonts w:hint="eastAsia" w:ascii="仿宋_GB2312" w:hAnsi="宋体" w:eastAsia="仿宋_GB2312" w:cs="仿宋_GB2312"/>
                <w:b/>
                <w:bCs/>
                <w:i w:val="0"/>
                <w:iCs w:val="0"/>
                <w:color w:val="000000"/>
                <w:kern w:val="0"/>
                <w:sz w:val="21"/>
                <w:szCs w:val="21"/>
                <w:u w:val="none"/>
                <w:lang w:val="en-US" w:eastAsia="zh-CN" w:bidi="ar"/>
              </w:rPr>
              <w:t>15</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1"/>
                <w:szCs w:val="21"/>
                <w:u w:val="none"/>
                <w:lang w:val="en-US"/>
              </w:rPr>
            </w:pPr>
            <w:r>
              <w:rPr>
                <w:rFonts w:hint="eastAsia" w:ascii="仿宋_GB2312" w:hAnsi="宋体" w:eastAsia="仿宋_GB2312" w:cs="仿宋_GB2312"/>
                <w:b/>
                <w:bCs/>
                <w:i w:val="0"/>
                <w:iCs w:val="0"/>
                <w:color w:val="000000"/>
                <w:kern w:val="0"/>
                <w:sz w:val="21"/>
                <w:szCs w:val="21"/>
                <w:u w:val="none"/>
                <w:lang w:val="en-US" w:eastAsia="zh-CN" w:bidi="ar"/>
              </w:rPr>
              <w:t>15</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100.00%</w:t>
            </w:r>
          </w:p>
        </w:tc>
        <w:tc>
          <w:tcPr>
            <w:tcW w:w="990"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2110" w:type="dxa"/>
            <w:vMerge w:val="continue"/>
            <w:tcBorders>
              <w:top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264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 xml:space="preserve"> </w:t>
            </w:r>
            <w:r>
              <w:rPr>
                <w:rStyle w:val="39"/>
                <w:rFonts w:hAnsi="宋体"/>
                <w:lang w:val="en-US" w:eastAsia="zh-CN" w:bidi="ar"/>
              </w:rPr>
              <w:t xml:space="preserve">           其他资金</w:t>
            </w:r>
          </w:p>
        </w:tc>
        <w:tc>
          <w:tcPr>
            <w:tcW w:w="1120" w:type="dxa"/>
            <w:tcBorders>
              <w:top w:val="single" w:color="000000" w:sz="4" w:space="0"/>
              <w:left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1092" w:type="dxa"/>
            <w:tcBorders>
              <w:top w:val="single" w:color="000000" w:sz="4" w:space="0"/>
              <w:left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946" w:type="dxa"/>
            <w:tcBorders>
              <w:top w:val="single" w:color="000000" w:sz="4" w:space="0"/>
              <w:left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1310" w:type="dxa"/>
            <w:tcBorders>
              <w:top w:val="single" w:color="000000" w:sz="4" w:space="0"/>
              <w:left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1"/>
                <w:szCs w:val="21"/>
                <w:u w:val="none"/>
              </w:rPr>
            </w:pPr>
          </w:p>
        </w:tc>
        <w:tc>
          <w:tcPr>
            <w:tcW w:w="990" w:type="dxa"/>
            <w:tcBorders>
              <w:top w:val="single" w:color="000000" w:sz="4" w:space="0"/>
              <w:left w:val="nil"/>
            </w:tcBorders>
            <w:noWrap w:val="0"/>
            <w:vAlign w:val="center"/>
          </w:tcPr>
          <w:p>
            <w:pPr>
              <w:jc w:val="center"/>
              <w:rPr>
                <w:rFonts w:hint="eastAsia" w:ascii="仿宋_GB2312" w:hAnsi="宋体" w:eastAsia="仿宋_GB2312" w:cs="仿宋_GB2312"/>
                <w:i w:val="0"/>
                <w:iCs w:val="0"/>
                <w:color w:val="000000"/>
                <w:sz w:val="21"/>
                <w:szCs w:val="21"/>
                <w:u w:val="none"/>
              </w:rPr>
            </w:pPr>
          </w:p>
        </w:tc>
      </w:tr>
    </w:tbl>
    <w:p>
      <w:pPr>
        <w:pStyle w:val="9"/>
        <w:rPr>
          <w:rFonts w:hint="eastAsia" w:ascii="楷体" w:hAnsi="楷体" w:eastAsia="楷体" w:cs="楷体"/>
          <w:b/>
          <w:bCs/>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（三）项目财务管理情况。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项目实施单位财务管理制度健全，严格执行财务管理 制度，账务处理及时，会计核算规范。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三、项目实施及管理情况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（一）项目组织架构及实施流程。 </w:t>
      </w:r>
    </w:p>
    <w:p>
      <w:pPr>
        <w:keepNext w:val="0"/>
        <w:keepLines w:val="0"/>
        <w:pageBreakBefore w:val="0"/>
        <w:widowControl w:val="0"/>
        <w:kinsoku/>
        <w:wordWrap/>
        <w:overflowPunct/>
        <w:topLinePunct w:val="0"/>
        <w:autoSpaceDE/>
        <w:autoSpaceDN/>
        <w:bidi w:val="0"/>
        <w:adjustRightInd/>
        <w:snapToGrid/>
        <w:spacing w:line="550" w:lineRule="exact"/>
        <w:ind w:firstLine="622" w:firstLineChars="200"/>
        <w:textAlignment w:val="auto"/>
        <w:rPr>
          <w:rFonts w:hint="eastAsia" w:ascii="楷体" w:hAnsi="楷体" w:eastAsia="楷体" w:cs="楷体"/>
          <w:b/>
          <w:bCs/>
          <w:color w:val="000000"/>
          <w:kern w:val="0"/>
          <w:sz w:val="31"/>
          <w:szCs w:val="31"/>
          <w:lang w:val="en-US" w:eastAsia="zh-CN" w:bidi="ar"/>
        </w:rPr>
      </w:pPr>
      <w:r>
        <w:rPr>
          <w:rFonts w:hint="eastAsia" w:ascii="楷体" w:hAnsi="楷体" w:eastAsia="楷体" w:cs="楷体"/>
          <w:b/>
          <w:bCs/>
          <w:color w:val="000000"/>
          <w:kern w:val="0"/>
          <w:sz w:val="31"/>
          <w:szCs w:val="31"/>
          <w:lang w:val="en-US" w:eastAsia="zh-CN" w:bidi="ar"/>
        </w:rPr>
        <w:t>申报项目－项目执行－项目监督－项目评价。</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楷体" w:hAnsi="楷体" w:eastAsia="楷体" w:cs="楷体"/>
          <w:b/>
          <w:bCs w:val="0"/>
          <w:kern w:val="0"/>
          <w:sz w:val="32"/>
          <w:szCs w:val="32"/>
          <w:lang w:val="en-US" w:eastAsia="zh-CN" w:bidi="ar-SA"/>
        </w:rPr>
        <w:t>（二）项目管理情况。</w:t>
      </w:r>
      <w:r>
        <w:rPr>
          <w:rFonts w:hint="eastAsia" w:ascii="仿宋" w:hAnsi="仿宋" w:eastAsia="仿宋" w:cs="Times New Roman"/>
          <w:bCs/>
          <w:kern w:val="0"/>
          <w:sz w:val="32"/>
          <w:szCs w:val="32"/>
          <w:lang w:val="en-US" w:eastAsia="zh-CN" w:bidi="ar-SA"/>
        </w:rPr>
        <w:t xml:space="preserve">项目实施单位财务管理制度健全，严格执行财务管理制度，账务处理及时，会计核算规范。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 w:hAnsi="仿宋" w:eastAsia="仿宋" w:cs="Times New Roman"/>
          <w:bCs/>
          <w:kern w:val="0"/>
          <w:sz w:val="32"/>
          <w:szCs w:val="32"/>
          <w:lang w:val="en-US" w:eastAsia="zh-CN" w:bidi="ar-SA"/>
        </w:rPr>
      </w:pPr>
      <w:r>
        <w:rPr>
          <w:rFonts w:hint="eastAsia" w:ascii="楷体" w:hAnsi="楷体" w:eastAsia="楷体" w:cs="楷体"/>
          <w:b/>
          <w:bCs w:val="0"/>
          <w:kern w:val="0"/>
          <w:sz w:val="32"/>
          <w:szCs w:val="32"/>
          <w:lang w:val="en-US" w:eastAsia="zh-CN" w:bidi="ar-SA"/>
        </w:rPr>
        <w:t>（三）项目监管情况。</w:t>
      </w:r>
      <w:r>
        <w:rPr>
          <w:rFonts w:hint="eastAsia" w:ascii="仿宋" w:hAnsi="仿宋" w:eastAsia="仿宋" w:cs="Times New Roman"/>
          <w:bCs/>
          <w:kern w:val="0"/>
          <w:sz w:val="32"/>
          <w:szCs w:val="32"/>
          <w:lang w:val="en-US" w:eastAsia="zh-CN" w:bidi="ar-SA"/>
        </w:rPr>
        <w:t xml:space="preserve">经开区管理委员会的园区集中推进工作项目的实施，改善了园区的生产生活环境，推进了重点项目的实施进度，改善了营商环境，同时项目实施监督到位，产生了良好的社会环境效益。 </w:t>
      </w:r>
    </w:p>
    <w:p>
      <w:pPr>
        <w:keepNext w:val="0"/>
        <w:keepLines w:val="0"/>
        <w:pageBreakBefore w:val="0"/>
        <w:widowControl w:val="0"/>
        <w:kinsoku/>
        <w:wordWrap/>
        <w:overflowPunct/>
        <w:topLinePunct w:val="0"/>
        <w:autoSpaceDE/>
        <w:autoSpaceDN/>
        <w:bidi w:val="0"/>
        <w:adjustRightInd/>
        <w:snapToGrid/>
        <w:spacing w:line="550" w:lineRule="exact"/>
        <w:ind w:firstLine="620" w:firstLineChars="200"/>
        <w:textAlignment w:val="auto"/>
      </w:pPr>
      <w:r>
        <w:rPr>
          <w:rFonts w:hint="eastAsia" w:ascii="黑体" w:hAnsi="宋体" w:eastAsia="黑体" w:cs="黑体"/>
          <w:color w:val="000000"/>
          <w:kern w:val="0"/>
          <w:sz w:val="31"/>
          <w:szCs w:val="31"/>
          <w:lang w:val="en-US" w:eastAsia="zh-CN" w:bidi="ar"/>
        </w:rPr>
        <w:t xml:space="preserve">四、项目绩效情况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（一）项目完成情况。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 w:hAnsi="仿宋" w:eastAsia="仿宋" w:cs="Times New Roman"/>
          <w:bCs/>
          <w:kern w:val="0"/>
          <w:sz w:val="32"/>
          <w:szCs w:val="32"/>
          <w:lang w:val="en-US" w:eastAsia="zh-CN" w:bidi="ar-SA"/>
        </w:rPr>
        <w:t>本项目实施管理规范有序，资金使用管理到位，实施后社会经济效益凸显。</w:t>
      </w:r>
      <w:r>
        <w:rPr>
          <w:rFonts w:hint="eastAsia" w:ascii="仿宋_GB2312" w:hAnsi="仿宋_GB2312" w:eastAsia="仿宋_GB2312" w:cs="仿宋_GB2312"/>
          <w:sz w:val="32"/>
          <w:szCs w:val="32"/>
          <w:lang w:val="en-US" w:eastAsia="zh-CN"/>
        </w:rPr>
        <w:t>正牧兽药、双鱼001-X6等2个项目建成投产，金剑工业园区项目一期、剑门工业园区基础设施项目、剑阁县普安乡村振兴食品加工产业园等项目加快建设。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在资金使用过程中，严把监督审核关，建立健全内部审批制度。对每笔用款申请，在所附资料齐备的情况下，经审核确认后再报县财政局审批后付款，确保园区内重点项目正常推进，项目实施到位，产生了良好的社会环境效益。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（二）项目效益情况。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1.社会效益：通过项目的实施，加强了园区内职工的安全意识，加快了园区重点项目的建设进度，改善了园区内的环境。项目的实施也增加了当地的就业，提高了当地人民的生活水平。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2.环境效益：通过项目的实施，改善了园区内的生态环境和面貌，促进经济可持续发展 ，更好地展现了我县的风貌。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3.经济效益：项目的实施促进的当地的经济发展。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4.可持续影响：通过项目的实施，强化全民安全意识和责任意识，环境的改善也为了以后更好地招商引资提供了条件，项目建成后可以持续地为当地提供更多的就业机会，增加当地的税收收入，从而促进当地的经济发展。 </w:t>
      </w:r>
    </w:p>
    <w:p>
      <w:pPr>
        <w:keepNext w:val="0"/>
        <w:keepLines w:val="0"/>
        <w:widowControl/>
        <w:suppressLineNumbers w:val="0"/>
        <w:ind w:firstLine="620" w:firstLineChars="200"/>
        <w:jc w:val="left"/>
        <w:rPr>
          <w:rFonts w:hint="eastAsia" w:ascii="仿宋" w:hAnsi="仿宋" w:eastAsia="仿宋" w:cs="Times New Roman"/>
          <w:b/>
          <w:bCs w:val="0"/>
          <w:kern w:val="0"/>
          <w:sz w:val="32"/>
          <w:szCs w:val="32"/>
          <w:lang w:val="en-US" w:eastAsia="zh-CN" w:bidi="ar-SA"/>
        </w:rPr>
      </w:pPr>
      <w:r>
        <w:rPr>
          <w:rFonts w:hint="eastAsia" w:ascii="黑体" w:hAnsi="宋体" w:eastAsia="黑体" w:cs="黑体"/>
          <w:color w:val="000000"/>
          <w:kern w:val="0"/>
          <w:sz w:val="31"/>
          <w:szCs w:val="31"/>
          <w:lang w:val="en-US" w:eastAsia="zh-CN" w:bidi="ar"/>
        </w:rPr>
        <w:t>五、评价结论及</w:t>
      </w:r>
      <w:r>
        <w:rPr>
          <w:rFonts w:hint="eastAsia" w:ascii="仿宋" w:hAnsi="仿宋" w:eastAsia="仿宋" w:cs="Times New Roman"/>
          <w:b/>
          <w:bCs w:val="0"/>
          <w:kern w:val="0"/>
          <w:sz w:val="32"/>
          <w:szCs w:val="32"/>
          <w:lang w:val="en-US" w:eastAsia="zh-CN" w:bidi="ar-SA"/>
        </w:rPr>
        <w:t xml:space="preserve">建议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（一）评价结论。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我们认为：经开区管理委员会的园区集中推进工作项目的实施，改善了园区的生产生活环境，促进了重点项目的推进，完善了园区生产服务环境，给当地提供了更多的就业机会，项 目实施到位，产生了良好的社会环境效益。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 xml:space="preserve">根据经开区管理委员会项目绩效评价指标表考评，此次评价指标总分值98分，综合得分为90分，其中：产出指标总分值50分，评价得分48分，效益指标总分值30分，评价得分30分，满意度指标分值10分，评价得分10分，财务指标分值10分，评价得分10分。评价等次：优。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（二）存在的问题。 </w:t>
      </w:r>
    </w:p>
    <w:p>
      <w:pPr>
        <w:keepNext w:val="0"/>
        <w:keepLines w:val="0"/>
        <w:widowControl/>
        <w:suppressLineNumbers w:val="0"/>
        <w:jc w:val="left"/>
        <w:rPr>
          <w:rFonts w:hint="eastAsia" w:ascii="仿宋" w:hAnsi="仿宋" w:eastAsia="仿宋" w:cs="Times New Roman"/>
          <w:bCs/>
          <w:kern w:val="0"/>
          <w:sz w:val="32"/>
          <w:szCs w:val="32"/>
          <w:lang w:val="en-US" w:eastAsia="zh-CN" w:bidi="ar-SA"/>
        </w:rPr>
      </w:pPr>
      <w:r>
        <w:rPr>
          <w:rFonts w:hint="eastAsia" w:ascii="仿宋" w:hAnsi="仿宋" w:eastAsia="仿宋" w:cs="仿宋"/>
          <w:color w:val="000000"/>
          <w:kern w:val="0"/>
          <w:sz w:val="31"/>
          <w:szCs w:val="31"/>
          <w:lang w:val="en-US" w:eastAsia="zh-CN" w:bidi="ar"/>
        </w:rPr>
        <w:t xml:space="preserve">  </w:t>
      </w:r>
      <w:r>
        <w:rPr>
          <w:rFonts w:hint="eastAsia" w:ascii="仿宋" w:hAnsi="仿宋" w:eastAsia="仿宋" w:cs="Times New Roman"/>
          <w:bCs/>
          <w:kern w:val="0"/>
          <w:sz w:val="32"/>
          <w:szCs w:val="32"/>
          <w:lang w:val="en-US" w:eastAsia="zh-CN" w:bidi="ar-SA"/>
        </w:rPr>
        <w:t xml:space="preserve">  安全意识还需加强，园区项目建设工作中存在很多安全隐患，如施工安全、机械运作安全和用电安全等，安全意识不能有一刻放松。 </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楷体" w:hAnsi="楷体" w:eastAsia="楷体" w:cs="楷体"/>
          <w:b/>
          <w:bCs w:val="0"/>
          <w:kern w:val="0"/>
          <w:sz w:val="32"/>
          <w:szCs w:val="32"/>
          <w:lang w:val="en-US" w:eastAsia="zh-CN" w:bidi="ar-SA"/>
        </w:rPr>
      </w:pPr>
      <w:r>
        <w:rPr>
          <w:rFonts w:hint="eastAsia" w:ascii="楷体" w:hAnsi="楷体" w:eastAsia="楷体" w:cs="楷体"/>
          <w:b/>
          <w:bCs w:val="0"/>
          <w:kern w:val="0"/>
          <w:sz w:val="32"/>
          <w:szCs w:val="32"/>
          <w:lang w:val="en-US" w:eastAsia="zh-CN" w:bidi="ar-SA"/>
        </w:rPr>
        <w:t xml:space="preserve">（三）相关建议。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bCs/>
          <w:kern w:val="0"/>
          <w:sz w:val="32"/>
          <w:szCs w:val="32"/>
          <w:lang w:val="en-US" w:eastAsia="zh-CN" w:bidi="ar-SA"/>
        </w:rPr>
      </w:pPr>
      <w:r>
        <w:rPr>
          <w:rFonts w:hint="eastAsia" w:ascii="仿宋" w:hAnsi="仿宋" w:eastAsia="仿宋" w:cs="Times New Roman"/>
          <w:bCs/>
          <w:kern w:val="0"/>
          <w:sz w:val="32"/>
          <w:szCs w:val="32"/>
          <w:lang w:val="en-US" w:eastAsia="zh-CN" w:bidi="ar-SA"/>
        </w:rPr>
        <w:t>一是强化责任落实，建立安全管理长效机制，加大日常安全生产宣传，</w:t>
      </w:r>
      <w:r>
        <w:rPr>
          <w:rFonts w:hint="default" w:ascii="仿宋" w:hAnsi="仿宋" w:eastAsia="仿宋" w:cs="Times New Roman"/>
          <w:bCs/>
          <w:kern w:val="0"/>
          <w:sz w:val="32"/>
          <w:szCs w:val="32"/>
          <w:lang w:val="en-US" w:eastAsia="zh-CN" w:bidi="ar-SA"/>
        </w:rPr>
        <w:t>及时消除安全隐患</w:t>
      </w:r>
      <w:r>
        <w:rPr>
          <w:rFonts w:hint="eastAsia" w:ascii="仿宋" w:hAnsi="仿宋" w:eastAsia="仿宋" w:cs="Times New Roman"/>
          <w:bCs/>
          <w:kern w:val="0"/>
          <w:sz w:val="32"/>
          <w:szCs w:val="32"/>
          <w:lang w:val="en-US" w:eastAsia="zh-CN" w:bidi="ar-SA"/>
        </w:rPr>
        <w:t>。二是完善园区内安全设施。三是完善安全管理，加大宣传，健全</w:t>
      </w:r>
      <w:r>
        <w:rPr>
          <w:rFonts w:hint="default" w:ascii="仿宋" w:hAnsi="仿宋" w:eastAsia="仿宋" w:cs="Times New Roman"/>
          <w:bCs/>
          <w:kern w:val="0"/>
          <w:sz w:val="32"/>
          <w:szCs w:val="32"/>
          <w:lang w:val="en-US" w:eastAsia="zh-CN" w:bidi="ar-SA"/>
        </w:rPr>
        <w:t>园区安全生产管理机构</w:t>
      </w:r>
      <w:r>
        <w:rPr>
          <w:rFonts w:hint="eastAsia" w:ascii="仿宋" w:hAnsi="仿宋" w:eastAsia="仿宋" w:cs="Times New Roman"/>
          <w:bCs/>
          <w:kern w:val="0"/>
          <w:sz w:val="32"/>
          <w:szCs w:val="32"/>
          <w:lang w:val="en-US" w:eastAsia="zh-CN" w:bidi="ar-SA"/>
        </w:rPr>
        <w:t>。</w:t>
      </w:r>
    </w:p>
    <w:tbl>
      <w:tblPr>
        <w:tblStyle w:val="17"/>
        <w:tblpPr w:leftFromText="180" w:rightFromText="180" w:vertAnchor="text" w:horzAnchor="page" w:tblpXSpec="center" w:tblpY="660"/>
        <w:tblOverlap w:val="never"/>
        <w:tblW w:w="9811" w:type="dxa"/>
        <w:jc w:val="center"/>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jc w:val="center"/>
        </w:trPr>
        <w:tc>
          <w:tcPr>
            <w:tcW w:w="9575" w:type="dxa"/>
            <w:gridSpan w:val="6"/>
            <w:tcBorders>
              <w:top w:val="nil"/>
              <w:left w:val="nil"/>
              <w:bottom w:val="nil"/>
              <w:right w:val="nil"/>
            </w:tcBorders>
            <w:noWrap w:val="0"/>
            <w:vAlign w:val="center"/>
          </w:tcPr>
          <w:p>
            <w:pPr>
              <w:widowControl/>
              <w:ind w:firstLine="1285" w:firstLineChars="400"/>
              <w:textAlignment w:val="center"/>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园区集中推进工作</w:t>
            </w:r>
            <w:r>
              <w:rPr>
                <w:rFonts w:hint="eastAsia" w:ascii="宋体" w:hAnsi="宋体" w:eastAsia="宋体" w:cs="宋体"/>
                <w:b/>
                <w:sz w:val="32"/>
                <w:szCs w:val="32"/>
                <w:lang w:val="zh-CN"/>
              </w:rPr>
              <w:t>支出</w:t>
            </w:r>
            <w:r>
              <w:rPr>
                <w:rFonts w:hint="eastAsia" w:ascii="宋体" w:hAnsi="宋体" w:eastAsia="宋体" w:cs="宋体"/>
                <w:b/>
                <w:sz w:val="32"/>
                <w:szCs w:val="32"/>
              </w:rPr>
              <w:t>项目绩效目标自评</w:t>
            </w:r>
          </w:p>
        </w:tc>
        <w:tc>
          <w:tcPr>
            <w:tcW w:w="236" w:type="dxa"/>
            <w:tcBorders>
              <w:top w:val="nil"/>
              <w:left w:val="nil"/>
              <w:bottom w:val="nil"/>
              <w:right w:val="nil"/>
            </w:tcBorders>
            <w:noWrap w:val="0"/>
            <w:vAlign w:val="center"/>
          </w:tcPr>
          <w:p>
            <w:pPr>
              <w:widowControl/>
              <w:textAlignment w:val="center"/>
              <w:rPr>
                <w:rFonts w:hint="eastAsia" w:ascii="宋体" w:hAnsi="宋体" w:eastAsia="宋体" w:cs="宋体"/>
                <w:b/>
                <w:sz w:val="32"/>
                <w:szCs w:val="32"/>
              </w:rPr>
            </w:pPr>
          </w:p>
        </w:tc>
      </w:tr>
      <w:tr>
        <w:tblPrEx>
          <w:tblCellMar>
            <w:top w:w="0" w:type="dxa"/>
            <w:left w:w="108" w:type="dxa"/>
            <w:bottom w:w="0" w:type="dxa"/>
            <w:right w:w="108" w:type="dxa"/>
          </w:tblCellMar>
        </w:tblPrEx>
        <w:trPr>
          <w:gridAfter w:val="1"/>
          <w:wAfter w:w="236" w:type="dxa"/>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经建股</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剑阁经济开发区管理委员会</w:t>
            </w:r>
          </w:p>
        </w:tc>
      </w:tr>
      <w:tr>
        <w:tblPrEx>
          <w:tblCellMar>
            <w:top w:w="0" w:type="dxa"/>
            <w:left w:w="108" w:type="dxa"/>
            <w:bottom w:w="0" w:type="dxa"/>
            <w:right w:w="108" w:type="dxa"/>
          </w:tblCellMar>
        </w:tblPrEx>
        <w:trPr>
          <w:gridAfter w:val="1"/>
          <w:wAfter w:w="236" w:type="dxa"/>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right"/>
              <w:textAlignment w:val="center"/>
              <w:rPr>
                <w:rFonts w:hint="default" w:ascii="宋体" w:hAnsi="宋体" w:eastAsia="宋体"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gridAfter w:val="1"/>
          <w:wAfter w:w="236" w:type="dxa"/>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15</w:t>
            </w:r>
          </w:p>
        </w:tc>
      </w:tr>
      <w:tr>
        <w:tblPrEx>
          <w:tblCellMar>
            <w:top w:w="0" w:type="dxa"/>
            <w:left w:w="108" w:type="dxa"/>
            <w:bottom w:w="0" w:type="dxa"/>
            <w:right w:w="108" w:type="dxa"/>
          </w:tblCellMar>
        </w:tblPrEx>
        <w:trPr>
          <w:gridAfter w:val="1"/>
          <w:wAfter w:w="236" w:type="dxa"/>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hint="default" w:ascii="宋体" w:hAnsi="宋体" w:eastAsia="宋体" w:cs="宋体"/>
                <w:sz w:val="24"/>
                <w:lang w:val="en-US" w:eastAsia="zh-CN"/>
              </w:rPr>
            </w:pPr>
            <w:r>
              <w:rPr>
                <w:rFonts w:hint="eastAsia" w:ascii="宋体" w:hAnsi="宋体" w:eastAsia="宋体" w:cs="宋体"/>
                <w:sz w:val="24"/>
                <w:lang w:val="en-US" w:eastAsia="zh-CN"/>
              </w:rPr>
              <w:t>环境整治</w:t>
            </w:r>
            <w:r>
              <w:rPr>
                <w:rFonts w:hint="eastAsia" w:ascii="宋体" w:hAnsi="宋体" w:cs="宋体"/>
                <w:sz w:val="24"/>
                <w:lang w:val="en-US" w:eastAsia="zh-CN"/>
              </w:rPr>
              <w:t>12</w:t>
            </w:r>
            <w:r>
              <w:rPr>
                <w:rFonts w:hint="eastAsia" w:ascii="宋体" w:hAnsi="宋体" w:eastAsia="宋体" w:cs="宋体"/>
                <w:sz w:val="24"/>
                <w:lang w:val="en-US" w:eastAsia="zh-CN"/>
              </w:rPr>
              <w:t>次，</w:t>
            </w:r>
            <w:r>
              <w:rPr>
                <w:rFonts w:hint="eastAsia" w:ascii="宋体" w:hAnsi="宋体" w:cs="宋体"/>
                <w:sz w:val="24"/>
                <w:lang w:val="en-US" w:eastAsia="zh-CN"/>
              </w:rPr>
              <w:t>安全生产</w:t>
            </w:r>
            <w:r>
              <w:rPr>
                <w:rFonts w:hint="eastAsia" w:ascii="宋体" w:hAnsi="宋体" w:eastAsia="宋体" w:cs="宋体"/>
                <w:sz w:val="24"/>
                <w:lang w:val="en-US" w:eastAsia="zh-CN"/>
              </w:rPr>
              <w:t>会议12次，从而加快完成2个重点项目，加快推进3个县重点项目、3个市重点项目，促进当地经济可持续又快又好的发展</w:t>
            </w:r>
          </w:p>
        </w:tc>
        <w:tc>
          <w:tcPr>
            <w:tcW w:w="3633"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20" w:lineRule="exact"/>
              <w:jc w:val="left"/>
              <w:textAlignment w:val="top"/>
              <w:rPr>
                <w:rFonts w:ascii="宋体" w:hAnsi="宋体" w:cs="宋体"/>
                <w:sz w:val="24"/>
              </w:rPr>
            </w:pPr>
            <w:r>
              <w:rPr>
                <w:rFonts w:hint="eastAsia" w:ascii="宋体" w:hAnsi="宋体" w:eastAsia="宋体" w:cs="宋体"/>
                <w:sz w:val="24"/>
                <w:lang w:val="en-US" w:eastAsia="zh-CN"/>
              </w:rPr>
              <w:t>环境整治</w:t>
            </w:r>
            <w:r>
              <w:rPr>
                <w:rFonts w:hint="eastAsia" w:ascii="宋体" w:hAnsi="宋体" w:cs="宋体"/>
                <w:sz w:val="24"/>
                <w:lang w:val="en-US" w:eastAsia="zh-CN"/>
              </w:rPr>
              <w:t>12</w:t>
            </w:r>
            <w:r>
              <w:rPr>
                <w:rFonts w:hint="eastAsia" w:ascii="宋体" w:hAnsi="宋体" w:eastAsia="宋体" w:cs="宋体"/>
                <w:sz w:val="24"/>
                <w:lang w:val="en-US" w:eastAsia="zh-CN"/>
              </w:rPr>
              <w:t>次，</w:t>
            </w:r>
            <w:r>
              <w:rPr>
                <w:rFonts w:hint="eastAsia" w:ascii="宋体" w:hAnsi="宋体" w:cs="宋体"/>
                <w:sz w:val="24"/>
                <w:lang w:val="en-US" w:eastAsia="zh-CN"/>
              </w:rPr>
              <w:t>安全生产</w:t>
            </w:r>
            <w:r>
              <w:rPr>
                <w:rFonts w:hint="eastAsia" w:ascii="宋体" w:hAnsi="宋体" w:eastAsia="宋体" w:cs="宋体"/>
                <w:sz w:val="24"/>
                <w:lang w:val="en-US" w:eastAsia="zh-CN"/>
              </w:rPr>
              <w:t>会议12次，从而加快完成2个重点项目，加快推进3个县重点项目、3个市重点项目，促进当地经济可持续又快又好的发展</w:t>
            </w:r>
          </w:p>
        </w:tc>
      </w:tr>
      <w:tr>
        <w:tblPrEx>
          <w:tblCellMar>
            <w:top w:w="0" w:type="dxa"/>
            <w:left w:w="108" w:type="dxa"/>
            <w:bottom w:w="0" w:type="dxa"/>
            <w:right w:w="108" w:type="dxa"/>
          </w:tblCellMar>
        </w:tblPrEx>
        <w:trPr>
          <w:gridAfter w:val="1"/>
          <w:wAfter w:w="236" w:type="dxa"/>
          <w:trHeight w:val="693" w:hRule="atLeast"/>
          <w:jc w:val="center"/>
        </w:trPr>
        <w:tc>
          <w:tcPr>
            <w:tcW w:w="1976"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1310"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安全会议、环境整治</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12次</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12次</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完成目标任务</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优</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优</w:t>
            </w:r>
          </w:p>
        </w:tc>
      </w:tr>
      <w:tr>
        <w:tblPrEx>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项目成果时效</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2022年底</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2022年底</w:t>
            </w:r>
          </w:p>
        </w:tc>
      </w:tr>
      <w:tr>
        <w:tblPrEx>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15</w:t>
            </w:r>
            <w:r>
              <w:rPr>
                <w:rFonts w:hint="eastAsia" w:ascii="宋体" w:hAnsi="宋体" w:eastAsia="宋体" w:cs="宋体"/>
                <w:kern w:val="2"/>
                <w:sz w:val="24"/>
                <w:szCs w:val="24"/>
                <w:lang w:val="en-US" w:eastAsia="zh-CN" w:bidi="ar-SA"/>
              </w:rPr>
              <w:t>万元</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15万以内</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15万以内</w:t>
            </w:r>
          </w:p>
        </w:tc>
      </w:tr>
      <w:tr>
        <w:tblPrEx>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both"/>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经济发展</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促进当地经济发展，增加税收</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促进当地经济发展，增加税收</w:t>
            </w:r>
          </w:p>
        </w:tc>
      </w:tr>
      <w:tr>
        <w:tblPrEx>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就业增加</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both"/>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增加了当地就业</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增加了当地就业</w:t>
            </w:r>
          </w:p>
        </w:tc>
      </w:tr>
      <w:tr>
        <w:tblPrEx>
          <w:tblCellMar>
            <w:top w:w="0" w:type="dxa"/>
            <w:left w:w="108" w:type="dxa"/>
            <w:bottom w:w="0" w:type="dxa"/>
            <w:right w:w="108" w:type="dxa"/>
          </w:tblCellMar>
        </w:tblPrEx>
        <w:trPr>
          <w:gridAfter w:val="1"/>
          <w:wAfter w:w="236" w:type="dxa"/>
          <w:trHeight w:val="577"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both"/>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持续增就业、促进当地经济发展</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持续增就业、促进当地经济发展</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持续增就业、促进当地经济发展</w:t>
            </w:r>
          </w:p>
        </w:tc>
      </w:tr>
      <w:tr>
        <w:tblPrEx>
          <w:tblCellMar>
            <w:top w:w="0" w:type="dxa"/>
            <w:left w:w="108" w:type="dxa"/>
            <w:bottom w:w="0" w:type="dxa"/>
            <w:right w:w="108" w:type="dxa"/>
          </w:tblCellMar>
        </w:tblPrEx>
        <w:trPr>
          <w:gridAfter w:val="1"/>
          <w:wAfter w:w="236" w:type="dxa"/>
          <w:trHeight w:val="530" w:hRule="atLeast"/>
          <w:jc w:val="center"/>
        </w:trPr>
        <w:tc>
          <w:tcPr>
            <w:tcW w:w="1976"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 w:hAnsi="仿宋" w:eastAsia="仿宋" w:cs="仿宋"/>
                <w:color w:val="000000"/>
                <w:kern w:val="0"/>
                <w:sz w:val="31"/>
                <w:szCs w:val="31"/>
                <w:lang w:val="en-US" w:eastAsia="zh-CN" w:bidi="ar"/>
              </w:rPr>
              <w:t>大于等于 95%</w:t>
            </w:r>
          </w:p>
        </w:tc>
        <w:tc>
          <w:tcPr>
            <w:tcW w:w="1224"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w:t>
            </w:r>
          </w:p>
        </w:tc>
        <w:tc>
          <w:tcPr>
            <w:tcW w:w="2409"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w:t>
            </w:r>
          </w:p>
        </w:tc>
      </w:tr>
    </w:tbl>
    <w:p>
      <w:pPr>
        <w:keepNext w:val="0"/>
        <w:keepLines w:val="0"/>
        <w:widowControl/>
        <w:suppressLineNumbers w:val="0"/>
        <w:jc w:val="left"/>
      </w:pPr>
    </w:p>
    <w:p>
      <w:pPr>
        <w:pStyle w:val="6"/>
        <w:rPr>
          <w:rFonts w:hint="eastAsia" w:ascii="仿宋" w:hAnsi="仿宋" w:eastAsia="仿宋" w:cs="仿宋"/>
          <w:color w:val="000000"/>
          <w:kern w:val="0"/>
          <w:sz w:val="31"/>
          <w:szCs w:val="31"/>
          <w:lang w:val="en-US" w:eastAsia="zh-CN" w:bidi="ar"/>
        </w:rPr>
      </w:pPr>
    </w:p>
    <w:p>
      <w:pPr>
        <w:widowControl/>
        <w:jc w:val="left"/>
        <w:rPr>
          <w:rStyle w:val="30"/>
          <w:rFonts w:ascii="黑体" w:hAnsi="黑体" w:eastAsia="黑体"/>
          <w:b w:val="0"/>
        </w:rPr>
      </w:pPr>
    </w:p>
    <w:p>
      <w:pPr>
        <w:spacing w:line="600" w:lineRule="exact"/>
        <w:jc w:val="center"/>
        <w:outlineLvl w:val="0"/>
        <w:rPr>
          <w:rFonts w:ascii="仿宋" w:hAnsi="仿宋" w:eastAsia="仿宋"/>
        </w:rPr>
      </w:pPr>
      <w:bookmarkStart w:id="61" w:name="_Toc15396618"/>
      <w:r>
        <w:rPr>
          <w:rFonts w:hint="eastAsia" w:ascii="黑体" w:hAnsi="黑体" w:eastAsia="黑体"/>
          <w:sz w:val="44"/>
          <w:szCs w:val="44"/>
        </w:rPr>
        <w:t>第</w:t>
      </w:r>
      <w:r>
        <w:rPr>
          <w:rStyle w:val="30"/>
          <w:rFonts w:hint="eastAsia" w:ascii="黑体" w:hAnsi="黑体" w:eastAsia="黑体"/>
          <w:b w:val="0"/>
        </w:rPr>
        <w:t>五部分 附表</w:t>
      </w:r>
      <w:bookmarkEnd w:id="58"/>
      <w:bookmarkEnd w:id="61"/>
      <w:bookmarkStart w:id="62" w:name="_Toc15396619"/>
    </w:p>
    <w:p>
      <w:pPr>
        <w:pStyle w:val="4"/>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62"/>
    </w:p>
    <w:p>
      <w:pPr>
        <w:pStyle w:val="4"/>
        <w:rPr>
          <w:rFonts w:ascii="仿宋" w:hAnsi="仿宋" w:eastAsia="仿宋"/>
        </w:rPr>
      </w:pPr>
      <w:bookmarkStart w:id="63" w:name="_Toc15396620"/>
      <w:r>
        <w:rPr>
          <w:rFonts w:hint="eastAsia" w:ascii="仿宋" w:hAnsi="仿宋" w:eastAsia="仿宋"/>
          <w:b w:val="0"/>
        </w:rPr>
        <w:t>二、收</w:t>
      </w:r>
      <w:r>
        <w:rPr>
          <w:rStyle w:val="31"/>
          <w:rFonts w:hint="eastAsia" w:ascii="仿宋" w:hAnsi="仿宋" w:eastAsia="仿宋"/>
          <w:b w:val="0"/>
          <w:bCs w:val="0"/>
        </w:rPr>
        <w:t>入决算表</w:t>
      </w:r>
      <w:bookmarkEnd w:id="63"/>
    </w:p>
    <w:p>
      <w:pPr>
        <w:pStyle w:val="4"/>
        <w:rPr>
          <w:rFonts w:ascii="仿宋" w:hAnsi="仿宋" w:eastAsia="仿宋"/>
        </w:rPr>
      </w:pPr>
      <w:bookmarkStart w:id="64"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64"/>
    </w:p>
    <w:p>
      <w:pPr>
        <w:pStyle w:val="4"/>
        <w:rPr>
          <w:rFonts w:ascii="仿宋" w:hAnsi="仿宋" w:eastAsia="仿宋"/>
          <w:b w:val="0"/>
        </w:rPr>
      </w:pPr>
      <w:bookmarkStart w:id="65"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65"/>
    </w:p>
    <w:p>
      <w:pPr>
        <w:pStyle w:val="4"/>
        <w:rPr>
          <w:rStyle w:val="31"/>
          <w:rFonts w:ascii="仿宋" w:hAnsi="仿宋" w:eastAsia="仿宋"/>
          <w:b w:val="0"/>
          <w:bCs w:val="0"/>
        </w:rPr>
      </w:pPr>
      <w:bookmarkStart w:id="66"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66"/>
      <w:bookmarkStart w:id="67" w:name="_Toc15396624"/>
    </w:p>
    <w:p>
      <w:pPr>
        <w:pStyle w:val="4"/>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67"/>
    </w:p>
    <w:p>
      <w:pPr>
        <w:pStyle w:val="4"/>
        <w:rPr>
          <w:rFonts w:ascii="仿宋" w:hAnsi="仿宋" w:eastAsia="仿宋"/>
        </w:rPr>
      </w:pPr>
      <w:bookmarkStart w:id="68"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8"/>
    </w:p>
    <w:p>
      <w:pPr>
        <w:pStyle w:val="4"/>
        <w:rPr>
          <w:rFonts w:ascii="仿宋" w:hAnsi="仿宋" w:eastAsia="仿宋"/>
        </w:rPr>
      </w:pPr>
      <w:bookmarkStart w:id="69"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9"/>
    </w:p>
    <w:p>
      <w:pPr>
        <w:pStyle w:val="4"/>
        <w:rPr>
          <w:rFonts w:ascii="仿宋" w:hAnsi="仿宋" w:eastAsia="仿宋"/>
        </w:rPr>
      </w:pPr>
      <w:bookmarkStart w:id="70"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70"/>
    </w:p>
    <w:p>
      <w:pPr>
        <w:pStyle w:val="4"/>
        <w:rPr>
          <w:rFonts w:ascii="仿宋" w:hAnsi="仿宋" w:eastAsia="仿宋"/>
        </w:rPr>
      </w:pPr>
      <w:bookmarkStart w:id="71" w:name="_Toc15396628"/>
      <w:r>
        <w:rPr>
          <w:rStyle w:val="31"/>
          <w:rFonts w:hint="eastAsia" w:ascii="仿宋" w:hAnsi="仿宋" w:eastAsia="仿宋"/>
          <w:b w:val="0"/>
          <w:bCs w:val="0"/>
        </w:rPr>
        <w:t>十、</w:t>
      </w:r>
      <w:bookmarkEnd w:id="71"/>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4"/>
        <w:rPr>
          <w:rFonts w:ascii="仿宋" w:hAnsi="仿宋" w:eastAsia="仿宋"/>
        </w:rPr>
      </w:pPr>
      <w:bookmarkStart w:id="72" w:name="_Toc15396629"/>
      <w:r>
        <w:rPr>
          <w:rStyle w:val="31"/>
          <w:rFonts w:hint="eastAsia" w:ascii="仿宋" w:hAnsi="仿宋" w:eastAsia="仿宋"/>
          <w:b w:val="0"/>
          <w:bCs w:val="0"/>
        </w:rPr>
        <w:t>十一、</w:t>
      </w:r>
      <w:bookmarkEnd w:id="72"/>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4"/>
        <w:rPr>
          <w:rFonts w:ascii="仿宋" w:hAnsi="仿宋" w:eastAsia="仿宋"/>
        </w:rPr>
      </w:pPr>
      <w:bookmarkStart w:id="73" w:name="_Toc15396630"/>
      <w:r>
        <w:rPr>
          <w:rStyle w:val="31"/>
          <w:rFonts w:hint="eastAsia" w:ascii="仿宋" w:hAnsi="仿宋" w:eastAsia="仿宋"/>
          <w:b w:val="0"/>
          <w:bCs w:val="0"/>
        </w:rPr>
        <w:t>十二、</w:t>
      </w:r>
      <w:bookmarkEnd w:id="73"/>
      <w:r>
        <w:rPr>
          <w:rStyle w:val="31"/>
          <w:rFonts w:hint="eastAsia" w:ascii="仿宋" w:hAnsi="仿宋" w:eastAsia="仿宋"/>
          <w:b w:val="0"/>
          <w:bCs w:val="0"/>
        </w:rPr>
        <w:t>国有资本经营预算财政拨款支出决算表</w:t>
      </w:r>
    </w:p>
    <w:p>
      <w:pPr>
        <w:pStyle w:val="4"/>
        <w:rPr>
          <w:rFonts w:eastAsia="仿宋"/>
        </w:rPr>
      </w:pPr>
      <w:bookmarkStart w:id="74" w:name="_Toc15396631"/>
      <w:r>
        <w:rPr>
          <w:rStyle w:val="31"/>
          <w:rFonts w:hint="eastAsia" w:ascii="仿宋" w:hAnsi="仿宋" w:eastAsia="仿宋"/>
          <w:b w:val="0"/>
          <w:bCs w:val="0"/>
        </w:rPr>
        <w:t>十三、</w:t>
      </w:r>
      <w:bookmarkEnd w:id="74"/>
      <w:r>
        <w:rPr>
          <w:rStyle w:val="31"/>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47F"/>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2DA2"/>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6017"/>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1E31E1A"/>
    <w:rsid w:val="02143E91"/>
    <w:rsid w:val="02595BBD"/>
    <w:rsid w:val="02CE17E8"/>
    <w:rsid w:val="04CE1F73"/>
    <w:rsid w:val="051F528C"/>
    <w:rsid w:val="056F2B0A"/>
    <w:rsid w:val="066E0107"/>
    <w:rsid w:val="06C80016"/>
    <w:rsid w:val="06D7510F"/>
    <w:rsid w:val="07856413"/>
    <w:rsid w:val="07996F6E"/>
    <w:rsid w:val="09D43B87"/>
    <w:rsid w:val="0A2032A3"/>
    <w:rsid w:val="0A4B10A8"/>
    <w:rsid w:val="0B372885"/>
    <w:rsid w:val="0D91349E"/>
    <w:rsid w:val="0E435923"/>
    <w:rsid w:val="0E4B1F3E"/>
    <w:rsid w:val="0EC87332"/>
    <w:rsid w:val="0ECA7307"/>
    <w:rsid w:val="0EE20AF5"/>
    <w:rsid w:val="0F98263C"/>
    <w:rsid w:val="101860EC"/>
    <w:rsid w:val="104A787A"/>
    <w:rsid w:val="10C055FF"/>
    <w:rsid w:val="116059E0"/>
    <w:rsid w:val="11730499"/>
    <w:rsid w:val="11744968"/>
    <w:rsid w:val="118107EC"/>
    <w:rsid w:val="11D46A9F"/>
    <w:rsid w:val="11D87F8D"/>
    <w:rsid w:val="120D40DA"/>
    <w:rsid w:val="133950D7"/>
    <w:rsid w:val="133E4F78"/>
    <w:rsid w:val="13D50BC4"/>
    <w:rsid w:val="14353475"/>
    <w:rsid w:val="16844748"/>
    <w:rsid w:val="16BB723D"/>
    <w:rsid w:val="17190E2C"/>
    <w:rsid w:val="171C10BD"/>
    <w:rsid w:val="17E7717C"/>
    <w:rsid w:val="18310B01"/>
    <w:rsid w:val="195D57D8"/>
    <w:rsid w:val="19DD25E4"/>
    <w:rsid w:val="1A911621"/>
    <w:rsid w:val="1AD34807"/>
    <w:rsid w:val="1AF17964"/>
    <w:rsid w:val="1BB2184F"/>
    <w:rsid w:val="1BE8440E"/>
    <w:rsid w:val="1D1207F7"/>
    <w:rsid w:val="1D155CEE"/>
    <w:rsid w:val="1D3958CF"/>
    <w:rsid w:val="1D7B6392"/>
    <w:rsid w:val="1DFB44EB"/>
    <w:rsid w:val="1E193E07"/>
    <w:rsid w:val="1EA36183"/>
    <w:rsid w:val="1EC252ED"/>
    <w:rsid w:val="1EDE602F"/>
    <w:rsid w:val="1FF35744"/>
    <w:rsid w:val="200603BB"/>
    <w:rsid w:val="20D14525"/>
    <w:rsid w:val="21224D81"/>
    <w:rsid w:val="219C2D85"/>
    <w:rsid w:val="21EB6227"/>
    <w:rsid w:val="22EC661A"/>
    <w:rsid w:val="2354168D"/>
    <w:rsid w:val="23860B96"/>
    <w:rsid w:val="23A83C63"/>
    <w:rsid w:val="23DA301F"/>
    <w:rsid w:val="240371BF"/>
    <w:rsid w:val="250A32A2"/>
    <w:rsid w:val="250A6257"/>
    <w:rsid w:val="25595156"/>
    <w:rsid w:val="25B13F72"/>
    <w:rsid w:val="27151C42"/>
    <w:rsid w:val="27A961FC"/>
    <w:rsid w:val="27F974BC"/>
    <w:rsid w:val="28836A4D"/>
    <w:rsid w:val="289724F8"/>
    <w:rsid w:val="29FD04D3"/>
    <w:rsid w:val="2A1079D0"/>
    <w:rsid w:val="2AC46EA9"/>
    <w:rsid w:val="2B4A5600"/>
    <w:rsid w:val="2B6624F8"/>
    <w:rsid w:val="2C8A61B5"/>
    <w:rsid w:val="2CC338BC"/>
    <w:rsid w:val="2CC729F6"/>
    <w:rsid w:val="2D7B2AB8"/>
    <w:rsid w:val="2D7D1547"/>
    <w:rsid w:val="2DF04E50"/>
    <w:rsid w:val="2E7C01C6"/>
    <w:rsid w:val="2F040D46"/>
    <w:rsid w:val="30E43E01"/>
    <w:rsid w:val="31475925"/>
    <w:rsid w:val="319F7F4E"/>
    <w:rsid w:val="32951856"/>
    <w:rsid w:val="32E92062"/>
    <w:rsid w:val="32F6606D"/>
    <w:rsid w:val="3304709D"/>
    <w:rsid w:val="348415BC"/>
    <w:rsid w:val="36AA5135"/>
    <w:rsid w:val="374B653A"/>
    <w:rsid w:val="376D39B2"/>
    <w:rsid w:val="37A077F0"/>
    <w:rsid w:val="37DB0DDB"/>
    <w:rsid w:val="37E16F03"/>
    <w:rsid w:val="37E56C84"/>
    <w:rsid w:val="38D469F0"/>
    <w:rsid w:val="3C410359"/>
    <w:rsid w:val="3CB13731"/>
    <w:rsid w:val="3D98207C"/>
    <w:rsid w:val="3E0755D2"/>
    <w:rsid w:val="3E78745D"/>
    <w:rsid w:val="3FCA4B09"/>
    <w:rsid w:val="3FF43934"/>
    <w:rsid w:val="402614BD"/>
    <w:rsid w:val="40302BBE"/>
    <w:rsid w:val="41AD20A2"/>
    <w:rsid w:val="43FA2487"/>
    <w:rsid w:val="44134CD1"/>
    <w:rsid w:val="4497145E"/>
    <w:rsid w:val="44CD1324"/>
    <w:rsid w:val="44E268DA"/>
    <w:rsid w:val="44EE2122"/>
    <w:rsid w:val="4531336D"/>
    <w:rsid w:val="45603F46"/>
    <w:rsid w:val="458D4BC2"/>
    <w:rsid w:val="46B75DE7"/>
    <w:rsid w:val="47370CD6"/>
    <w:rsid w:val="480F57AF"/>
    <w:rsid w:val="48BE03C3"/>
    <w:rsid w:val="49163302"/>
    <w:rsid w:val="49F91062"/>
    <w:rsid w:val="4A1B46B8"/>
    <w:rsid w:val="4A627F82"/>
    <w:rsid w:val="4A78588E"/>
    <w:rsid w:val="4A8835F7"/>
    <w:rsid w:val="4ADB402D"/>
    <w:rsid w:val="4B0E749A"/>
    <w:rsid w:val="4B4F25DA"/>
    <w:rsid w:val="4B5D2CD5"/>
    <w:rsid w:val="4BE068DB"/>
    <w:rsid w:val="4BF666B1"/>
    <w:rsid w:val="4C4C0689"/>
    <w:rsid w:val="4C942727"/>
    <w:rsid w:val="4D577224"/>
    <w:rsid w:val="4D754306"/>
    <w:rsid w:val="4D7D140D"/>
    <w:rsid w:val="4E1D5B7A"/>
    <w:rsid w:val="4EAB630A"/>
    <w:rsid w:val="4ECE2238"/>
    <w:rsid w:val="4EDE412D"/>
    <w:rsid w:val="4F276D6B"/>
    <w:rsid w:val="4FDC066D"/>
    <w:rsid w:val="50235A38"/>
    <w:rsid w:val="505F180D"/>
    <w:rsid w:val="513A1615"/>
    <w:rsid w:val="51870AAC"/>
    <w:rsid w:val="51B55619"/>
    <w:rsid w:val="51BA0C7E"/>
    <w:rsid w:val="537E6D0A"/>
    <w:rsid w:val="547D0024"/>
    <w:rsid w:val="54B716A8"/>
    <w:rsid w:val="553D31FE"/>
    <w:rsid w:val="57D32355"/>
    <w:rsid w:val="57DD31D4"/>
    <w:rsid w:val="57E46CA6"/>
    <w:rsid w:val="597D4C6F"/>
    <w:rsid w:val="5A1F4B06"/>
    <w:rsid w:val="5AC0223D"/>
    <w:rsid w:val="5AF524D9"/>
    <w:rsid w:val="5AF92295"/>
    <w:rsid w:val="5C3655A9"/>
    <w:rsid w:val="5C9B64A5"/>
    <w:rsid w:val="5CD71FC4"/>
    <w:rsid w:val="5E59732C"/>
    <w:rsid w:val="5F4B4EC7"/>
    <w:rsid w:val="5F4E2C09"/>
    <w:rsid w:val="60545FFD"/>
    <w:rsid w:val="60A56859"/>
    <w:rsid w:val="613A3445"/>
    <w:rsid w:val="618E553F"/>
    <w:rsid w:val="62AF39BF"/>
    <w:rsid w:val="62C76210"/>
    <w:rsid w:val="62DD22DA"/>
    <w:rsid w:val="65037FF2"/>
    <w:rsid w:val="65085608"/>
    <w:rsid w:val="652B4E3D"/>
    <w:rsid w:val="65ED6CD8"/>
    <w:rsid w:val="675863D3"/>
    <w:rsid w:val="67753429"/>
    <w:rsid w:val="679D64DC"/>
    <w:rsid w:val="679F4002"/>
    <w:rsid w:val="680A3EC7"/>
    <w:rsid w:val="6821710D"/>
    <w:rsid w:val="68456552"/>
    <w:rsid w:val="68975621"/>
    <w:rsid w:val="69D844DB"/>
    <w:rsid w:val="6A334ED5"/>
    <w:rsid w:val="6B182A49"/>
    <w:rsid w:val="6B76584F"/>
    <w:rsid w:val="6BF67AFB"/>
    <w:rsid w:val="6C060BC1"/>
    <w:rsid w:val="6C4A05C8"/>
    <w:rsid w:val="6CD40BF2"/>
    <w:rsid w:val="6D2E54F3"/>
    <w:rsid w:val="6DBD3E27"/>
    <w:rsid w:val="6E7E3605"/>
    <w:rsid w:val="6EC537B3"/>
    <w:rsid w:val="6EEE3AC1"/>
    <w:rsid w:val="6F435BBB"/>
    <w:rsid w:val="6F8E5394"/>
    <w:rsid w:val="6F934EEE"/>
    <w:rsid w:val="6FF5CC65"/>
    <w:rsid w:val="702A28D7"/>
    <w:rsid w:val="70B63368"/>
    <w:rsid w:val="71333A0D"/>
    <w:rsid w:val="715C0E4B"/>
    <w:rsid w:val="71D70E12"/>
    <w:rsid w:val="71FF5AAE"/>
    <w:rsid w:val="72734D90"/>
    <w:rsid w:val="72B17DF3"/>
    <w:rsid w:val="73AD73D5"/>
    <w:rsid w:val="73B6EB34"/>
    <w:rsid w:val="744731E5"/>
    <w:rsid w:val="753812B9"/>
    <w:rsid w:val="75DC4673"/>
    <w:rsid w:val="76037E52"/>
    <w:rsid w:val="76C20D00"/>
    <w:rsid w:val="76E3355F"/>
    <w:rsid w:val="778769C8"/>
    <w:rsid w:val="78650950"/>
    <w:rsid w:val="79EE5BA4"/>
    <w:rsid w:val="7A583B82"/>
    <w:rsid w:val="7A6A66F1"/>
    <w:rsid w:val="7A894339"/>
    <w:rsid w:val="7AFD1314"/>
    <w:rsid w:val="7B3665D4"/>
    <w:rsid w:val="7C121B8C"/>
    <w:rsid w:val="7D034BDB"/>
    <w:rsid w:val="7D605B8A"/>
    <w:rsid w:val="7E1669FA"/>
    <w:rsid w:val="7EEF11D3"/>
    <w:rsid w:val="7F131848"/>
    <w:rsid w:val="7F6546DD"/>
    <w:rsid w:val="7FA30C79"/>
    <w:rsid w:val="7FB7269E"/>
    <w:rsid w:val="7FC70142"/>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pPr>
      <w:spacing w:line="620" w:lineRule="exact"/>
    </w:pPr>
    <w:rPr>
      <w:rFonts w:ascii="宋体" w:hAnsi="Courier New" w:eastAsia="仿宋_GB2312"/>
      <w:sz w:val="32"/>
      <w:szCs w:val="21"/>
    </w:rPr>
  </w:style>
  <w:style w:type="paragraph" w:styleId="6">
    <w:name w:val="Body Text"/>
    <w:basedOn w:val="1"/>
    <w:link w:val="27"/>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next w:val="1"/>
    <w:qFormat/>
    <w:uiPriority w:val="0"/>
    <w:rPr>
      <w:rFonts w:ascii="宋体" w:hAnsi="宋体" w:eastAsia="仿宋"/>
      <w:kern w:val="0"/>
      <w:sz w:val="32"/>
    </w:r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7"/>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字符"/>
    <w:link w:val="12"/>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字符"/>
    <w:link w:val="11"/>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字符"/>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8"/>
    <w:link w:val="3"/>
    <w:qFormat/>
    <w:uiPriority w:val="9"/>
    <w:rPr>
      <w:rFonts w:ascii="Times New Roman" w:hAnsi="Times New Roman"/>
      <w:b/>
      <w:bCs/>
      <w:kern w:val="44"/>
      <w:sz w:val="44"/>
      <w:szCs w:val="44"/>
    </w:rPr>
  </w:style>
  <w:style w:type="character" w:customStyle="1" w:styleId="31">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8"/>
    <w:link w:val="10"/>
    <w:semiHidden/>
    <w:qFormat/>
    <w:uiPriority w:val="99"/>
    <w:rPr>
      <w:rFonts w:ascii="Times New Roman" w:hAnsi="Times New Roman"/>
      <w:kern w:val="2"/>
      <w:sz w:val="18"/>
      <w:szCs w:val="18"/>
    </w:rPr>
  </w:style>
  <w:style w:type="character" w:customStyle="1" w:styleId="34">
    <w:name w:val="标题 3 字符"/>
    <w:basedOn w:val="18"/>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character" w:customStyle="1" w:styleId="37">
    <w:name w:val="font41"/>
    <w:basedOn w:val="18"/>
    <w:qFormat/>
    <w:uiPriority w:val="0"/>
    <w:rPr>
      <w:rFonts w:hint="eastAsia" w:ascii="宋体" w:hAnsi="宋体" w:eastAsia="宋体" w:cs="宋体"/>
      <w:color w:val="000000"/>
      <w:sz w:val="20"/>
      <w:szCs w:val="20"/>
      <w:u w:val="none"/>
    </w:rPr>
  </w:style>
  <w:style w:type="character" w:customStyle="1" w:styleId="38">
    <w:name w:val="font21"/>
    <w:basedOn w:val="18"/>
    <w:qFormat/>
    <w:uiPriority w:val="0"/>
    <w:rPr>
      <w:rFonts w:hint="eastAsia" w:ascii="宋体" w:hAnsi="宋体" w:eastAsia="宋体" w:cs="宋体"/>
      <w:color w:val="000000"/>
      <w:sz w:val="20"/>
      <w:szCs w:val="20"/>
      <w:u w:val="none"/>
    </w:rPr>
  </w:style>
  <w:style w:type="character" w:customStyle="1" w:styleId="39">
    <w:name w:val="font01"/>
    <w:basedOn w:val="18"/>
    <w:qFormat/>
    <w:uiPriority w:val="0"/>
    <w:rPr>
      <w:rFonts w:hint="eastAsia" w:ascii="仿宋_GB2312" w:eastAsia="仿宋_GB2312" w:cs="仿宋_GB2312"/>
      <w:color w:val="000000"/>
      <w:sz w:val="21"/>
      <w:szCs w:val="21"/>
      <w:u w:val="none"/>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user\Desktop\&#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5980.55</c:v>
                </c:pt>
                <c:pt idx="1">
                  <c:v>20874.93</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[决算公开插图制作示例.xlsx]图二!$A$1:$A$2</c:f>
              <c:strCache>
                <c:ptCount val="2"/>
                <c:pt idx="0">
                  <c:v>一、一般公共预算财政拨款收入</c:v>
                </c:pt>
                <c:pt idx="1">
                  <c:v>二、政府性基金预算财政拨款收入</c:v>
                </c:pt>
              </c:strCache>
            </c:strRef>
          </c:cat>
          <c:val>
            <c:numRef>
              <c:f>[决算公开插图制作示例.xlsx]图二!$B$1:$B$2</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[决算公开插图制作示例.xlsx]图二!$A$1:$A$2</c:f>
              <c:strCache>
                <c:ptCount val="2"/>
                <c:pt idx="0">
                  <c:v>一、一般公共预算财政拨款收入</c:v>
                </c:pt>
                <c:pt idx="1">
                  <c:v>二、政府性基金预算财政拨款收入</c:v>
                </c:pt>
              </c:strCache>
            </c:strRef>
          </c:cat>
          <c:val>
            <c:numRef>
              <c:f>[决算公开插图制作示例.xlsx]图二!$C$1:$C$2</c:f>
              <c:numCache>
                <c:formatCode>0.00%</c:formatCode>
                <c:ptCount val="2"/>
                <c:pt idx="0">
                  <c:v>0.0581</c:v>
                </c:pt>
                <c:pt idx="1">
                  <c:v>0.9419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0.0218</c:v>
                </c:pt>
                <c:pt idx="1">
                  <c:v>0.9782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5980.55</c:v>
                </c:pt>
                <c:pt idx="1">
                  <c:v>20874.93</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921.19</c:v>
                </c:pt>
                <c:pt idx="1">
                  <c:v>1424.12</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[决算公开插图制作示例.xlsx]图6!$A$2:$A$9</c:f>
              <c:strCache>
                <c:ptCount val="8"/>
                <c:pt idx="0">
                  <c:v>一般公共服务（类）支出</c:v>
                </c:pt>
                <c:pt idx="1">
                  <c:v>社会保障和就业（类）支出</c:v>
                </c:pt>
                <c:pt idx="2">
                  <c:v>资源勘探工业信息等（类）支出</c:v>
                </c:pt>
                <c:pt idx="3">
                  <c:v>商业服务业等（类）支出</c:v>
                </c:pt>
                <c:pt idx="4">
                  <c:v>粮油物资储备（类）支出</c:v>
                </c:pt>
                <c:pt idx="5">
                  <c:v>其他支出（类）</c:v>
                </c:pt>
                <c:pt idx="6">
                  <c:v>卫生健康(类)支出</c:v>
                </c:pt>
                <c:pt idx="7">
                  <c:v>住房保障（类）支出</c:v>
                </c:pt>
              </c:strCache>
            </c:strRef>
          </c:cat>
          <c:val>
            <c:numRef>
              <c:f>[决算公开插图制作示例.xlsx]图6!$B$2:$B$9</c:f>
              <c:numCache>
                <c:formatCode>0.00%</c:formatCode>
                <c:ptCount val="8"/>
                <c:pt idx="0">
                  <c:v>0.428</c:v>
                </c:pt>
                <c:pt idx="1">
                  <c:v>0.0285</c:v>
                </c:pt>
                <c:pt idx="2">
                  <c:v>0.3308</c:v>
                </c:pt>
                <c:pt idx="3">
                  <c:v>0.0246</c:v>
                </c:pt>
                <c:pt idx="4">
                  <c:v>0.0394</c:v>
                </c:pt>
                <c:pt idx="5">
                  <c:v>0.1268</c:v>
                </c:pt>
                <c:pt idx="6">
                  <c:v>0.0051</c:v>
                </c:pt>
                <c:pt idx="7">
                  <c:v>0.0168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3.8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41</Pages>
  <Words>15926</Words>
  <Characters>17198</Characters>
  <Lines>58</Lines>
  <Paragraphs>16</Paragraphs>
  <TotalTime>37</TotalTime>
  <ScaleCrop>false</ScaleCrop>
  <LinksUpToDate>false</LinksUpToDate>
  <CharactersWithSpaces>17525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2023-12-25T07:24:19Z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084A93590EE943B8A1EC2744D0170E55_12</vt:lpwstr>
  </property>
</Properties>
</file>