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96597"/>
      <w:bookmarkStart w:id="3" w:name="_Toc15378441"/>
      <w:bookmarkStart w:id="4" w:name="_Toc15377425"/>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8442"/>
      <w:bookmarkStart w:id="8" w:name="_Toc15377194"/>
      <w:bookmarkStart w:id="9" w:name="_Toc15396598"/>
      <w:bookmarkStart w:id="10" w:name="_Toc15377426"/>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王河小学</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sz w:val="24"/>
        </w:rPr>
      </w:pPr>
      <w:r>
        <w:rPr>
          <w:rFonts w:hint="eastAsia"/>
          <w:sz w:val="24"/>
        </w:rPr>
        <w:t>（一）单位</w:t>
      </w:r>
      <w:r>
        <w:rPr>
          <w:sz w:val="24"/>
        </w:rPr>
        <w:t>职责</w:t>
      </w:r>
    </w:p>
    <w:p>
      <w:pPr>
        <w:pStyle w:val="11"/>
        <w:adjustRightInd w:val="0"/>
        <w:snapToGrid w:val="0"/>
        <w:spacing w:line="440" w:lineRule="exact"/>
        <w:jc w:val="left"/>
        <w:rPr>
          <w:b/>
          <w:bCs/>
          <w:sz w:val="24"/>
        </w:rPr>
      </w:pPr>
      <w:r>
        <w:rPr>
          <w:rFonts w:hint="eastAsia"/>
          <w:sz w:val="24"/>
        </w:rPr>
        <w:t>（二）2022年重点工作完成情况</w:t>
      </w:r>
    </w:p>
    <w:p>
      <w:pPr>
        <w:pStyle w:val="11"/>
        <w:adjustRightInd w:val="0"/>
        <w:snapToGrid w:val="0"/>
        <w:spacing w:line="440" w:lineRule="exact"/>
        <w:jc w:val="left"/>
        <w:rPr>
          <w:rFonts w:hint="eastAsia"/>
          <w:sz w:val="24"/>
        </w:rPr>
      </w:pPr>
    </w:p>
    <w:p>
      <w:pPr>
        <w:pStyle w:val="11"/>
        <w:adjustRightInd w:val="0"/>
        <w:snapToGrid w:val="0"/>
        <w:spacing w:line="440" w:lineRule="exact"/>
        <w:jc w:val="left"/>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pStyle w:val="4"/>
        <w:numPr>
          <w:ilvl w:val="0"/>
          <w:numId w:val="1"/>
        </w:numPr>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主要职责</w:t>
      </w:r>
    </w:p>
    <w:p>
      <w:pPr>
        <w:pStyle w:val="2"/>
        <w:adjustRightInd w:val="0"/>
        <w:snapToGrid w:val="0"/>
        <w:spacing w:beforeLines="0" w:line="4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w:t>
      </w:r>
      <w:r>
        <w:rPr>
          <w:rFonts w:hint="eastAsia" w:ascii="仿宋" w:hAnsi="仿宋" w:eastAsia="仿宋"/>
          <w:bCs/>
          <w:color w:val="000000"/>
          <w:sz w:val="32"/>
          <w:szCs w:val="32"/>
          <w:lang w:eastAsia="zh-CN"/>
        </w:rPr>
        <w:t>单位</w:t>
      </w:r>
      <w:r>
        <w:rPr>
          <w:rFonts w:hint="eastAsia" w:ascii="仿宋" w:hAnsi="仿宋" w:eastAsia="仿宋"/>
          <w:bCs/>
          <w:color w:val="000000"/>
          <w:sz w:val="32"/>
          <w:szCs w:val="32"/>
        </w:rPr>
        <w:t>职</w:t>
      </w:r>
      <w:r>
        <w:rPr>
          <w:rFonts w:hint="eastAsia" w:ascii="仿宋" w:hAnsi="仿宋" w:eastAsia="仿宋"/>
          <w:bCs/>
          <w:color w:val="000000"/>
          <w:sz w:val="32"/>
          <w:szCs w:val="32"/>
          <w:lang w:eastAsia="zh-CN"/>
        </w:rPr>
        <w:t>责</w:t>
      </w:r>
      <w:bookmarkEnd w:id="16"/>
      <w:bookmarkEnd w:id="17"/>
    </w:p>
    <w:p>
      <w:pPr>
        <w:pStyle w:val="2"/>
        <w:adjustRightInd w:val="0"/>
        <w:snapToGrid w:val="0"/>
        <w:spacing w:beforeLines="0" w:line="400" w:lineRule="exact"/>
        <w:ind w:firstLine="672" w:firstLineChars="210"/>
        <w:outlineLvl w:val="2"/>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剑阁县王河小学校属财政预算一级单位，执行事业单位会计制度，宗旨和业务范围：实施小学业务教育，促进基础教育发展。</w:t>
      </w:r>
    </w:p>
    <w:p>
      <w:pPr>
        <w:pStyle w:val="2"/>
        <w:adjustRightInd w:val="0"/>
        <w:snapToGrid w:val="0"/>
        <w:spacing w:beforeLines="0" w:line="4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202</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年重点工作完成情况。</w:t>
      </w:r>
      <w:bookmarkEnd w:id="18"/>
      <w:bookmarkEnd w:id="19"/>
    </w:p>
    <w:p>
      <w:pPr>
        <w:pStyle w:val="2"/>
        <w:adjustRightInd w:val="0"/>
        <w:snapToGrid w:val="0"/>
        <w:spacing w:beforeLines="0" w:line="400" w:lineRule="exact"/>
        <w:ind w:firstLine="672" w:firstLineChars="210"/>
        <w:outlineLvl w:val="2"/>
        <w:rPr>
          <w:rFonts w:hint="eastAsia" w:ascii="仿宋" w:hAnsi="仿宋" w:eastAsia="仿宋" w:cs="仿宋"/>
          <w:bCs/>
          <w:color w:val="000000"/>
          <w:sz w:val="32"/>
          <w:szCs w:val="32"/>
        </w:rPr>
      </w:pPr>
      <w:r>
        <w:rPr>
          <w:rFonts w:hint="eastAsia" w:ascii="仿宋" w:hAnsi="仿宋" w:eastAsia="仿宋" w:cs="仿宋"/>
          <w:bCs/>
          <w:color w:val="000000"/>
          <w:sz w:val="32"/>
          <w:szCs w:val="32"/>
        </w:rPr>
        <w:t>一是学习</w:t>
      </w:r>
      <w:bookmarkStart w:id="71" w:name="_GoBack"/>
      <w:bookmarkEnd w:id="71"/>
      <w:r>
        <w:rPr>
          <w:rFonts w:hint="eastAsia" w:ascii="仿宋" w:hAnsi="仿宋" w:eastAsia="仿宋" w:cs="仿宋"/>
          <w:bCs/>
          <w:color w:val="000000"/>
          <w:sz w:val="32"/>
          <w:szCs w:val="32"/>
          <w:lang w:eastAsia="zh-CN"/>
        </w:rPr>
        <w:t>习近平总书记系列重要讲话精神。</w:t>
      </w:r>
      <w:r>
        <w:rPr>
          <w:rFonts w:hint="eastAsia" w:ascii="仿宋" w:hAnsi="仿宋" w:eastAsia="仿宋" w:cs="仿宋"/>
          <w:bCs/>
          <w:color w:val="000000"/>
          <w:sz w:val="32"/>
          <w:szCs w:val="32"/>
        </w:rPr>
        <w:t>进一步深入学习宣传</w:t>
      </w:r>
      <w:r>
        <w:rPr>
          <w:rFonts w:hint="eastAsia" w:ascii="仿宋" w:hAnsi="仿宋" w:eastAsia="仿宋" w:cs="仿宋"/>
          <w:bCs/>
          <w:color w:val="000000"/>
          <w:sz w:val="32"/>
          <w:szCs w:val="32"/>
          <w:lang w:eastAsia="zh-CN"/>
        </w:rPr>
        <w:t>习近平总书记系列重要讲话精神</w:t>
      </w:r>
      <w:r>
        <w:rPr>
          <w:rFonts w:hint="eastAsia" w:ascii="仿宋" w:hAnsi="仿宋" w:eastAsia="仿宋" w:cs="仿宋"/>
          <w:bCs/>
          <w:color w:val="000000"/>
          <w:sz w:val="32"/>
          <w:szCs w:val="32"/>
        </w:rPr>
        <w:t>，把思想和行动统一到</w:t>
      </w:r>
      <w:r>
        <w:rPr>
          <w:rFonts w:hint="eastAsia" w:ascii="仿宋" w:hAnsi="仿宋" w:eastAsia="仿宋" w:cs="仿宋"/>
          <w:bCs/>
          <w:color w:val="000000"/>
          <w:sz w:val="32"/>
          <w:szCs w:val="32"/>
          <w:lang w:eastAsia="zh-CN"/>
        </w:rPr>
        <w:t>讲话</w:t>
      </w:r>
      <w:r>
        <w:rPr>
          <w:rFonts w:hint="eastAsia" w:ascii="仿宋" w:hAnsi="仿宋" w:eastAsia="仿宋" w:cs="仿宋"/>
          <w:bCs/>
          <w:color w:val="000000"/>
          <w:sz w:val="32"/>
          <w:szCs w:val="32"/>
        </w:rPr>
        <w:t>精神上来，把智慧和力量凝聚到落实</w:t>
      </w:r>
      <w:r>
        <w:rPr>
          <w:rFonts w:hint="eastAsia" w:ascii="仿宋" w:hAnsi="仿宋" w:eastAsia="仿宋" w:cs="仿宋"/>
          <w:bCs/>
          <w:color w:val="000000"/>
          <w:sz w:val="32"/>
          <w:szCs w:val="32"/>
          <w:lang w:val="en-US" w:eastAsia="zh-CN"/>
        </w:rPr>
        <w:t>2022年</w:t>
      </w:r>
      <w:r>
        <w:rPr>
          <w:rFonts w:hint="eastAsia" w:ascii="仿宋" w:hAnsi="仿宋" w:eastAsia="仿宋" w:cs="仿宋"/>
          <w:bCs/>
          <w:color w:val="000000"/>
          <w:sz w:val="32"/>
          <w:szCs w:val="32"/>
        </w:rPr>
        <w:t>目标任务上。</w:t>
      </w:r>
    </w:p>
    <w:p>
      <w:pPr>
        <w:pStyle w:val="2"/>
        <w:adjustRightInd w:val="0"/>
        <w:snapToGrid w:val="0"/>
        <w:spacing w:beforeLines="0" w:line="400" w:lineRule="exact"/>
        <w:ind w:firstLine="672" w:firstLineChars="210"/>
        <w:outlineLvl w:val="2"/>
        <w:rPr>
          <w:rFonts w:hint="eastAsia" w:ascii="仿宋" w:hAnsi="仿宋" w:eastAsia="仿宋" w:cs="仿宋"/>
          <w:bCs/>
          <w:color w:val="000000"/>
          <w:sz w:val="32"/>
          <w:szCs w:val="32"/>
        </w:rPr>
      </w:pPr>
      <w:r>
        <w:rPr>
          <w:rFonts w:hint="eastAsia" w:ascii="仿宋" w:hAnsi="仿宋" w:eastAsia="仿宋" w:cs="仿宋"/>
          <w:bCs/>
          <w:color w:val="000000"/>
          <w:sz w:val="32"/>
          <w:szCs w:val="32"/>
        </w:rPr>
        <w:t>二是抓脱贫攻坚工作。充分发挥义务教育作用，坚持教育扶贫扶智</w:t>
      </w:r>
      <w:r>
        <w:rPr>
          <w:rFonts w:hint="eastAsia" w:ascii="仿宋" w:hAnsi="仿宋" w:eastAsia="仿宋" w:cs="仿宋"/>
          <w:bCs/>
          <w:color w:val="000000"/>
          <w:sz w:val="32"/>
          <w:szCs w:val="32"/>
          <w:lang w:eastAsia="zh-CN"/>
        </w:rPr>
        <w:t>，一个不少，一分不少</w:t>
      </w:r>
      <w:r>
        <w:rPr>
          <w:rFonts w:hint="eastAsia" w:ascii="仿宋" w:hAnsi="仿宋" w:eastAsia="仿宋" w:cs="仿宋"/>
          <w:bCs/>
          <w:color w:val="000000"/>
          <w:sz w:val="32"/>
          <w:szCs w:val="32"/>
        </w:rPr>
        <w:t xml:space="preserve">。 </w:t>
      </w:r>
    </w:p>
    <w:p>
      <w:pPr>
        <w:pStyle w:val="2"/>
        <w:adjustRightInd w:val="0"/>
        <w:snapToGrid w:val="0"/>
        <w:spacing w:beforeLines="0" w:line="400" w:lineRule="exact"/>
        <w:ind w:firstLine="672" w:firstLineChars="210"/>
        <w:outlineLvl w:val="2"/>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rPr>
        <w:t>三是全面提高教育教学质量。坚持教书育人，服务育人，环境育人方针，加强对学生的思想品德教育</w:t>
      </w:r>
      <w:r>
        <w:rPr>
          <w:rFonts w:hint="eastAsia" w:ascii="仿宋" w:hAnsi="仿宋" w:eastAsia="仿宋" w:cs="仿宋"/>
          <w:bCs/>
          <w:color w:val="000000"/>
          <w:sz w:val="32"/>
          <w:szCs w:val="32"/>
          <w:lang w:eastAsia="zh-CN"/>
        </w:rPr>
        <w:t>，同时抓好</w:t>
      </w:r>
      <w:r>
        <w:rPr>
          <w:rFonts w:hint="eastAsia" w:ascii="仿宋" w:hAnsi="仿宋" w:eastAsia="仿宋" w:cs="仿宋"/>
          <w:bCs/>
          <w:color w:val="000000"/>
          <w:sz w:val="32"/>
          <w:szCs w:val="32"/>
        </w:rPr>
        <w:t>教师队伍建设</w:t>
      </w:r>
      <w:r>
        <w:rPr>
          <w:rFonts w:hint="eastAsia" w:ascii="仿宋" w:hAnsi="仿宋" w:eastAsia="仿宋" w:cs="仿宋"/>
          <w:bCs/>
          <w:color w:val="000000"/>
          <w:sz w:val="32"/>
          <w:szCs w:val="32"/>
          <w:lang w:eastAsia="zh-CN"/>
        </w:rPr>
        <w:t>。</w:t>
      </w:r>
    </w:p>
    <w:p>
      <w:pPr>
        <w:pStyle w:val="2"/>
        <w:adjustRightInd w:val="0"/>
        <w:snapToGrid w:val="0"/>
        <w:spacing w:beforeLines="0" w:line="400" w:lineRule="exact"/>
        <w:ind w:firstLine="672" w:firstLineChars="210"/>
        <w:outlineLvl w:val="2"/>
      </w:pPr>
      <w:r>
        <w:rPr>
          <w:rFonts w:hint="eastAsia" w:ascii="仿宋" w:hAnsi="仿宋" w:eastAsia="仿宋" w:cs="仿宋"/>
          <w:bCs/>
          <w:color w:val="000000"/>
          <w:sz w:val="32"/>
          <w:szCs w:val="32"/>
        </w:rPr>
        <w:t>四是</w:t>
      </w:r>
      <w:r>
        <w:rPr>
          <w:rFonts w:hint="eastAsia" w:ascii="仿宋" w:hAnsi="仿宋" w:eastAsia="仿宋" w:cs="仿宋"/>
          <w:color w:val="000000"/>
          <w:sz w:val="32"/>
          <w:szCs w:val="32"/>
        </w:rPr>
        <w:t>做好安全防范，保证学生的</w:t>
      </w:r>
      <w:r>
        <w:rPr>
          <w:rFonts w:hint="eastAsia" w:ascii="仿宋" w:hAnsi="仿宋" w:eastAsia="仿宋" w:cs="仿宋"/>
          <w:color w:val="000000"/>
          <w:sz w:val="32"/>
          <w:szCs w:val="32"/>
          <w:lang w:eastAsia="zh-CN"/>
        </w:rPr>
        <w:t>人身安全</w:t>
      </w:r>
      <w:r>
        <w:rPr>
          <w:rFonts w:hint="eastAsia" w:ascii="仿宋" w:hAnsi="仿宋" w:eastAsia="仿宋" w:cs="仿宋"/>
          <w:color w:val="000000"/>
          <w:sz w:val="32"/>
          <w:szCs w:val="32"/>
        </w:rPr>
        <w:t>。</w:t>
      </w:r>
    </w:p>
    <w:p>
      <w:pPr>
        <w:pStyle w:val="4"/>
        <w:numPr>
          <w:ilvl w:val="0"/>
          <w:numId w:val="1"/>
        </w:numPr>
        <w:ind w:left="0" w:leftChars="0" w:firstLine="0" w:firstLineChars="0"/>
        <w:rPr>
          <w:rFonts w:hint="eastAsia" w:ascii="黑体" w:hAnsi="黑体" w:eastAsia="黑体"/>
          <w:b w:val="0"/>
        </w:rPr>
      </w:pPr>
      <w:r>
        <w:rPr>
          <w:rFonts w:hint="eastAsia" w:ascii="黑体" w:hAnsi="黑体" w:eastAsia="黑体"/>
          <w:b w:val="0"/>
        </w:rPr>
        <w:t>机构设置</w:t>
      </w:r>
    </w:p>
    <w:p>
      <w:pPr>
        <w:pStyle w:val="2"/>
        <w:adjustRightInd w:val="0"/>
        <w:snapToGrid w:val="0"/>
        <w:spacing w:beforeLines="0" w:line="480" w:lineRule="exact"/>
        <w:ind w:firstLine="600" w:firstLineChars="200"/>
        <w:jc w:val="left"/>
        <w:rPr>
          <w:rFonts w:hint="eastAsia" w:ascii="仿宋" w:hAnsi="仿宋" w:eastAsia="仿宋" w:cs="仿宋"/>
          <w:sz w:val="32"/>
          <w:szCs w:val="32"/>
        </w:rPr>
      </w:pPr>
      <w:r>
        <w:rPr>
          <w:rFonts w:hint="eastAsia"/>
          <w:lang w:val="en-US" w:eastAsia="zh-CN"/>
        </w:rPr>
        <w:t xml:space="preserve"> </w:t>
      </w:r>
      <w:r>
        <w:rPr>
          <w:rFonts w:hint="eastAsia" w:ascii="仿宋" w:hAnsi="仿宋" w:eastAsia="仿宋" w:cs="仿宋"/>
          <w:sz w:val="32"/>
          <w:szCs w:val="32"/>
        </w:rPr>
        <w:t>本单位下属二级单位</w:t>
      </w:r>
      <w:r>
        <w:rPr>
          <w:rFonts w:hint="eastAsia" w:ascii="仿宋" w:hAnsi="仿宋" w:eastAsia="仿宋" w:cs="仿宋"/>
          <w:sz w:val="32"/>
          <w:szCs w:val="32"/>
          <w:lang w:val="en-US" w:eastAsia="zh-CN"/>
        </w:rPr>
        <w:t>0</w:t>
      </w:r>
      <w:r>
        <w:rPr>
          <w:rFonts w:hint="eastAsia" w:ascii="仿宋" w:hAnsi="仿宋" w:eastAsia="仿宋" w:cs="仿宋"/>
          <w:sz w:val="32"/>
          <w:szCs w:val="32"/>
        </w:rPr>
        <w:t>个，其中行政单位</w:t>
      </w:r>
      <w:r>
        <w:rPr>
          <w:rFonts w:hint="eastAsia" w:ascii="仿宋" w:hAnsi="仿宋" w:eastAsia="仿宋" w:cs="仿宋"/>
          <w:sz w:val="32"/>
          <w:szCs w:val="32"/>
          <w:lang w:val="en-US" w:eastAsia="zh-CN"/>
        </w:rPr>
        <w:t>0</w:t>
      </w:r>
      <w:r>
        <w:rPr>
          <w:rFonts w:hint="eastAsia" w:ascii="仿宋" w:hAnsi="仿宋" w:eastAsia="仿宋" w:cs="仿宋"/>
          <w:sz w:val="32"/>
          <w:szCs w:val="32"/>
        </w:rPr>
        <w:t>个，参照公务员法管理的事业单位</w:t>
      </w:r>
      <w:r>
        <w:rPr>
          <w:rFonts w:hint="eastAsia" w:ascii="仿宋" w:hAnsi="仿宋" w:eastAsia="仿宋" w:cs="仿宋"/>
          <w:sz w:val="32"/>
          <w:szCs w:val="32"/>
          <w:lang w:val="en-US" w:eastAsia="zh-CN"/>
        </w:rPr>
        <w:t>0</w:t>
      </w:r>
      <w:r>
        <w:rPr>
          <w:rFonts w:hint="eastAsia" w:ascii="仿宋" w:hAnsi="仿宋" w:eastAsia="仿宋" w:cs="仿宋"/>
          <w:sz w:val="32"/>
          <w:szCs w:val="32"/>
        </w:rPr>
        <w:t>个，其他事业单位</w:t>
      </w:r>
      <w:r>
        <w:rPr>
          <w:rFonts w:hint="eastAsia" w:ascii="仿宋" w:hAnsi="仿宋" w:eastAsia="仿宋" w:cs="仿宋"/>
          <w:sz w:val="32"/>
          <w:szCs w:val="32"/>
          <w:lang w:val="en-US" w:eastAsia="zh-CN"/>
        </w:rPr>
        <w:t>0</w:t>
      </w:r>
      <w:r>
        <w:rPr>
          <w:rFonts w:hint="eastAsia" w:ascii="仿宋" w:hAnsi="仿宋" w:eastAsia="仿宋" w:cs="仿宋"/>
          <w:sz w:val="32"/>
          <w:szCs w:val="32"/>
        </w:rPr>
        <w:t>个。</w:t>
      </w:r>
    </w:p>
    <w:p>
      <w:pPr>
        <w:numPr>
          <w:ilvl w:val="0"/>
          <w:numId w:val="0"/>
        </w:numPr>
        <w:ind w:leftChars="0"/>
        <w:rPr>
          <w:rFonts w:hint="default" w:eastAsia="宋体"/>
          <w:lang w:val="en-US" w:eastAsia="zh-CN"/>
        </w:rPr>
      </w:pP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both"/>
        <w:rPr>
          <w:rStyle w:val="24"/>
          <w:rFonts w:ascii="黑体" w:hAnsi="黑体" w:eastAsia="黑体"/>
          <w:b w:val="0"/>
          <w:bCs/>
        </w:rPr>
      </w:pPr>
      <w:bookmarkStart w:id="20" w:name="_Toc15396602"/>
      <w:bookmarkStart w:id="21"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20"/>
      <w:bookmarkEnd w:id="21"/>
    </w:p>
    <w:p/>
    <w:p>
      <w:pPr>
        <w:pStyle w:val="23"/>
        <w:numPr>
          <w:ilvl w:val="0"/>
          <w:numId w:val="2"/>
        </w:numPr>
        <w:spacing w:line="600" w:lineRule="exact"/>
        <w:ind w:firstLineChars="0"/>
        <w:outlineLvl w:val="1"/>
        <w:rPr>
          <w:rStyle w:val="25"/>
          <w:rFonts w:ascii="黑体" w:hAnsi="黑体" w:eastAsia="黑体"/>
          <w:b w:val="0"/>
        </w:rPr>
      </w:pPr>
      <w:bookmarkStart w:id="22" w:name="_Toc15396603"/>
      <w:bookmarkStart w:id="23"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22"/>
      <w:bookmarkEnd w:id="23"/>
    </w:p>
    <w:p>
      <w:pPr>
        <w:keepNext w:val="0"/>
        <w:keepLines w:val="0"/>
        <w:widowControl/>
        <w:suppressLineNumbers w:val="0"/>
        <w:jc w:val="left"/>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690.61</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58.48</w:t>
      </w:r>
      <w:r>
        <w:rPr>
          <w:rFonts w:hint="eastAsia" w:ascii="仿宋" w:hAnsi="仿宋" w:eastAsia="仿宋"/>
          <w:color w:val="000000"/>
          <w:sz w:val="32"/>
          <w:szCs w:val="32"/>
        </w:rPr>
        <w:t>万元，减少</w:t>
      </w:r>
      <w:r>
        <w:rPr>
          <w:rFonts w:hint="eastAsia" w:ascii="仿宋" w:hAnsi="仿宋" w:eastAsia="仿宋"/>
          <w:color w:val="000000"/>
          <w:sz w:val="32"/>
          <w:szCs w:val="32"/>
          <w:lang w:val="en-US" w:eastAsia="zh-CN"/>
        </w:rPr>
        <w:t>7.8</w:t>
      </w:r>
      <w:r>
        <w:rPr>
          <w:rFonts w:ascii="仿宋" w:hAnsi="仿宋" w:eastAsia="仿宋"/>
          <w:color w:val="000000"/>
          <w:sz w:val="32"/>
          <w:szCs w:val="32"/>
        </w:rPr>
        <w:t>%</w:t>
      </w:r>
      <w:r>
        <w:rPr>
          <w:rFonts w:hint="eastAsia" w:ascii="仿宋" w:hAnsi="仿宋" w:eastAsia="仿宋"/>
          <w:color w:val="000000"/>
          <w:sz w:val="32"/>
          <w:szCs w:val="32"/>
        </w:rPr>
        <w:t>。主要变动原因是教师人数和学生人数减少。</w:t>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r>
        <w:rPr>
          <w:rFonts w:ascii="宋体" w:hAnsi="宋体" w:eastAsia="宋体" w:cs="宋体"/>
          <w:kern w:val="0"/>
          <w:sz w:val="24"/>
          <w:szCs w:val="24"/>
          <w:lang w:val="en-US" w:eastAsia="zh-CN" w:bidi="ar"/>
        </w:rPr>
        <w:drawing>
          <wp:inline distT="0" distB="0" distL="114300" distR="114300">
            <wp:extent cx="5305425" cy="33718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305425" cy="3371850"/>
                    </a:xfrm>
                    <a:prstGeom prst="rect">
                      <a:avLst/>
                    </a:prstGeom>
                    <a:noFill/>
                    <a:ln w="9525">
                      <a:noFill/>
                    </a:ln>
                  </pic:spPr>
                </pic:pic>
              </a:graphicData>
            </a:graphic>
          </wp:inline>
        </w:drawing>
      </w:r>
    </w:p>
    <w:p>
      <w:pPr>
        <w:spacing w:line="600" w:lineRule="exact"/>
        <w:jc w:val="left"/>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4" w:name="_Toc15396604"/>
      <w:bookmarkStart w:id="25" w:name="_Toc15377206"/>
      <w:r>
        <w:rPr>
          <w:rFonts w:hint="eastAsia" w:ascii="黑体" w:hAnsi="黑体" w:eastAsia="黑体"/>
          <w:sz w:val="32"/>
          <w:szCs w:val="32"/>
        </w:rPr>
        <w:t>收</w:t>
      </w:r>
      <w:r>
        <w:rPr>
          <w:rStyle w:val="25"/>
          <w:rFonts w:hint="eastAsia" w:ascii="黑体" w:hAnsi="黑体" w:eastAsia="黑体"/>
          <w:b w:val="0"/>
        </w:rPr>
        <w:t>入决算情况说明</w:t>
      </w:r>
      <w:bookmarkEnd w:id="24"/>
      <w:bookmarkEnd w:id="25"/>
    </w:p>
    <w:p>
      <w:pPr>
        <w:spacing w:line="4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690.61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689.61</w:t>
      </w:r>
      <w:r>
        <w:rPr>
          <w:rFonts w:hint="eastAsia" w:ascii="仿宋" w:hAnsi="仿宋" w:eastAsia="仿宋"/>
          <w:color w:val="000000"/>
          <w:sz w:val="32"/>
          <w:szCs w:val="32"/>
        </w:rPr>
        <w:t>万元，占94.86</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；政府性基金预算财政拨款收入1万元，占0.17</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（图2：收入决算结构图）（饼状图）</w:t>
      </w:r>
    </w:p>
    <w:p>
      <w:pPr>
        <w:keepNext w:val="0"/>
        <w:keepLines w:val="0"/>
        <w:widowControl/>
        <w:suppressLineNumbers w:val="0"/>
        <w:jc w:val="left"/>
        <w:rPr>
          <w:rFonts w:ascii="仿宋_GB2312" w:eastAsia="仿宋_GB2312"/>
          <w:sz w:val="32"/>
          <w:szCs w:val="32"/>
        </w:rPr>
      </w:pPr>
      <w:r>
        <w:rPr>
          <w:rFonts w:ascii="宋体" w:hAnsi="宋体" w:eastAsia="宋体" w:cs="宋体"/>
          <w:kern w:val="0"/>
          <w:sz w:val="24"/>
          <w:szCs w:val="24"/>
          <w:lang w:val="en-US" w:eastAsia="zh-CN" w:bidi="ar"/>
        </w:rPr>
        <w:drawing>
          <wp:inline distT="0" distB="0" distL="114300" distR="114300">
            <wp:extent cx="5038725" cy="30861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5038725" cy="3086100"/>
                    </a:xfrm>
                    <a:prstGeom prst="rect">
                      <a:avLst/>
                    </a:prstGeom>
                    <a:noFill/>
                    <a:ln w="9525">
                      <a:noFill/>
                    </a:ln>
                  </pic:spPr>
                </pic:pic>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6" w:name="_Toc15377207"/>
      <w:bookmarkStart w:id="27" w:name="_Toc15396605"/>
      <w:r>
        <w:rPr>
          <w:rFonts w:hint="eastAsia" w:ascii="黑体" w:hAnsi="黑体" w:eastAsia="黑体"/>
          <w:sz w:val="32"/>
          <w:szCs w:val="32"/>
        </w:rPr>
        <w:t>支</w:t>
      </w:r>
      <w:r>
        <w:rPr>
          <w:rStyle w:val="25"/>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b/>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690.61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669.61</w:t>
      </w:r>
      <w:r>
        <w:rPr>
          <w:rFonts w:hint="eastAsia" w:ascii="仿宋" w:hAnsi="仿宋" w:eastAsia="仿宋"/>
          <w:color w:val="000000"/>
          <w:sz w:val="32"/>
          <w:szCs w:val="32"/>
        </w:rPr>
        <w:t>万元，占9</w:t>
      </w:r>
      <w:r>
        <w:rPr>
          <w:rFonts w:hint="eastAsia" w:ascii="仿宋" w:hAnsi="仿宋" w:eastAsia="仿宋"/>
          <w:color w:val="000000"/>
          <w:sz w:val="32"/>
          <w:szCs w:val="32"/>
          <w:lang w:val="en-US" w:eastAsia="zh-CN"/>
        </w:rPr>
        <w:t>6.96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3.04</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hint="eastAsia" w:ascii="仿宋" w:hAnsi="仿宋" w:eastAsia="仿宋"/>
          <w:sz w:val="32"/>
          <w:szCs w:val="32"/>
        </w:rPr>
      </w:pPr>
      <w:r>
        <w:rPr>
          <w:rFonts w:hint="eastAsia" w:ascii="仿宋" w:hAnsi="仿宋" w:eastAsia="仿宋"/>
          <w:sz w:val="32"/>
          <w:szCs w:val="32"/>
        </w:rPr>
        <w:t>（图3：支出决算结构图）（饼状图）</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590925" cy="2508250"/>
            <wp:effectExtent l="0" t="0" r="9525" b="635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8"/>
                    <a:stretch>
                      <a:fillRect/>
                    </a:stretch>
                  </pic:blipFill>
                  <pic:spPr>
                    <a:xfrm>
                      <a:off x="0" y="0"/>
                      <a:ext cx="3590925" cy="2508250"/>
                    </a:xfrm>
                    <a:prstGeom prst="rect">
                      <a:avLst/>
                    </a:prstGeom>
                    <a:noFill/>
                    <a:ln w="9525">
                      <a:noFill/>
                    </a:ln>
                  </pic:spPr>
                </pic:pic>
              </a:graphicData>
            </a:graphic>
          </wp:inline>
        </w:drawing>
      </w:r>
    </w:p>
    <w:p>
      <w:pPr>
        <w:spacing w:line="600" w:lineRule="exact"/>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28" w:name="_Toc15396606"/>
      <w:bookmarkStart w:id="29"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8"/>
      <w:bookmarkEnd w:id="29"/>
    </w:p>
    <w:p>
      <w:pPr>
        <w:spacing w:line="600" w:lineRule="exact"/>
        <w:ind w:firstLine="640"/>
        <w:rPr>
          <w:rFonts w:ascii="仿宋" w:hAnsi="仿宋" w:eastAsia="仿宋"/>
          <w:b/>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年财政拨款收入总计</w:t>
      </w:r>
      <w:r>
        <w:rPr>
          <w:rFonts w:hint="eastAsia" w:ascii="仿宋" w:hAnsi="仿宋" w:eastAsia="仿宋"/>
          <w:color w:val="000000"/>
          <w:sz w:val="32"/>
          <w:szCs w:val="32"/>
          <w:lang w:val="en-US" w:eastAsia="zh-CN"/>
        </w:rPr>
        <w:t>690.61</w:t>
      </w:r>
      <w:r>
        <w:rPr>
          <w:rFonts w:hint="eastAsia" w:ascii="仿宋" w:hAnsi="仿宋" w:eastAsia="仿宋"/>
          <w:color w:val="000000"/>
          <w:sz w:val="32"/>
          <w:szCs w:val="32"/>
        </w:rPr>
        <w:t>万元，支出总计</w:t>
      </w:r>
      <w:r>
        <w:rPr>
          <w:rFonts w:hint="eastAsia" w:ascii="仿宋" w:hAnsi="仿宋" w:eastAsia="仿宋"/>
          <w:color w:val="000000"/>
          <w:sz w:val="32"/>
          <w:szCs w:val="32"/>
          <w:lang w:val="en-US" w:eastAsia="zh-CN"/>
        </w:rPr>
        <w:t>690.61</w:t>
      </w:r>
      <w:r>
        <w:rPr>
          <w:rFonts w:hint="eastAsia" w:ascii="仿宋" w:hAnsi="仿宋" w:eastAsia="仿宋"/>
          <w:color w:val="000000"/>
          <w:sz w:val="32"/>
          <w:szCs w:val="32"/>
        </w:rPr>
        <w:t>万元，年末结转0万元。与</w:t>
      </w: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年相比，财政拨款收入总计减少</w:t>
      </w:r>
      <w:r>
        <w:rPr>
          <w:rFonts w:hint="eastAsia" w:ascii="仿宋" w:hAnsi="仿宋" w:eastAsia="仿宋"/>
          <w:color w:val="000000"/>
          <w:sz w:val="32"/>
          <w:szCs w:val="32"/>
          <w:lang w:val="en-US" w:eastAsia="zh-CN"/>
        </w:rPr>
        <w:t>21.28</w:t>
      </w:r>
      <w:r>
        <w:rPr>
          <w:rFonts w:hint="eastAsia" w:ascii="仿宋" w:hAnsi="仿宋" w:eastAsia="仿宋"/>
          <w:color w:val="000000"/>
          <w:sz w:val="32"/>
          <w:szCs w:val="32"/>
        </w:rPr>
        <w:t>万元，减少</w:t>
      </w:r>
      <w:r>
        <w:rPr>
          <w:rFonts w:hint="eastAsia" w:ascii="仿宋" w:hAnsi="仿宋" w:eastAsia="仿宋"/>
          <w:color w:val="000000"/>
          <w:sz w:val="32"/>
          <w:szCs w:val="32"/>
          <w:lang w:val="en-US" w:eastAsia="zh-CN"/>
        </w:rPr>
        <w:t>2.99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仿宋"/>
          <w:color w:val="000000"/>
          <w:sz w:val="32"/>
          <w:szCs w:val="32"/>
        </w:rPr>
        <w:t>教师人数减少，学生减少，</w:t>
      </w:r>
      <w:r>
        <w:rPr>
          <w:rFonts w:hint="eastAsia" w:ascii="仿宋" w:hAnsi="仿宋" w:eastAsia="仿宋"/>
          <w:color w:val="000000"/>
          <w:sz w:val="32"/>
          <w:szCs w:val="32"/>
        </w:rPr>
        <w:t>项目减少。</w:t>
      </w: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（图4：财政拨款收、支决算总计变动情况）（柱状图）</w:t>
      </w:r>
    </w:p>
    <w:p>
      <w:pPr>
        <w:keepNext w:val="0"/>
        <w:keepLines w:val="0"/>
        <w:widowControl/>
        <w:suppressLineNumbers w:val="0"/>
        <w:jc w:val="left"/>
        <w:rPr>
          <w:rFonts w:ascii="仿宋" w:hAnsi="仿宋" w:eastAsia="仿宋"/>
          <w:b/>
          <w:sz w:val="32"/>
          <w:szCs w:val="32"/>
        </w:rPr>
      </w:pPr>
      <w:r>
        <w:rPr>
          <w:rFonts w:ascii="宋体" w:hAnsi="宋体" w:eastAsia="宋体" w:cs="宋体"/>
          <w:kern w:val="0"/>
          <w:sz w:val="24"/>
          <w:szCs w:val="24"/>
          <w:lang w:val="en-US" w:eastAsia="zh-CN" w:bidi="ar"/>
        </w:rPr>
        <w:drawing>
          <wp:inline distT="0" distB="0" distL="114300" distR="114300">
            <wp:extent cx="4686300" cy="33147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9"/>
                    <a:stretch>
                      <a:fillRect/>
                    </a:stretch>
                  </pic:blipFill>
                  <pic:spPr>
                    <a:xfrm>
                      <a:off x="0" y="0"/>
                      <a:ext cx="4686300" cy="3314700"/>
                    </a:xfrm>
                    <a:prstGeom prst="rect">
                      <a:avLst/>
                    </a:prstGeom>
                    <a:noFill/>
                    <a:ln w="9525">
                      <a:noFill/>
                    </a:ln>
                  </pic:spPr>
                </pic:pic>
              </a:graphicData>
            </a:graphic>
          </wp:inline>
        </w:drawing>
      </w:r>
    </w:p>
    <w:p>
      <w:pPr>
        <w:spacing w:line="600" w:lineRule="exact"/>
        <w:ind w:firstLine="640" w:firstLineChars="200"/>
        <w:outlineLvl w:val="1"/>
        <w:rPr>
          <w:rStyle w:val="25"/>
          <w:rFonts w:ascii="黑体" w:hAnsi="黑体" w:eastAsia="黑体"/>
          <w:b w:val="0"/>
        </w:rPr>
      </w:pPr>
      <w:bookmarkStart w:id="30" w:name="_Toc15377209"/>
      <w:bookmarkStart w:id="31"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firstLine="640" w:firstLineChars="200"/>
        <w:rPr>
          <w:rFonts w:ascii="仿宋" w:hAnsi="仿宋" w:eastAsia="仿宋"/>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年一般公共预算财政拨款支出669.61万元，占本年支出合计的9</w:t>
      </w:r>
      <w:r>
        <w:rPr>
          <w:rFonts w:hint="eastAsia" w:ascii="仿宋" w:hAnsi="仿宋" w:eastAsia="仿宋"/>
          <w:color w:val="000000"/>
          <w:sz w:val="32"/>
          <w:szCs w:val="32"/>
          <w:lang w:val="en-US" w:eastAsia="zh-CN"/>
        </w:rPr>
        <w:t>6.96</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年相比，一般公共预算财政拨款支出减少</w:t>
      </w:r>
      <w:r>
        <w:rPr>
          <w:rFonts w:hint="eastAsia" w:ascii="仿宋" w:hAnsi="仿宋" w:eastAsia="仿宋"/>
          <w:color w:val="000000"/>
          <w:sz w:val="32"/>
          <w:szCs w:val="32"/>
          <w:lang w:val="en-US" w:eastAsia="zh-CN"/>
        </w:rPr>
        <w:t>78.18</w:t>
      </w:r>
      <w:r>
        <w:rPr>
          <w:rFonts w:hint="eastAsia" w:ascii="仿宋" w:hAnsi="仿宋" w:eastAsia="仿宋"/>
          <w:color w:val="000000"/>
          <w:sz w:val="32"/>
          <w:szCs w:val="32"/>
        </w:rPr>
        <w:t>万元，减少</w:t>
      </w:r>
      <w:r>
        <w:rPr>
          <w:rFonts w:hint="eastAsia" w:ascii="仿宋" w:hAnsi="仿宋" w:eastAsia="仿宋"/>
          <w:color w:val="000000"/>
          <w:sz w:val="32"/>
          <w:szCs w:val="32"/>
          <w:lang w:val="en-US" w:eastAsia="zh-CN"/>
        </w:rPr>
        <w:t>10.45</w:t>
      </w:r>
      <w:r>
        <w:rPr>
          <w:rFonts w:ascii="仿宋" w:hAnsi="仿宋" w:eastAsia="仿宋"/>
          <w:color w:val="000000"/>
          <w:sz w:val="32"/>
          <w:szCs w:val="32"/>
        </w:rPr>
        <w:t>%</w:t>
      </w:r>
      <w:r>
        <w:rPr>
          <w:rFonts w:hint="eastAsia" w:ascii="仿宋" w:hAnsi="仿宋" w:eastAsia="仿宋"/>
          <w:color w:val="000000"/>
          <w:sz w:val="32"/>
          <w:szCs w:val="32"/>
        </w:rPr>
        <w:t>。主要变动原因是年</w:t>
      </w:r>
      <w:r>
        <w:rPr>
          <w:rFonts w:hint="eastAsia" w:ascii="仿宋" w:hAnsi="仿宋" w:eastAsia="仿宋" w:cs="仿宋"/>
          <w:color w:val="000000"/>
          <w:sz w:val="32"/>
          <w:szCs w:val="32"/>
        </w:rPr>
        <w:t>教师人数减少，学生减少，</w:t>
      </w:r>
      <w:r>
        <w:rPr>
          <w:rFonts w:hint="eastAsia" w:ascii="仿宋" w:hAnsi="仿宋" w:eastAsia="仿宋"/>
          <w:color w:val="000000"/>
          <w:sz w:val="32"/>
          <w:szCs w:val="32"/>
        </w:rPr>
        <w:t>项目减少。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keepNext w:val="0"/>
        <w:keepLines w:val="0"/>
        <w:widowControl/>
        <w:suppressLineNumbers w:val="0"/>
        <w:jc w:val="left"/>
        <w:rPr>
          <w:rFonts w:ascii="仿宋" w:hAnsi="仿宋" w:eastAsia="仿宋"/>
          <w:sz w:val="32"/>
          <w:szCs w:val="32"/>
        </w:rPr>
      </w:pPr>
      <w:r>
        <w:rPr>
          <w:rFonts w:ascii="宋体" w:hAnsi="宋体" w:eastAsia="宋体" w:cs="宋体"/>
          <w:kern w:val="0"/>
          <w:sz w:val="24"/>
          <w:szCs w:val="24"/>
          <w:lang w:val="en-US" w:eastAsia="zh-CN" w:bidi="ar"/>
        </w:rPr>
        <w:drawing>
          <wp:inline distT="0" distB="0" distL="114300" distR="114300">
            <wp:extent cx="5314950" cy="346710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0"/>
                    <a:stretch>
                      <a:fillRect/>
                    </a:stretch>
                  </pic:blipFill>
                  <pic:spPr>
                    <a:xfrm>
                      <a:off x="0" y="0"/>
                      <a:ext cx="5314950" cy="3467100"/>
                    </a:xfrm>
                    <a:prstGeom prst="rect">
                      <a:avLst/>
                    </a:prstGeom>
                    <a:noFill/>
                    <a:ln w="9525">
                      <a:noFill/>
                    </a:ln>
                  </pic:spPr>
                </pic:pic>
              </a:graphicData>
            </a:graphic>
          </wp:inline>
        </w:drawing>
      </w:r>
    </w:p>
    <w:p>
      <w:pPr>
        <w:spacing w:line="600" w:lineRule="exact"/>
        <w:ind w:firstLine="643" w:firstLineChars="200"/>
        <w:outlineLvl w:val="2"/>
        <w:rPr>
          <w:rFonts w:ascii="仿宋" w:hAnsi="仿宋" w:eastAsia="仿宋"/>
          <w:b/>
          <w:sz w:val="32"/>
          <w:szCs w:val="32"/>
        </w:rPr>
      </w:pPr>
      <w:bookmarkStart w:id="33" w:name="_Toc15377211"/>
      <w:r>
        <w:rPr>
          <w:rFonts w:hint="eastAsia" w:ascii="仿宋" w:hAnsi="仿宋" w:eastAsia="仿宋"/>
          <w:b/>
          <w:sz w:val="32"/>
          <w:szCs w:val="32"/>
        </w:rPr>
        <w:t>（二）一般公共预算财政拨款支出决算结构情况</w:t>
      </w:r>
      <w:bookmarkEnd w:id="33"/>
    </w:p>
    <w:p>
      <w:pPr>
        <w:spacing w:line="4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年一般公共预算财政拨款支出669.61万元，主要用于以下方面</w:t>
      </w:r>
      <w:r>
        <w:rPr>
          <w:rFonts w:hint="eastAsia" w:ascii="仿宋" w:hAnsi="仿宋" w:eastAsia="仿宋"/>
          <w:color w:val="000000"/>
          <w:sz w:val="32"/>
          <w:szCs w:val="32"/>
          <w:lang w:eastAsia="zh-CN"/>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550.9万元，占</w:t>
      </w:r>
      <w:r>
        <w:rPr>
          <w:rFonts w:hint="eastAsia" w:ascii="仿宋" w:hAnsi="仿宋" w:eastAsia="仿宋"/>
          <w:color w:val="000000"/>
          <w:sz w:val="32"/>
          <w:szCs w:val="32"/>
          <w:lang w:val="en-US" w:eastAsia="zh-CN"/>
        </w:rPr>
        <w:t>82.27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支出52.76万元，占7.</w:t>
      </w:r>
      <w:r>
        <w:rPr>
          <w:rFonts w:hint="eastAsia" w:ascii="仿宋" w:hAnsi="仿宋" w:eastAsia="仿宋"/>
          <w:color w:val="000000"/>
          <w:sz w:val="32"/>
          <w:szCs w:val="32"/>
          <w:lang w:val="en-US" w:eastAsia="zh-CN"/>
        </w:rPr>
        <w:t>88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26.38万元，占3.</w:t>
      </w:r>
      <w:r>
        <w:rPr>
          <w:rFonts w:hint="eastAsia" w:ascii="仿宋" w:hAnsi="仿宋" w:eastAsia="仿宋"/>
          <w:color w:val="000000"/>
          <w:sz w:val="32"/>
          <w:szCs w:val="32"/>
          <w:lang w:val="en-US" w:eastAsia="zh-CN"/>
        </w:rPr>
        <w:t>94</w:t>
      </w:r>
      <w:r>
        <w:rPr>
          <w:rFonts w:ascii="仿宋" w:hAnsi="仿宋" w:eastAsia="仿宋"/>
          <w:color w:val="000000"/>
          <w:sz w:val="32"/>
          <w:szCs w:val="32"/>
        </w:rPr>
        <w:t>%</w:t>
      </w:r>
      <w:r>
        <w:rPr>
          <w:rFonts w:hint="eastAsia" w:ascii="仿宋" w:hAnsi="仿宋" w:eastAsia="仿宋"/>
          <w:color w:val="000000"/>
          <w:sz w:val="32"/>
          <w:szCs w:val="32"/>
        </w:rPr>
        <w:t>；住房保障支出39.57万元，占</w:t>
      </w:r>
      <w:r>
        <w:rPr>
          <w:rFonts w:hint="eastAsia" w:ascii="仿宋" w:hAnsi="仿宋" w:eastAsia="仿宋"/>
          <w:color w:val="000000"/>
          <w:sz w:val="32"/>
          <w:szCs w:val="32"/>
          <w:lang w:val="en-US" w:eastAsia="zh-CN"/>
        </w:rPr>
        <w:t>5.91</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widowControl/>
        <w:suppressLineNumbers w:val="0"/>
        <w:jc w:val="left"/>
        <w:rPr>
          <w:rFonts w:ascii="仿宋" w:hAnsi="仿宋" w:eastAsia="仿宋"/>
          <w:sz w:val="32"/>
          <w:szCs w:val="32"/>
        </w:rPr>
      </w:pPr>
      <w:r>
        <w:rPr>
          <w:rFonts w:ascii="宋体" w:hAnsi="宋体" w:eastAsia="宋体" w:cs="宋体"/>
          <w:kern w:val="0"/>
          <w:sz w:val="24"/>
          <w:szCs w:val="24"/>
          <w:lang w:val="en-US" w:eastAsia="zh-CN" w:bidi="ar"/>
        </w:rPr>
        <w:drawing>
          <wp:inline distT="0" distB="0" distL="114300" distR="114300">
            <wp:extent cx="5029200" cy="329565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1"/>
                    <a:stretch>
                      <a:fillRect/>
                    </a:stretch>
                  </pic:blipFill>
                  <pic:spPr>
                    <a:xfrm>
                      <a:off x="0" y="0"/>
                      <a:ext cx="5029200" cy="3295650"/>
                    </a:xfrm>
                    <a:prstGeom prst="rect">
                      <a:avLst/>
                    </a:prstGeom>
                    <a:noFill/>
                    <a:ln w="9525">
                      <a:noFill/>
                    </a:ln>
                  </pic:spPr>
                </pic:pic>
              </a:graphicData>
            </a:graphic>
          </wp:inline>
        </w:drawing>
      </w:r>
    </w:p>
    <w:p>
      <w:pPr>
        <w:spacing w:line="600" w:lineRule="exact"/>
        <w:ind w:firstLine="643"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400" w:lineRule="exact"/>
        <w:ind w:firstLine="643" w:firstLineChars="200"/>
        <w:outlineLvl w:val="2"/>
        <w:rPr>
          <w:rFonts w:ascii="仿宋" w:hAnsi="仿宋" w:eastAsia="仿宋"/>
          <w:color w:val="FF0000"/>
          <w:sz w:val="32"/>
          <w:szCs w:val="32"/>
        </w:rPr>
      </w:pPr>
      <w:bookmarkStart w:id="35" w:name="_Toc15377444"/>
      <w:bookmarkStart w:id="36" w:name="_Toc15377213"/>
      <w:bookmarkStart w:id="37"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val="en-US" w:eastAsia="zh-CN"/>
        </w:rPr>
        <w:t>669.61</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Fonts w:hint="eastAsia" w:ascii="仿宋" w:hAnsi="仿宋" w:eastAsia="仿宋"/>
          <w:color w:val="000000"/>
          <w:sz w:val="32"/>
          <w:szCs w:val="32"/>
        </w:rPr>
        <w:t>9</w:t>
      </w:r>
      <w:r>
        <w:rPr>
          <w:rFonts w:hint="eastAsia" w:ascii="仿宋" w:hAnsi="仿宋" w:eastAsia="仿宋"/>
          <w:color w:val="000000"/>
          <w:sz w:val="32"/>
          <w:szCs w:val="32"/>
          <w:lang w:val="en-US" w:eastAsia="zh-CN"/>
        </w:rPr>
        <w:t>6.96</w:t>
      </w:r>
      <w:r>
        <w:rPr>
          <w:rFonts w:ascii="仿宋" w:hAnsi="仿宋" w:eastAsia="仿宋"/>
          <w:color w:val="000000"/>
          <w:sz w:val="32"/>
          <w:szCs w:val="32"/>
        </w:rPr>
        <w:t>%</w:t>
      </w:r>
      <w:r>
        <w:rPr>
          <w:rStyle w:val="14"/>
          <w:rFonts w:hint="eastAsia" w:ascii="仿宋" w:hAnsi="仿宋" w:eastAsia="仿宋"/>
          <w:bCs/>
          <w:color w:val="000000"/>
          <w:sz w:val="32"/>
          <w:szCs w:val="32"/>
        </w:rPr>
        <w:t>。其中：</w:t>
      </w:r>
      <w:bookmarkEnd w:id="35"/>
      <w:bookmarkEnd w:id="36"/>
      <w:bookmarkEnd w:id="37"/>
    </w:p>
    <w:p>
      <w:pPr>
        <w:spacing w:line="400" w:lineRule="exact"/>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400" w:lineRule="exact"/>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教育（类）普通教育（款）学前教育（项）</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4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3.</w:t>
      </w:r>
      <w:r>
        <w:rPr>
          <w:rStyle w:val="14"/>
          <w:rFonts w:hint="eastAsia" w:ascii="仿宋" w:hAnsi="仿宋" w:eastAsia="仿宋"/>
          <w:bCs/>
          <w:color w:val="000000"/>
          <w:sz w:val="32"/>
          <w:szCs w:val="32"/>
        </w:rPr>
        <w:t>教育（类）普通教育（款）小学教育（项）</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支出决算为550.9万元，完成预算100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400" w:lineRule="exact"/>
        <w:ind w:firstLine="640" w:firstLineChars="200"/>
        <w:rPr>
          <w:rFonts w:ascii="仿宋" w:hAnsi="仿宋" w:eastAsia="仿宋"/>
          <w:b/>
          <w:color w:val="000000"/>
          <w:sz w:val="32"/>
          <w:szCs w:val="32"/>
        </w:rPr>
      </w:pPr>
      <w:r>
        <w:rPr>
          <w:rStyle w:val="14"/>
          <w:rFonts w:hint="eastAsia" w:ascii="仿宋" w:hAnsi="仿宋" w:eastAsia="仿宋"/>
          <w:b w:val="0"/>
          <w:bCs/>
          <w:color w:val="000000"/>
          <w:sz w:val="32"/>
          <w:szCs w:val="32"/>
        </w:rPr>
        <w:t>4.</w:t>
      </w:r>
      <w:r>
        <w:rPr>
          <w:rStyle w:val="14"/>
          <w:rFonts w:hint="eastAsia" w:ascii="仿宋" w:hAnsi="仿宋" w:eastAsia="仿宋"/>
          <w:bCs/>
          <w:color w:val="000000"/>
          <w:sz w:val="32"/>
          <w:szCs w:val="32"/>
        </w:rPr>
        <w:t>教育（类）普通教育（款）初中教育（项）</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400" w:lineRule="exact"/>
        <w:ind w:firstLine="640" w:firstLineChars="200"/>
        <w:rPr>
          <w:rStyle w:val="14"/>
          <w:rFonts w:hint="eastAsia" w:ascii="仿宋" w:hAnsi="仿宋" w:eastAsia="仿宋"/>
          <w:b w:val="0"/>
          <w:bCs/>
          <w:color w:val="000000"/>
          <w:sz w:val="32"/>
          <w:szCs w:val="32"/>
        </w:rPr>
      </w:pPr>
    </w:p>
    <w:p>
      <w:pPr>
        <w:spacing w:line="4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科学技术</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4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文化旅游体育与传媒</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4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社会保障和就业（类）行政事业单位养老（款）机关事业单位基本养老保险缴费（项）</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52.76</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4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8</w:t>
      </w:r>
      <w:r>
        <w:rPr>
          <w:rStyle w:val="14"/>
          <w:rFonts w:ascii="仿宋" w:hAnsi="仿宋" w:eastAsia="仿宋"/>
          <w:bCs/>
          <w:color w:val="000000"/>
          <w:sz w:val="32"/>
          <w:szCs w:val="32"/>
        </w:rPr>
        <w:t>.</w:t>
      </w:r>
      <w:r>
        <w:rPr>
          <w:rFonts w:hint="eastAsia" w:ascii="仿宋" w:hAnsi="仿宋" w:eastAsia="仿宋"/>
          <w:b/>
          <w:bCs/>
          <w:color w:val="000000"/>
          <w:sz w:val="32"/>
          <w:szCs w:val="32"/>
        </w:rPr>
        <w:t>卫生健康</w:t>
      </w:r>
      <w:r>
        <w:rPr>
          <w:rStyle w:val="14"/>
          <w:rFonts w:hint="eastAsia" w:ascii="仿宋" w:hAnsi="仿宋" w:eastAsia="仿宋"/>
          <w:bCs/>
          <w:color w:val="000000"/>
          <w:sz w:val="32"/>
          <w:szCs w:val="32"/>
        </w:rPr>
        <w:t>（类）行政事业单位医疗（款） 事业单位医疗（项）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26.38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4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color w:val="000000"/>
          <w:sz w:val="32"/>
          <w:szCs w:val="32"/>
        </w:rPr>
        <w:t>9.</w:t>
      </w:r>
      <w:r>
        <w:rPr>
          <w:rFonts w:hint="eastAsia" w:ascii="仿宋" w:hAnsi="仿宋" w:eastAsia="仿宋"/>
          <w:b/>
          <w:bCs/>
          <w:color w:val="000000"/>
          <w:sz w:val="32"/>
          <w:szCs w:val="32"/>
        </w:rPr>
        <w:t>住房保障</w:t>
      </w:r>
      <w:r>
        <w:rPr>
          <w:rStyle w:val="14"/>
          <w:rFonts w:hint="eastAsia" w:ascii="仿宋" w:hAnsi="仿宋" w:eastAsia="仿宋"/>
          <w:bCs/>
          <w:color w:val="000000"/>
          <w:sz w:val="32"/>
          <w:szCs w:val="32"/>
        </w:rPr>
        <w:t>（类）住房改革（款）住房公积金（项）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39.57</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400" w:lineRule="exact"/>
        <w:ind w:firstLine="643" w:firstLineChars="200"/>
        <w:rPr>
          <w:rFonts w:ascii="仿宋" w:hAnsi="仿宋" w:eastAsia="仿宋"/>
          <w:b/>
          <w:sz w:val="32"/>
          <w:szCs w:val="32"/>
        </w:rPr>
      </w:pPr>
    </w:p>
    <w:p>
      <w:pPr>
        <w:tabs>
          <w:tab w:val="right" w:pos="8306"/>
        </w:tabs>
        <w:spacing w:line="600" w:lineRule="exact"/>
        <w:ind w:firstLine="640"/>
        <w:outlineLvl w:val="1"/>
        <w:rPr>
          <w:rStyle w:val="25"/>
        </w:rPr>
      </w:pPr>
      <w:bookmarkStart w:id="38" w:name="_Toc15396608"/>
      <w:bookmarkStart w:id="3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8"/>
      <w:bookmarkEnd w:id="39"/>
      <w:r>
        <w:rPr>
          <w:rStyle w:val="25"/>
          <w:rFonts w:ascii="黑体" w:hAnsi="黑体" w:eastAsia="黑体"/>
          <w:b w:val="0"/>
        </w:rPr>
        <w:tab/>
      </w:r>
    </w:p>
    <w:p>
      <w:pPr>
        <w:spacing w:line="4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年一般公共预算财政拨款基本支出669.61万元，其中：</w:t>
      </w:r>
    </w:p>
    <w:p>
      <w:pPr>
        <w:spacing w:line="4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561.46万元，主要包括：基本工资204.86万元、津贴补贴24.48万元、奖金95.61万元、伙食补助费0、绩效工资114.17万元、机关事业单位基本养老保险缴费52.76万元、职业年金缴费0、职工基本医疗保险缴费26.38万元、其他社会保障缴费3.63万元、其他工资福利支出0万元、离休费0、退休0费、抚恤金0、生活补助143.28万元、医疗费补助0、奖励金0、住房公积金39.57万元、其他对个人和家庭的补助支出0.96万元。</w:t>
      </w:r>
    </w:p>
    <w:p>
      <w:pPr>
        <w:spacing w:line="600" w:lineRule="exact"/>
        <w:ind w:firstLine="640"/>
        <w:outlineLvl w:val="1"/>
        <w:rPr>
          <w:rFonts w:hint="eastAsia" w:ascii="仿宋" w:hAnsi="仿宋" w:eastAsia="仿宋"/>
          <w:color w:val="000000"/>
          <w:sz w:val="32"/>
          <w:szCs w:val="32"/>
        </w:rPr>
      </w:pPr>
      <w:r>
        <w:rPr>
          <w:rFonts w:hint="eastAsia" w:ascii="仿宋" w:hAnsi="仿宋" w:eastAsia="仿宋"/>
          <w:color w:val="000000"/>
          <w:sz w:val="32"/>
          <w:szCs w:val="32"/>
        </w:rPr>
        <w:t>日常公用经费47.36万元，主要包括：办公费18万元、印刷费</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万元、咨询费0、手续费0、水费</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万元、邮电费</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万元、取暖费0、物业管理费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10.85</w:t>
      </w:r>
      <w:r>
        <w:rPr>
          <w:rFonts w:hint="eastAsia" w:ascii="仿宋" w:hAnsi="仿宋" w:eastAsia="仿宋"/>
          <w:color w:val="000000"/>
          <w:sz w:val="32"/>
          <w:szCs w:val="32"/>
        </w:rPr>
        <w:t>万元、因公出国（境）费用0、维修（护）费</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万元、租赁费0、会议费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万元、培训费</w:t>
      </w:r>
      <w:r>
        <w:rPr>
          <w:rFonts w:hint="eastAsia" w:ascii="仿宋" w:hAnsi="仿宋" w:eastAsia="仿宋"/>
          <w:color w:val="000000"/>
          <w:sz w:val="32"/>
          <w:szCs w:val="32"/>
          <w:lang w:val="en-US" w:eastAsia="zh-CN"/>
        </w:rPr>
        <w:t>2.6</w:t>
      </w:r>
      <w:r>
        <w:rPr>
          <w:rFonts w:hint="eastAsia" w:ascii="仿宋" w:hAnsi="仿宋" w:eastAsia="仿宋"/>
          <w:color w:val="000000"/>
          <w:sz w:val="32"/>
          <w:szCs w:val="32"/>
        </w:rPr>
        <w:t>万元、公务接待费0、劳务费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万元、委托业务费0、工会经费2.4</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万元、福利费4.0</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万元、公务用车运行维护费0、其他交通费0万元、税金及附加费用0、其他商品和服务支出0、办公设备购置0、专用设备购置0、信息网络及软件购置更新0、其他资本性支出0。</w:t>
      </w:r>
      <w:bookmarkStart w:id="40" w:name="_Toc15396609"/>
      <w:bookmarkStart w:id="41" w:name="_Toc15377215"/>
    </w:p>
    <w:p>
      <w:pPr>
        <w:spacing w:line="600" w:lineRule="exact"/>
        <w:ind w:firstLine="640"/>
        <w:outlineLvl w:val="1"/>
        <w:rPr>
          <w:rStyle w:val="25"/>
          <w:rFonts w:ascii="黑体" w:hAnsi="黑体" w:eastAsia="黑体"/>
          <w:b w:val="0"/>
        </w:rPr>
      </w:pPr>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0.38</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400" w:lineRule="exact"/>
        <w:ind w:firstLine="640"/>
        <w:rPr>
          <w:rFonts w:ascii="仿宋" w:hAnsi="仿宋" w:eastAsia="仿宋"/>
          <w:color w:val="000000"/>
          <w:sz w:val="32"/>
          <w:szCs w:val="32"/>
        </w:rPr>
      </w:pPr>
      <w:bookmarkStart w:id="44" w:name="_Toc15396610"/>
      <w:bookmarkStart w:id="45" w:name="_Toc15377218"/>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400" w:lineRule="exact"/>
        <w:ind w:firstLine="640"/>
        <w:rPr>
          <w:rFonts w:hint="eastAsia"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400" w:lineRule="exact"/>
        <w:ind w:firstLine="640"/>
        <w:rPr>
          <w:rFonts w:hint="eastAsia"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hint="eastAsia" w:ascii="仿宋_GB2312" w:eastAsia="仿宋_GB2312"/>
          <w:color w:val="000000"/>
          <w:sz w:val="32"/>
          <w:szCs w:val="32"/>
          <w:lang w:eastAsia="zh-CN"/>
        </w:rPr>
        <w:t>，</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cs="仿宋"/>
          <w:b w:val="0"/>
          <w:color w:val="000000"/>
          <w:sz w:val="32"/>
          <w:szCs w:val="32"/>
        </w:rPr>
        <w:t>学校没有</w:t>
      </w:r>
      <w:r>
        <w:rPr>
          <w:rFonts w:hint="eastAsia" w:ascii="仿宋_GB2312" w:eastAsia="仿宋_GB2312" w:cs="仿宋_GB2312"/>
          <w:color w:val="000000"/>
          <w:sz w:val="32"/>
          <w:szCs w:val="32"/>
        </w:rPr>
        <w:t>公务用车购置及运行维护费支出。</w:t>
      </w:r>
    </w:p>
    <w:p>
      <w:pPr>
        <w:spacing w:line="4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0万元。全年按规定更新购置公务用车0辆，其中：轿车0辆、金额0万元，越野车0辆、金额0万元，载客汽车0辆、金额0万元，主要用于…。截至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4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4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rPr>
        <w:t>20年增加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w:t>
      </w:r>
    </w:p>
    <w:p>
      <w:pPr>
        <w:spacing w:line="4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执行公务、开展业务活动开支的交通费、住宿费、用餐费等</w:t>
      </w:r>
      <w:r>
        <w:rPr>
          <w:rFonts w:ascii="仿宋_GB2312" w:eastAsia="仿宋_GB2312"/>
          <w:color w:val="000000"/>
          <w:sz w:val="32"/>
          <w:szCs w:val="32"/>
        </w:rPr>
        <w:t>)</w:t>
      </w:r>
      <w:r>
        <w:rPr>
          <w:rFonts w:hint="eastAsia" w:ascii="仿宋_GB2312" w:eastAsia="仿宋_GB2312"/>
          <w:color w:val="000000"/>
          <w:sz w:val="32"/>
          <w:szCs w:val="32"/>
        </w:rPr>
        <w:t>。国内公务接待0批次，0人次（不包括陪同人员），共计支出0万元。</w:t>
      </w:r>
    </w:p>
    <w:p>
      <w:pPr>
        <w:spacing w:line="4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46" w:name="_Toc15396611"/>
      <w:bookmarkStart w:id="47" w:name="_Toc15377219"/>
      <w:r>
        <w:rPr>
          <w:rStyle w:val="25"/>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48" w:name="_Toc15396612"/>
      <w:bookmarkStart w:id="49" w:name="_Toc15377221"/>
      <w:r>
        <w:rPr>
          <w:rStyle w:val="25"/>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400" w:lineRule="exact"/>
        <w:ind w:firstLine="640" w:firstLineChars="200"/>
        <w:rPr>
          <w:rFonts w:ascii="仿宋" w:hAnsi="仿宋" w:eastAsia="仿宋"/>
          <w:b/>
          <w:color w:val="FF0000"/>
          <w:sz w:val="32"/>
          <w:szCs w:val="32"/>
        </w:rPr>
      </w:pPr>
      <w:bookmarkStart w:id="51" w:name="_Toc15377223"/>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年，剑阁县王河小学校机关运行经费支出0万元，比</w:t>
      </w:r>
      <w:r>
        <w:rPr>
          <w:rFonts w:ascii="仿宋_GB2312" w:eastAsia="仿宋_GB2312"/>
          <w:color w:val="000000"/>
          <w:sz w:val="32"/>
          <w:szCs w:val="32"/>
        </w:rPr>
        <w:t>20</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w:t>
      </w:r>
      <w:r>
        <w:rPr>
          <w:rFonts w:hint="eastAsia" w:ascii="仿宋_GB2312" w:eastAsia="仿宋_GB2312"/>
          <w:color w:val="000000"/>
          <w:sz w:val="32"/>
          <w:szCs w:val="32"/>
        </w:rPr>
        <w:t>20年决算数持平）。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51"/>
    </w:p>
    <w:p>
      <w:pPr>
        <w:spacing w:line="400" w:lineRule="exact"/>
        <w:ind w:firstLine="640" w:firstLineChars="200"/>
        <w:rPr>
          <w:rFonts w:ascii="仿宋" w:hAnsi="仿宋" w:eastAsia="仿宋"/>
          <w:b/>
          <w:color w:val="FF0000"/>
          <w:sz w:val="32"/>
          <w:szCs w:val="32"/>
        </w:rPr>
      </w:pPr>
      <w:bookmarkStart w:id="52" w:name="_Toc15377224"/>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年，剑阁县王河小学校政府采购支出总额0万元，其中：政府采购货物支出0万元、政府采购工程支出0万元、政府采购服务支出0万元。授予中小企业合同金额0万元，占政府采购支出总额的0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日，剑阁县王河小学校共有车辆0辆，其中：主要领导干部用车0辆、机要通信用车0辆、应急保障用车0辆、其他用车0辆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autoSpaceDE w:val="0"/>
        <w:autoSpaceDN w:val="0"/>
        <w:adjustRightInd w:val="0"/>
        <w:spacing w:line="400" w:lineRule="exact"/>
        <w:ind w:firstLine="640" w:firstLineChars="200"/>
        <w:jc w:val="left"/>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本部门未组织开展项目支出绩效评价</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3" w:name="_Toc15377225"/>
      <w:bookmarkStart w:id="54" w:name="_Toc15396613"/>
      <w:r>
        <w:rPr>
          <w:rFonts w:hint="eastAsia" w:ascii="黑体" w:hAnsi="黑体" w:eastAsia="黑体"/>
          <w:sz w:val="44"/>
          <w:szCs w:val="44"/>
        </w:rPr>
        <w:t>名</w:t>
      </w:r>
      <w:r>
        <w:rPr>
          <w:rStyle w:val="24"/>
          <w:rFonts w:hint="eastAsia" w:ascii="黑体" w:hAnsi="黑体" w:eastAsia="黑体"/>
          <w:b w:val="0"/>
        </w:rPr>
        <w:t>词解释</w:t>
      </w:r>
      <w:bookmarkEnd w:id="53"/>
      <w:bookmarkEnd w:id="54"/>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2"/>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4"/>
          <w:rFonts w:ascii="黑体" w:hAnsi="黑体" w:eastAsia="黑体"/>
          <w:b w:val="0"/>
        </w:rPr>
      </w:pPr>
      <w:bookmarkStart w:id="55" w:name="_Toc15377226"/>
      <w:r>
        <w:rPr>
          <w:rFonts w:ascii="宋体"/>
          <w:b/>
          <w:sz w:val="44"/>
          <w:szCs w:val="44"/>
        </w:rPr>
        <w:br w:type="page"/>
      </w:r>
      <w:bookmarkStart w:id="56" w:name="_Toc15396614"/>
      <w:r>
        <w:rPr>
          <w:rFonts w:hint="eastAsia" w:ascii="黑体" w:hAnsi="黑体" w:eastAsia="黑体"/>
          <w:sz w:val="44"/>
          <w:szCs w:val="44"/>
        </w:rPr>
        <w:t>第</w:t>
      </w:r>
      <w:r>
        <w:rPr>
          <w:rStyle w:val="24"/>
          <w:rFonts w:hint="eastAsia" w:ascii="黑体" w:hAnsi="黑体" w:eastAsia="黑体"/>
          <w:b w:val="0"/>
        </w:rPr>
        <w:t>四部分 附件</w:t>
      </w:r>
      <w:bookmarkEnd w:id="56"/>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7" w:name="_Toc15396618"/>
      <w:r>
        <w:rPr>
          <w:rFonts w:hint="eastAsia" w:ascii="宋体" w:hAnsi="宋体" w:cs="宋体"/>
          <w:kern w:val="0"/>
          <w:sz w:val="32"/>
          <w:szCs w:val="32"/>
        </w:rPr>
        <w:t>部门预算项目支出绩效自评表（2022年度）</w:t>
      </w:r>
    </w:p>
    <w:p>
      <w:pPr>
        <w:spacing w:line="600" w:lineRule="exact"/>
        <w:jc w:val="left"/>
        <w:outlineLvl w:val="0"/>
        <w:rPr>
          <w:rFonts w:ascii="仿宋_GB2312" w:hAnsi="Calibri" w:eastAsia="仿宋_GB2312" w:cs="仿宋"/>
          <w:kern w:val="0"/>
          <w:sz w:val="32"/>
          <w:szCs w:val="32"/>
        </w:rPr>
      </w:pPr>
    </w:p>
    <w:p>
      <w:pPr>
        <w:spacing w:line="600" w:lineRule="exact"/>
        <w:ind w:firstLine="640" w:firstLineChars="200"/>
        <w:jc w:val="left"/>
        <w:outlineLvl w:val="0"/>
        <w:rPr>
          <w:rFonts w:ascii="仿宋_GB2312" w:hAnsi="Calibri" w:eastAsia="仿宋_GB2312" w:cs="仿宋"/>
          <w:kern w:val="0"/>
          <w:sz w:val="32"/>
          <w:szCs w:val="32"/>
        </w:rPr>
      </w:pPr>
      <w:r>
        <w:rPr>
          <w:rFonts w:hint="eastAsia" w:ascii="仿宋_GB2312" w:hAnsi="Calibri" w:eastAsia="仿宋_GB2312" w:cs="仿宋"/>
          <w:kern w:val="0"/>
          <w:sz w:val="32"/>
          <w:szCs w:val="32"/>
        </w:rPr>
        <w:t>（备注：按照绩效自评工作安排，各单位可在预算管理一体化系统—综合报表查询—预算绩效报表模块中下载本单位“部门预算项目支出绩效自评表（2022年度）”，该表格应作为附件予以公开。）</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5"/>
      <w:bookmarkEnd w:id="57"/>
      <w:bookmarkStart w:id="58"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8"/>
    </w:p>
    <w:p>
      <w:pPr>
        <w:pStyle w:val="4"/>
        <w:rPr>
          <w:rFonts w:ascii="仿宋" w:hAnsi="仿宋" w:eastAsia="仿宋"/>
        </w:rPr>
      </w:pPr>
      <w:bookmarkStart w:id="59" w:name="_Toc15396620"/>
      <w:r>
        <w:rPr>
          <w:rFonts w:hint="eastAsia" w:ascii="仿宋" w:hAnsi="仿宋" w:eastAsia="仿宋"/>
          <w:b w:val="0"/>
        </w:rPr>
        <w:t>二、收</w:t>
      </w:r>
      <w:r>
        <w:rPr>
          <w:rStyle w:val="25"/>
          <w:rFonts w:hint="eastAsia" w:ascii="仿宋" w:hAnsi="仿宋" w:eastAsia="仿宋"/>
          <w:b w:val="0"/>
          <w:bCs w:val="0"/>
        </w:rPr>
        <w:t>入决算表</w:t>
      </w:r>
      <w:bookmarkEnd w:id="59"/>
    </w:p>
    <w:p>
      <w:pPr>
        <w:pStyle w:val="4"/>
        <w:rPr>
          <w:rFonts w:ascii="仿宋" w:hAnsi="仿宋" w:eastAsia="仿宋"/>
        </w:rPr>
      </w:pPr>
      <w:bookmarkStart w:id="60"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60"/>
    </w:p>
    <w:p>
      <w:pPr>
        <w:pStyle w:val="4"/>
        <w:rPr>
          <w:rFonts w:ascii="仿宋" w:hAnsi="仿宋" w:eastAsia="仿宋"/>
          <w:b w:val="0"/>
        </w:rPr>
      </w:pPr>
      <w:bookmarkStart w:id="61"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61"/>
    </w:p>
    <w:p>
      <w:pPr>
        <w:pStyle w:val="4"/>
        <w:rPr>
          <w:rStyle w:val="25"/>
          <w:rFonts w:ascii="仿宋" w:hAnsi="仿宋" w:eastAsia="仿宋"/>
          <w:b w:val="0"/>
          <w:bCs w:val="0"/>
        </w:rPr>
      </w:pPr>
      <w:bookmarkStart w:id="62"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62"/>
      <w:bookmarkStart w:id="63"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63"/>
    </w:p>
    <w:p>
      <w:pPr>
        <w:pStyle w:val="4"/>
        <w:rPr>
          <w:rFonts w:ascii="仿宋" w:hAnsi="仿宋" w:eastAsia="仿宋"/>
        </w:rPr>
      </w:pPr>
      <w:bookmarkStart w:id="64"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4"/>
    </w:p>
    <w:p>
      <w:pPr>
        <w:pStyle w:val="4"/>
        <w:rPr>
          <w:rFonts w:ascii="仿宋" w:hAnsi="仿宋" w:eastAsia="仿宋"/>
        </w:rPr>
      </w:pPr>
      <w:bookmarkStart w:id="65"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5"/>
    </w:p>
    <w:p>
      <w:pPr>
        <w:pStyle w:val="4"/>
        <w:rPr>
          <w:rFonts w:ascii="仿宋" w:hAnsi="仿宋" w:eastAsia="仿宋"/>
        </w:rPr>
      </w:pPr>
      <w:bookmarkStart w:id="66"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6"/>
    </w:p>
    <w:p>
      <w:pPr>
        <w:pStyle w:val="4"/>
        <w:rPr>
          <w:rFonts w:ascii="仿宋" w:hAnsi="仿宋" w:eastAsia="仿宋"/>
        </w:rPr>
      </w:pPr>
      <w:bookmarkStart w:id="67" w:name="_Toc15396628"/>
      <w:r>
        <w:rPr>
          <w:rStyle w:val="25"/>
          <w:rFonts w:hint="eastAsia" w:ascii="仿宋" w:hAnsi="仿宋" w:eastAsia="仿宋"/>
          <w:b w:val="0"/>
          <w:bCs w:val="0"/>
        </w:rPr>
        <w:t>十、</w:t>
      </w:r>
      <w:bookmarkEnd w:id="67"/>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8" w:name="_Toc15396629"/>
      <w:r>
        <w:rPr>
          <w:rStyle w:val="25"/>
          <w:rFonts w:hint="eastAsia" w:ascii="仿宋" w:hAnsi="仿宋" w:eastAsia="仿宋"/>
          <w:b w:val="0"/>
          <w:bCs w:val="0"/>
        </w:rPr>
        <w:t>十一、</w:t>
      </w:r>
      <w:bookmarkEnd w:id="68"/>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9" w:name="_Toc15396630"/>
      <w:r>
        <w:rPr>
          <w:rStyle w:val="25"/>
          <w:rFonts w:hint="eastAsia" w:ascii="仿宋" w:hAnsi="仿宋" w:eastAsia="仿宋"/>
          <w:b w:val="0"/>
          <w:bCs w:val="0"/>
        </w:rPr>
        <w:t>十二、</w:t>
      </w:r>
      <w:bookmarkEnd w:id="69"/>
      <w:r>
        <w:rPr>
          <w:rStyle w:val="25"/>
          <w:rFonts w:hint="eastAsia" w:ascii="仿宋" w:hAnsi="仿宋" w:eastAsia="仿宋"/>
          <w:b w:val="0"/>
          <w:bCs w:val="0"/>
        </w:rPr>
        <w:t>国有资本经营预算财政拨款支出决算表</w:t>
      </w:r>
    </w:p>
    <w:p>
      <w:pPr>
        <w:pStyle w:val="4"/>
        <w:rPr>
          <w:rFonts w:eastAsia="仿宋"/>
        </w:rPr>
      </w:pPr>
      <w:bookmarkStart w:id="70" w:name="_Toc15396631"/>
      <w:r>
        <w:rPr>
          <w:rStyle w:val="25"/>
          <w:rFonts w:hint="eastAsia" w:ascii="仿宋" w:hAnsi="仿宋" w:eastAsia="仿宋"/>
          <w:b w:val="0"/>
          <w:bCs w:val="0"/>
        </w:rPr>
        <w:t>十三、</w:t>
      </w:r>
      <w:bookmarkEnd w:id="70"/>
      <w:r>
        <w:rPr>
          <w:rStyle w:val="25"/>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413502-0081-42DF-8FC0-4210A42AD5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5F9B44B-EEB9-4E30-A5D7-ECBA6A2CCE0C}"/>
  </w:font>
  <w:font w:name="Cambria">
    <w:panose1 w:val="02040503050406030204"/>
    <w:charset w:val="00"/>
    <w:family w:val="roman"/>
    <w:pitch w:val="default"/>
    <w:sig w:usb0="E00006FF" w:usb1="420024FF" w:usb2="02000000" w:usb3="00000000" w:csb0="2000019F" w:csb1="00000000"/>
    <w:embedRegular r:id="rId3" w:fontKey="{EBD820CD-6078-4454-BAB2-3B3305ED2531}"/>
  </w:font>
  <w:font w:name="仿宋_GB2312">
    <w:altName w:val="仿宋"/>
    <w:panose1 w:val="00000000000000000000"/>
    <w:charset w:val="86"/>
    <w:family w:val="modern"/>
    <w:pitch w:val="default"/>
    <w:sig w:usb0="00000000" w:usb1="00000000" w:usb2="00000000" w:usb3="00000000" w:csb0="00040000" w:csb1="00000000"/>
    <w:embedRegular r:id="rId4" w:fontKey="{3B1A1C00-96AE-4174-AD82-AD8B40563381}"/>
  </w:font>
  <w:font w:name="仿宋">
    <w:panose1 w:val="02010609060101010101"/>
    <w:charset w:val="86"/>
    <w:family w:val="modern"/>
    <w:pitch w:val="default"/>
    <w:sig w:usb0="800002BF" w:usb1="38CF7CFA" w:usb2="00000016" w:usb3="00000000" w:csb0="00040001" w:csb1="00000000"/>
    <w:embedRegular r:id="rId5" w:fontKey="{726BA1EE-1D33-463B-A404-6D940D756686}"/>
  </w:font>
  <w:font w:name="方正小标宋简体">
    <w:panose1 w:val="02000000000000000000"/>
    <w:charset w:val="86"/>
    <w:family w:val="script"/>
    <w:pitch w:val="default"/>
    <w:sig w:usb0="00000001" w:usb1="08000000" w:usb2="00000000" w:usb3="00000000" w:csb0="00040000" w:csb1="00000000"/>
    <w:embedRegular r:id="rId6" w:fontKey="{F6FE8C16-5107-4ED7-9D93-0D1FDF8212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C2115D"/>
    <w:rsid w:val="03FE0DF0"/>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8E21BE"/>
    <w:rsid w:val="2ABE7A3E"/>
    <w:rsid w:val="2CA234A8"/>
    <w:rsid w:val="2D954732"/>
    <w:rsid w:val="2EFA178C"/>
    <w:rsid w:val="30B46D73"/>
    <w:rsid w:val="319F7F4E"/>
    <w:rsid w:val="383D272C"/>
    <w:rsid w:val="39AE70AB"/>
    <w:rsid w:val="3C0C0783"/>
    <w:rsid w:val="3F9F3A96"/>
    <w:rsid w:val="48BF60AB"/>
    <w:rsid w:val="48E12AC9"/>
    <w:rsid w:val="493C27E9"/>
    <w:rsid w:val="496F39ED"/>
    <w:rsid w:val="49FF41D3"/>
    <w:rsid w:val="4BE068DB"/>
    <w:rsid w:val="4BF6002B"/>
    <w:rsid w:val="4ECE2238"/>
    <w:rsid w:val="51DB4B86"/>
    <w:rsid w:val="55333C3E"/>
    <w:rsid w:val="563F1275"/>
    <w:rsid w:val="64CA39A1"/>
    <w:rsid w:val="69630ADE"/>
    <w:rsid w:val="6C4A05C8"/>
    <w:rsid w:val="6D3B1A89"/>
    <w:rsid w:val="71BF4EC2"/>
    <w:rsid w:val="71F45307"/>
    <w:rsid w:val="72734D90"/>
    <w:rsid w:val="7412278C"/>
    <w:rsid w:val="79E7B28D"/>
    <w:rsid w:val="7AAA6A43"/>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autoRedefine/>
    <w:unhideWhenUsed/>
    <w:qFormat/>
    <w:uiPriority w:val="39"/>
    <w:pPr>
      <w:tabs>
        <w:tab w:val="right" w:leader="dot" w:pos="8296"/>
      </w:tabs>
      <w:ind w:left="840" w:leftChars="400"/>
    </w:pPr>
  </w:style>
  <w:style w:type="paragraph" w:styleId="7">
    <w:name w:val="Balloon Text"/>
    <w:basedOn w:val="1"/>
    <w:link w:val="27"/>
    <w:autoRedefine/>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autoRedefine/>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autoRedefine/>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autoRedefine/>
    <w:semiHidden/>
    <w:qFormat/>
    <w:uiPriority w:val="99"/>
    <w:rPr>
      <w:rFonts w:ascii="Times New Roman" w:hAnsi="Times New Roman"/>
      <w:sz w:val="18"/>
      <w:szCs w:val="18"/>
    </w:rPr>
  </w:style>
  <w:style w:type="character" w:customStyle="1" w:styleId="19">
    <w:name w:val="页脚 字符"/>
    <w:link w:val="8"/>
    <w:autoRedefine/>
    <w:qFormat/>
    <w:locked/>
    <w:uiPriority w:val="99"/>
    <w:rPr>
      <w:sz w:val="18"/>
    </w:rPr>
  </w:style>
  <w:style w:type="character" w:customStyle="1" w:styleId="20">
    <w:name w:val="Body Text Char"/>
    <w:basedOn w:val="13"/>
    <w:autoRedefine/>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17</Pages>
  <Words>5066</Words>
  <Characters>5511</Characters>
  <Lines>41</Lines>
  <Paragraphs>11</Paragraphs>
  <TotalTime>0</TotalTime>
  <ScaleCrop>false</ScaleCrop>
  <LinksUpToDate>false</LinksUpToDate>
  <CharactersWithSpaces>5535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2023-12-28T07:02:28Z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9480C5B41E5849FC9385D858E2A53C2F_12</vt:lpwstr>
  </property>
</Properties>
</file>