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t>附件1：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剑阁县2019年农村饮水安全巩固提升项目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第一批建设任务和补助资金表</w:t>
      </w:r>
    </w:p>
    <w:tbl>
      <w:tblPr>
        <w:tblW w:w="9251" w:type="dxa"/>
        <w:jc w:val="center"/>
        <w:tblInd w:w="-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885"/>
        <w:gridCol w:w="1245"/>
        <w:gridCol w:w="1230"/>
        <w:gridCol w:w="1725"/>
        <w:gridCol w:w="1409"/>
        <w:gridCol w:w="957"/>
        <w:gridCol w:w="855"/>
      </w:tblGrid>
      <w:tr w:rsidR="008E5A14" w:rsidTr="00994374">
        <w:trPr>
          <w:trHeight w:hRule="exact" w:val="425"/>
          <w:tblHeader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乡镇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解决贫困人口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（人）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工程处数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（处）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工程类型（处）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补助资金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（万元）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E5A14" w:rsidTr="00994374">
        <w:trPr>
          <w:trHeight w:hRule="exact" w:val="425"/>
          <w:tblHeader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集中供水（处）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分散供水（处）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4362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886.00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汉阳镇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陡嘴村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张王镇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苍山村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普安镇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白虎村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银山村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30.41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江石乡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天堂村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姚家乡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柳场村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东宝镇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新建村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双华村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西阳村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桐梁村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长梁村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迎春村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马灯乡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双坪村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秀钟乡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王河村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8.59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太清村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开封镇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友爱村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迎水乡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马林村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6.79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寺坝村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国光乡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石堰村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13.51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碗泉乡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高垭村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3.46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大林村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元山镇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盘石村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双狮村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柘坝乡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龙柏村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公店乡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五一村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8.84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金仙镇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西河村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双柏村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6.61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圈龙乡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三泉村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涂山镇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皇山村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太和村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涂山村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49.67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香沉镇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剑南村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124.86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龙台村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长岭乡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玉台村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禾丰乡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健全村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店子镇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石岩村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盘龙村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18.75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碑垭乡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小碑村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鹤龄镇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白鹤村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75.29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青木村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39.37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锦屏乡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青墟村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樵店乡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木林村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羊岭镇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大堰村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江口镇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金钟村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新禾村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新庄村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11.32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高堂村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木马镇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庵子村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3.48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柏垭乡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井泉村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42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高观镇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元岭村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23.65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附件2：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剑阁县2019年农村饮水安全巩固提升项目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第二批建设任务和补助资金表</w:t>
      </w:r>
    </w:p>
    <w:tbl>
      <w:tblPr>
        <w:tblW w:w="8892" w:type="dxa"/>
        <w:jc w:val="center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959"/>
        <w:gridCol w:w="1335"/>
        <w:gridCol w:w="1260"/>
        <w:gridCol w:w="1365"/>
        <w:gridCol w:w="1395"/>
        <w:gridCol w:w="1018"/>
        <w:gridCol w:w="690"/>
      </w:tblGrid>
      <w:tr w:rsidR="008E5A14" w:rsidTr="00994374">
        <w:trPr>
          <w:trHeight w:hRule="exact" w:val="300"/>
          <w:tblHeader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乡镇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解决贫困人口（人）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工程处数（处）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工程类型（处）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补助资金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（万元）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8E5A14" w:rsidTr="00994374">
        <w:trPr>
          <w:trHeight w:hRule="exact" w:val="300"/>
          <w:tblHeader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集中供水（处）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分散供水（处）</w:t>
            </w: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6929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318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242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1745.00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上寺乡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桅杆村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剑门关镇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青树村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汉阳镇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张王镇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长石村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嘉陵村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38.56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普安镇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光荣村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同心村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3.81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城东村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闻溪乡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大湾村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营盘社区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檬树村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新观村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永丰村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龙源镇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演正村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宝泉村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10.92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先化村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4.87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尖岭村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23.97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龙石村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永红村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田家乡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5.32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石庆村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江石乡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双塔村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城北镇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剑公社区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龙凤村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新华村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闻溪村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北庙乡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孤玉村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盐店镇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青林村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西庙乡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上游村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八一村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7.81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柳沟镇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新民村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三清村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9.53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毛坝乡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斑竹村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义兴乡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新星社区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34.75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沙河村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宫堂村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8.92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凉山乡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松林村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垂泉乡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寿山村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清水村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武连镇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新桥社区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武五村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4.48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枣垭村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21.9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寨桥村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庙岭村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东宝镇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49.69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双井村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楼台村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5.99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凉安村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西林村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2.97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正兴乡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星火村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8.74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郭沟村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龙虎村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19.69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河西村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马灯乡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纯阳村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马灯村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陈湾村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4.19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瓦子村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秀钟乡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兴盛村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荷花村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5.91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4.31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开封镇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桐坝村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和平社区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3.93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2.33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鞍山村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高池乡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灯塔村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牌坊村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迎水乡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燕子村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2.77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迎水村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7.75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国光乡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清溪村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庆丰村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碗泉乡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庙湾村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12.49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元山镇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松岭村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石楼村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27.55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幸福村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34.65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二教村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石板村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粮丰村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七一村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4.85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柘坝乡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群力村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26.44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迎丰村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7.87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王河镇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新电村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8.84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板桥村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南华村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19.15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鸣凤村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24.99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公店乡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新家村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公兴镇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九龙村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22.45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吼狮乡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向前村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金仙镇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柏垭村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圈龙乡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新风村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17.86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新桥村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太吉村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16.97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涂山镇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大桥村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苏维村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罐铺村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23.1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香沉镇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长岭乡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红岩村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玉溪村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18.72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井坝村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曙光村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桥楼村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11.71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白龙镇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寨门村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古楼村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9.68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龙洞村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石滩村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4.94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禾丰乡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油房村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店子镇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联盟村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17.39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广坪乡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快乐村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碑垭乡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刘家村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摇铃乡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狮子村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36.56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鹤龄镇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化林村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龙潭村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15.72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锦屏乡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白水村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25.88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樵店乡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元包村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中岩村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16.36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羊岭镇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蒲花村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茶角村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11.22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马鞍村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太平村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6.81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杨村镇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建设村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三合村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江口镇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清明村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10.93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木马镇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七柏村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2.09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松木村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威灵村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柏垭乡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新庙村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8.51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柳青村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10.46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高观镇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张帽村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10.38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0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鸡鸣村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10.57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附件3：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剑阁县2019年农村饮水安全巩固提升项目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0"/>
          <w:szCs w:val="40"/>
          <w:lang/>
        </w:rPr>
        <w:t>第三批建设任务和补助资金表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Theme="minorEastAsia" w:hAnsiTheme="minorEastAsia" w:cstheme="minorEastAsia"/>
          <w:b/>
          <w:color w:val="000000"/>
          <w:kern w:val="0"/>
          <w:sz w:val="40"/>
          <w:szCs w:val="40"/>
          <w:lang/>
        </w:rPr>
      </w:pPr>
    </w:p>
    <w:tbl>
      <w:tblPr>
        <w:tblW w:w="8981" w:type="dxa"/>
        <w:jc w:val="center"/>
        <w:tblInd w:w="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2"/>
        <w:gridCol w:w="1785"/>
        <w:gridCol w:w="1545"/>
        <w:gridCol w:w="1375"/>
        <w:gridCol w:w="1034"/>
      </w:tblGrid>
      <w:tr w:rsidR="008E5A14" w:rsidTr="00994374">
        <w:trPr>
          <w:trHeight w:val="111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项目地点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工程处数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（处）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项目资金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（万元）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8E5A14" w:rsidTr="00994374">
        <w:trPr>
          <w:trHeight w:val="600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闻溪乡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供水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站水源地改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建工程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闻溪乡营盘社区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</w:tr>
      <w:tr w:rsidR="008E5A14" w:rsidTr="00994374">
        <w:trPr>
          <w:trHeight w:val="600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民主村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水站水源地改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建工程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城北镇民主村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.00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</w:tr>
    </w:tbl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20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</w:p>
    <w:p w:rsidR="008E5A14" w:rsidRDefault="008E5A14" w:rsidP="008E5A14">
      <w:pPr>
        <w:spacing w:line="576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附件4：</w:t>
      </w:r>
    </w:p>
    <w:p w:rsidR="008E5A14" w:rsidRDefault="008E5A14" w:rsidP="008E5A14">
      <w:pPr>
        <w:spacing w:line="576" w:lineRule="exact"/>
        <w:jc w:val="center"/>
        <w:rPr>
          <w:rFonts w:ascii="方正小标宋简体" w:eastAsia="方正小标宋简体" w:hAnsi="宋体"/>
          <w:b/>
          <w:sz w:val="40"/>
          <w:szCs w:val="40"/>
        </w:rPr>
      </w:pPr>
      <w:r>
        <w:rPr>
          <w:rFonts w:ascii="方正小标宋简体" w:eastAsia="方正小标宋简体" w:hAnsi="宋体" w:hint="eastAsia"/>
          <w:b/>
          <w:sz w:val="40"/>
          <w:szCs w:val="40"/>
        </w:rPr>
        <w:t>剑阁县2019年脱贫攻坚柳河小流域治理项目建设任务和资金</w:t>
      </w:r>
    </w:p>
    <w:p w:rsidR="008E5A14" w:rsidRDefault="008E5A14" w:rsidP="008E5A14">
      <w:pPr>
        <w:spacing w:line="520" w:lineRule="exact"/>
        <w:jc w:val="left"/>
      </w:pPr>
    </w:p>
    <w:p w:rsidR="008E5A14" w:rsidRDefault="008E5A14" w:rsidP="008E5A14">
      <w:pPr>
        <w:spacing w:line="576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一、项目建设地点</w:t>
      </w:r>
    </w:p>
    <w:p w:rsidR="008E5A14" w:rsidRDefault="008E5A14" w:rsidP="008E5A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柳河小流域作为剑阁县2019年国家水土保持重点工程治理区，以2019年脱贫村为主，涉及元山镇的盘石、爱国等10个行政村。</w:t>
      </w:r>
    </w:p>
    <w:p w:rsidR="008E5A14" w:rsidRDefault="008E5A14" w:rsidP="008E5A14">
      <w:pPr>
        <w:spacing w:line="576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二、建设内容</w:t>
      </w:r>
    </w:p>
    <w:p w:rsidR="008E5A14" w:rsidRDefault="008E5A14" w:rsidP="008E5A14">
      <w:pPr>
        <w:adjustRightInd w:val="0"/>
        <w:snapToGrid w:val="0"/>
        <w:spacing w:line="576" w:lineRule="exact"/>
        <w:ind w:firstLineChars="223" w:firstLine="71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治理水土流失面积22.86</w:t>
      </w:r>
      <w:r>
        <w:rPr>
          <w:rFonts w:ascii="仿宋_GB2312" w:eastAsia="仿宋_GB2312" w:hAnsi="仿宋_GB2312" w:cs="仿宋_GB2312" w:hint="eastAsia"/>
          <w:sz w:val="32"/>
          <w:szCs w:val="32"/>
        </w:rPr>
        <w:t>km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其中：坡改梯46.83hm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，保土耕作759.35hm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，经果林116.44hm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，封禁治理1363.38hm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。修建蓄水池38座，沉沙凼49口，修建沟渠11.93km，生产道路12.96km，整治漫水堰4座。</w:t>
      </w:r>
    </w:p>
    <w:p w:rsidR="008E5A14" w:rsidRDefault="008E5A14" w:rsidP="008E5A14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t>三、工程投资</w:t>
      </w:r>
    </w:p>
    <w:p w:rsidR="008E5A14" w:rsidRDefault="008E5A14" w:rsidP="008E5A14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工程总投资1005.00万元。</w:t>
      </w: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附件5：</w:t>
      </w:r>
    </w:p>
    <w:p w:rsidR="008E5A14" w:rsidRDefault="008E5A14" w:rsidP="008E5A14">
      <w:pPr>
        <w:spacing w:line="520" w:lineRule="exact"/>
        <w:jc w:val="center"/>
        <w:rPr>
          <w:rFonts w:ascii="宋体" w:hAnsi="宋体" w:cs="宋体"/>
          <w:color w:val="000000"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  <w:lang/>
        </w:rPr>
        <w:t>剑阁县2019年脱贫攻坚小型农田水利项目建设任务及补助资金表</w:t>
      </w:r>
    </w:p>
    <w:tbl>
      <w:tblPr>
        <w:tblW w:w="84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961"/>
        <w:gridCol w:w="1199"/>
        <w:gridCol w:w="1080"/>
        <w:gridCol w:w="1080"/>
        <w:gridCol w:w="1231"/>
        <w:gridCol w:w="1028"/>
        <w:gridCol w:w="840"/>
      </w:tblGrid>
      <w:tr w:rsidR="008E5A14" w:rsidTr="00994374">
        <w:trPr>
          <w:trHeight w:hRule="exact" w:val="312"/>
          <w:tblHeader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乡镇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建设任务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（万元）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8E5A14" w:rsidTr="00994374">
        <w:trPr>
          <w:trHeight w:hRule="exact" w:val="622"/>
          <w:tblHeader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整治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山坪塘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蓄水池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石河堰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渠道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A14" w:rsidTr="00994374">
        <w:trPr>
          <w:trHeight w:hRule="exact" w:val="312"/>
          <w:tblHeader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（口）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（口）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（道）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（公里）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 xml:space="preserve">.00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下寺镇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空木村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12.59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剑门关镇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7.77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汉阳镇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金星村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12.99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张王镇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苍山村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6.45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金黄村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16.21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闻溪乡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大湾村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14.56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龙源镇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中岭村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14.85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田家乡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龙池村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17.18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江石乡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明镜村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8.91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城北镇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14.08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西庙乡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清潭村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42.94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柳沟镇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光明村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9.04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凉山乡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珠珍村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9.55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甘水村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25.66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义兴乡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劳动村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20.10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垂泉乡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宝珠村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10.01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毛坝乡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百花村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26.00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武连镇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觉苑社区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8.63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东宝镇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龙泉村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18.24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西林村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12.99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正兴乡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金顶村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9.93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开封镇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60.00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马灯乡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陈湾村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23.73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武庵村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19.97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秀钟乡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兴盛村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14.68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迎水乡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马林村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11.99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玉清村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11.16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国光乡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走马村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14.64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碗泉乡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庙湾村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47.41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元山镇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石楼村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13.05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普同村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10.10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王河镇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新电村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21.26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公店乡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平乐村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12.31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智积村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7.84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公兴镇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大凉村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55.29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涂山镇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皇山村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15.34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香沉镇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剑南村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8.49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卫星村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56.41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跃进社区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19.75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三堆村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17.61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元柏村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39.84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金仙镇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小桥村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20.50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白龙镇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寨门村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11.55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古楼村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10.25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禾丰乡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云起村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27.13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店子镇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永兴社区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7.85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广坪乡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快乐村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9.05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前途村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5.99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碑垭乡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小碑村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35.33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摇铃乡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永安村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14.79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唐家村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7.12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双碑村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8.16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鹤龄镇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岳坪村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10.00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羊岭镇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桥河村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15.00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锦屏乡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青墟村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53.70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樵店乡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中岩村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17.85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杨村镇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三合村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28.22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木马镇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威灵村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16.12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前坪村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13.34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高观镇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元岭村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5.78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E5A14" w:rsidTr="00994374">
        <w:trPr>
          <w:trHeight w:hRule="exact" w:val="312"/>
          <w:jc w:val="center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龙山村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13.72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附件6：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0"/>
          <w:lang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0"/>
          <w:lang/>
        </w:rPr>
        <w:t>剑阁县2019年脱贫攻坚小型病险水库除险加固项目建设任务和资金表</w:t>
      </w:r>
    </w:p>
    <w:p w:rsidR="008E5A14" w:rsidRDefault="008E5A14" w:rsidP="008E5A14">
      <w:pPr>
        <w:spacing w:line="300" w:lineRule="exact"/>
        <w:ind w:firstLine="658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0"/>
          <w:lang/>
        </w:rPr>
      </w:pPr>
    </w:p>
    <w:tbl>
      <w:tblPr>
        <w:tblW w:w="85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5"/>
        <w:gridCol w:w="1350"/>
        <w:gridCol w:w="1350"/>
        <w:gridCol w:w="2886"/>
        <w:gridCol w:w="1215"/>
      </w:tblGrid>
      <w:tr w:rsidR="008E5A14" w:rsidTr="00994374">
        <w:trPr>
          <w:trHeight w:hRule="exact" w:val="862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项目地点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水库名称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水库类型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除险加固内容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项目资金</w:t>
            </w:r>
          </w:p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汉阳镇登山村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耳林水库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1748.00</w:t>
            </w: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鹤龄镇印合村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聂家湾水库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杨村镇三合村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三合水库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秀钟乡双星村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王河水库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长岭乡红岩村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王家角水库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凉山乡五羊村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五羊水库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武连镇武侯村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武侯水库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国光乡东王村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鹰窝水库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张王乡长石村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长石水库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汉阳镇永泉村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中槽沟水库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木马镇魁陵村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凌云水库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整治大坝、溢洪道、放水设施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E5A14" w:rsidTr="00994374">
        <w:trPr>
          <w:trHeight w:hRule="exact" w:val="56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秀钟乡太清村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西山水库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小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(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二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)</w:t>
            </w:r>
            <w:r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  <w:lang/>
              </w:rPr>
              <w:t>型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整治大坝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</w:pPr>
    </w:p>
    <w:p w:rsidR="008E5A14" w:rsidRDefault="008E5A14" w:rsidP="008E5A14">
      <w:pPr>
        <w:spacing w:line="576" w:lineRule="exact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  <w:lang/>
        </w:rPr>
        <w:lastRenderedPageBreak/>
        <w:t>附件7：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剑阁县2019年脱贫攻坚高效节水灌溉项目建设任务和补助资金表</w:t>
      </w:r>
    </w:p>
    <w:p w:rsidR="008E5A14" w:rsidRDefault="008E5A14" w:rsidP="008E5A14">
      <w:pPr>
        <w:spacing w:line="560" w:lineRule="exact"/>
        <w:ind w:firstLine="658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tbl>
      <w:tblPr>
        <w:tblW w:w="9780" w:type="dxa"/>
        <w:jc w:val="center"/>
        <w:tblInd w:w="-4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6"/>
        <w:gridCol w:w="1470"/>
        <w:gridCol w:w="2490"/>
        <w:gridCol w:w="2700"/>
        <w:gridCol w:w="1654"/>
      </w:tblGrid>
      <w:tr w:rsidR="008E5A14" w:rsidTr="00994374">
        <w:trPr>
          <w:trHeight w:val="68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项目乡镇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项目村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新建滴灌面积（亩）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补助资金（万元）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备注</w:t>
            </w: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合计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10个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5308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1345.00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城北镇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龙凤村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73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22.00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锯山村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680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197.00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贫困村</w:t>
            </w: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水池村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814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236.00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贫困村</w:t>
            </w: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亮垭村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977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284.00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飞凤村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119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36.00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元山镇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爱国村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880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70.00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贫困村</w:t>
            </w: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盘石村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600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186.00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贫困村</w:t>
            </w: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七一村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365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50.00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王河镇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鸣凤村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106.00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E5A14" w:rsidTr="00994374">
        <w:trPr>
          <w:trHeight w:val="420"/>
          <w:jc w:val="center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新电村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/>
              </w:rPr>
              <w:t xml:space="preserve">158.00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5A14" w:rsidRDefault="008E5A14" w:rsidP="00994374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8E5A14" w:rsidRDefault="008E5A14" w:rsidP="008E5A14">
      <w:pPr>
        <w:spacing w:line="576" w:lineRule="exact"/>
      </w:pPr>
    </w:p>
    <w:p w:rsidR="008D5468" w:rsidRDefault="008D5468"/>
    <w:sectPr w:rsidR="008D5468" w:rsidSect="0037042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68" w:rsidRDefault="008D5468" w:rsidP="008E5A14">
      <w:r>
        <w:separator/>
      </w:r>
    </w:p>
  </w:endnote>
  <w:endnote w:type="continuationSeparator" w:id="1">
    <w:p w:rsidR="008D5468" w:rsidRDefault="008D5468" w:rsidP="008E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8D546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37042C" w:rsidRDefault="008D5468">
                <w:pPr>
                  <w:pStyle w:val="a4"/>
                  <w:rPr>
                    <w:rFonts w:ascii="仿宋" w:eastAsia="仿宋" w:hAnsi="仿宋" w:cs="仿宋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8E5A14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 filled="f" stroked="f" strokeweight=".5pt">
          <v:textbox style="mso-fit-shape-to-text:t" inset="0,0,0,0">
            <w:txbxContent>
              <w:p w:rsidR="0037042C" w:rsidRDefault="008D5468">
                <w:pPr>
                  <w:rPr>
                    <w:szCs w:val="40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68" w:rsidRDefault="008D5468" w:rsidP="008E5A14">
      <w:r>
        <w:separator/>
      </w:r>
    </w:p>
  </w:footnote>
  <w:footnote w:type="continuationSeparator" w:id="1">
    <w:p w:rsidR="008D5468" w:rsidRDefault="008D5468" w:rsidP="008E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2C" w:rsidRDefault="008D54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A14"/>
    <w:rsid w:val="008D5468"/>
    <w:rsid w:val="008E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E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5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5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5A14"/>
    <w:rPr>
      <w:sz w:val="18"/>
      <w:szCs w:val="18"/>
    </w:rPr>
  </w:style>
  <w:style w:type="paragraph" w:styleId="a5">
    <w:name w:val="Normal (Web)"/>
    <w:basedOn w:val="a"/>
    <w:qFormat/>
    <w:rsid w:val="008E5A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8E5A14"/>
    <w:rPr>
      <w:color w:val="0D0D0D"/>
      <w:u w:val="none"/>
    </w:rPr>
  </w:style>
  <w:style w:type="character" w:styleId="a7">
    <w:name w:val="Hyperlink"/>
    <w:basedOn w:val="a0"/>
    <w:qFormat/>
    <w:rsid w:val="008E5A14"/>
    <w:rPr>
      <w:color w:val="32241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1084</Words>
  <Characters>6184</Characters>
  <Application>Microsoft Office Word</Application>
  <DocSecurity>0</DocSecurity>
  <Lines>51</Lines>
  <Paragraphs>14</Paragraphs>
  <ScaleCrop>false</ScaleCrop>
  <Company>HP Inc.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2019-04-25T13:26:00Z</dcterms:created>
  <dcterms:modified xsi:type="dcterms:W3CDTF">2019-04-25T13:26:00Z</dcterms:modified>
</cp:coreProperties>
</file>