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150" w:rsidRDefault="00994150" w:rsidP="00994150">
      <w:pPr>
        <w:widowControl/>
        <w:ind w:left="4498" w:hangingChars="1400" w:hanging="4498"/>
        <w:textAlignment w:val="center"/>
        <w:rPr>
          <w:rFonts w:ascii="黑体" w:eastAsia="黑体" w:hAnsi="黑体" w:cs="宋体"/>
          <w:b/>
          <w:bCs/>
          <w:color w:val="000000"/>
          <w:kern w:val="0"/>
          <w:sz w:val="32"/>
        </w:rPr>
      </w:pPr>
      <w:r>
        <w:rPr>
          <w:rFonts w:ascii="黑体" w:eastAsia="黑体" w:hAnsi="黑体" w:cs="宋体" w:hint="eastAsia"/>
          <w:b/>
          <w:bCs/>
          <w:color w:val="000000"/>
          <w:kern w:val="0"/>
          <w:sz w:val="32"/>
          <w:szCs w:val="32"/>
        </w:rPr>
        <w:t>附件</w:t>
      </w:r>
      <w:r>
        <w:rPr>
          <w:rFonts w:ascii="黑体" w:eastAsia="黑体" w:hAnsi="黑体" w:cs="宋体"/>
          <w:b/>
          <w:bCs/>
          <w:color w:val="000000"/>
          <w:kern w:val="0"/>
          <w:sz w:val="32"/>
          <w:szCs w:val="32"/>
        </w:rPr>
        <w:t>1</w:t>
      </w:r>
    </w:p>
    <w:p w:rsidR="00994150" w:rsidRPr="00C32D99" w:rsidRDefault="00994150" w:rsidP="00994150">
      <w:pPr>
        <w:widowControl/>
        <w:jc w:val="center"/>
        <w:rPr>
          <w:rFonts w:ascii="方正小标宋简体" w:eastAsia="方正小标宋简体" w:hAnsi="黑体" w:cs="宋体" w:hint="eastAsia"/>
          <w:b/>
          <w:bCs/>
          <w:color w:val="000000"/>
          <w:kern w:val="0"/>
          <w:sz w:val="40"/>
          <w:szCs w:val="40"/>
        </w:rPr>
      </w:pPr>
      <w:r w:rsidRPr="00C32D99">
        <w:rPr>
          <w:rFonts w:ascii="方正小标宋简体" w:eastAsia="方正小标宋简体" w:hAnsi="黑体" w:cs="宋体" w:hint="eastAsia"/>
          <w:b/>
          <w:bCs/>
          <w:color w:val="000000"/>
          <w:kern w:val="0"/>
          <w:sz w:val="40"/>
          <w:szCs w:val="40"/>
        </w:rPr>
        <w:t>剑阁县2019年度商贸流通脱贫奔康示范县项目规划表</w:t>
      </w:r>
    </w:p>
    <w:tbl>
      <w:tblPr>
        <w:tblW w:w="15250" w:type="dxa"/>
        <w:jc w:val="center"/>
        <w:tblLayout w:type="fixed"/>
        <w:tblLook w:val="0000"/>
      </w:tblPr>
      <w:tblGrid>
        <w:gridCol w:w="439"/>
        <w:gridCol w:w="1186"/>
        <w:gridCol w:w="1638"/>
        <w:gridCol w:w="2196"/>
        <w:gridCol w:w="1934"/>
        <w:gridCol w:w="3468"/>
        <w:gridCol w:w="1058"/>
        <w:gridCol w:w="675"/>
        <w:gridCol w:w="515"/>
        <w:gridCol w:w="573"/>
        <w:gridCol w:w="604"/>
        <w:gridCol w:w="964"/>
      </w:tblGrid>
      <w:tr w:rsidR="00994150" w:rsidTr="00101BA8">
        <w:trPr>
          <w:trHeight w:val="270"/>
          <w:jc w:val="center"/>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序号</w:t>
            </w:r>
          </w:p>
        </w:tc>
        <w:tc>
          <w:tcPr>
            <w:tcW w:w="1186"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支持方向</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子项目名称</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实施单位</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建筑面积</w:t>
            </w:r>
          </w:p>
        </w:tc>
        <w:tc>
          <w:tcPr>
            <w:tcW w:w="3468"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主要建设内容</w:t>
            </w:r>
          </w:p>
        </w:tc>
        <w:tc>
          <w:tcPr>
            <w:tcW w:w="1058"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投资总额（万元）</w:t>
            </w:r>
          </w:p>
        </w:tc>
        <w:tc>
          <w:tcPr>
            <w:tcW w:w="2367" w:type="dxa"/>
            <w:gridSpan w:val="4"/>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 xml:space="preserve">其中： </w:t>
            </w:r>
          </w:p>
        </w:tc>
        <w:tc>
          <w:tcPr>
            <w:tcW w:w="964"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省级财政补助资金</w:t>
            </w:r>
          </w:p>
        </w:tc>
      </w:tr>
      <w:tr w:rsidR="00994150" w:rsidTr="00101BA8">
        <w:trPr>
          <w:trHeight w:val="270"/>
          <w:jc w:val="center"/>
        </w:trPr>
        <w:tc>
          <w:tcPr>
            <w:tcW w:w="439"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63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93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b/>
                <w:color w:val="000000"/>
                <w:kern w:val="0"/>
                <w:sz w:val="22"/>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675"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自有资金</w:t>
            </w:r>
          </w:p>
        </w:tc>
        <w:tc>
          <w:tcPr>
            <w:tcW w:w="515"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银行贷款</w:t>
            </w:r>
          </w:p>
        </w:tc>
        <w:tc>
          <w:tcPr>
            <w:tcW w:w="1177" w:type="dxa"/>
            <w:gridSpan w:val="2"/>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其中：</w:t>
            </w:r>
          </w:p>
        </w:tc>
        <w:tc>
          <w:tcPr>
            <w:tcW w:w="96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r>
      <w:tr w:rsidR="00994150" w:rsidTr="00101BA8">
        <w:trPr>
          <w:trHeight w:val="540"/>
          <w:jc w:val="center"/>
        </w:trPr>
        <w:tc>
          <w:tcPr>
            <w:tcW w:w="439"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63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93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b/>
                <w:color w:val="000000"/>
                <w:kern w:val="0"/>
                <w:sz w:val="22"/>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515"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利率</w:t>
            </w:r>
          </w:p>
        </w:tc>
        <w:tc>
          <w:tcPr>
            <w:tcW w:w="604" w:type="dxa"/>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利息额</w:t>
            </w:r>
          </w:p>
        </w:tc>
        <w:tc>
          <w:tcPr>
            <w:tcW w:w="96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r>
      <w:tr w:rsidR="00994150" w:rsidTr="00101BA8">
        <w:trPr>
          <w:trHeight w:val="120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w:t>
            </w:r>
          </w:p>
        </w:tc>
        <w:tc>
          <w:tcPr>
            <w:tcW w:w="1186" w:type="dxa"/>
            <w:vMerge w:val="restart"/>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hint="eastAsia"/>
                <w:color w:val="000000"/>
                <w:kern w:val="0"/>
                <w:sz w:val="22"/>
              </w:rPr>
            </w:pPr>
            <w:r>
              <w:rPr>
                <w:rFonts w:ascii="宋体" w:hAnsi="宋体" w:cs="宋体" w:hint="eastAsia"/>
                <w:color w:val="000000"/>
                <w:kern w:val="0"/>
                <w:sz w:val="22"/>
              </w:rPr>
              <w:t>市场体</w:t>
            </w:r>
          </w:p>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系建设</w:t>
            </w: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佳源广场美食街改造项目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四川佳源房地产开发有限公司</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街区总长158米、宽12米，建筑面积2911.71平方米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街区总长158米、宽12米，门店55间。设置美食街标志，统一街区风貌打造、店招及正立面筑装饰、地面铺装、街道陈设、油烟排放系统、油水分离系统建设等。</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320</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320</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150</w:t>
            </w:r>
          </w:p>
        </w:tc>
      </w:tr>
      <w:tr w:rsidR="00994150" w:rsidTr="00101BA8">
        <w:trPr>
          <w:trHeight w:val="92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w:t>
            </w:r>
          </w:p>
        </w:tc>
        <w:tc>
          <w:tcPr>
            <w:tcW w:w="1186" w:type="dxa"/>
            <w:vMerge/>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color w:val="000000"/>
                <w:kern w:val="0"/>
                <w:sz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温泉路美食街改造项目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四川天赐剑门关温泉开发有限公司</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4050.36平方米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150米街风貌和河岸微景观改造。设置美食街标志，门店招牌及正立面筑装饰、地面铺装、街道陈设等。</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310</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310</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150</w:t>
            </w:r>
          </w:p>
        </w:tc>
      </w:tr>
      <w:tr w:rsidR="00994150" w:rsidTr="00101BA8">
        <w:trPr>
          <w:trHeight w:val="607"/>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3</w:t>
            </w:r>
          </w:p>
        </w:tc>
        <w:tc>
          <w:tcPr>
            <w:tcW w:w="1186" w:type="dxa"/>
            <w:vMerge/>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color w:val="000000"/>
                <w:kern w:val="0"/>
                <w:sz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家居建材特色商品市场建设项目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剑阁县鹤鹏实业有限公司</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68000平方米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将已完工剑州国际商贸主体改造为50000平方米欧亚达家居特色商品综合交易市场。</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260</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260</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125</w:t>
            </w:r>
          </w:p>
        </w:tc>
      </w:tr>
      <w:tr w:rsidR="00994150" w:rsidTr="00101BA8">
        <w:trPr>
          <w:trHeight w:val="84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4</w:t>
            </w:r>
          </w:p>
        </w:tc>
        <w:tc>
          <w:tcPr>
            <w:tcW w:w="1186" w:type="dxa"/>
            <w:vMerge/>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color w:val="000000"/>
                <w:kern w:val="0"/>
                <w:sz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白龙镇农贸市场改造项目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 xml:space="preserve">剑阁县供销合作社白龙中心社 </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2000平方米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市场地坪硬化528.3平方米、下水管网改造250米、大棚改造292.5平方米、新增摊位64个、改造摊位24个</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24</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24</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10</w:t>
            </w:r>
          </w:p>
        </w:tc>
      </w:tr>
      <w:tr w:rsidR="00994150" w:rsidTr="00101BA8">
        <w:trPr>
          <w:trHeight w:val="108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5</w:t>
            </w:r>
          </w:p>
        </w:tc>
        <w:tc>
          <w:tcPr>
            <w:tcW w:w="1186" w:type="dxa"/>
            <w:vMerge/>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color w:val="000000"/>
                <w:kern w:val="0"/>
                <w:sz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公兴镇农贸市场改造项目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 xml:space="preserve">剑阁县供销合作社公兴中心社 </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4453平方米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大棚屋面更换450平方米、摊位改造50个、电路线路更换、排水管网改造150米、房屋瓦面更换、补充消防设施设备、市场立面改造</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22</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22</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10</w:t>
            </w:r>
          </w:p>
        </w:tc>
      </w:tr>
      <w:tr w:rsidR="00994150" w:rsidTr="00101BA8">
        <w:trPr>
          <w:trHeight w:val="72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6</w:t>
            </w:r>
          </w:p>
        </w:tc>
        <w:tc>
          <w:tcPr>
            <w:tcW w:w="1186" w:type="dxa"/>
            <w:vMerge/>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color w:val="000000"/>
                <w:kern w:val="0"/>
                <w:sz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羊岭镇农贸市场建设项目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剑阁县羊岭镇人民政府</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900平方米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 xml:space="preserve">900平方米100个摊位钢架蓬盖市场及配套设施。 </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55</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55</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25</w:t>
            </w:r>
          </w:p>
        </w:tc>
      </w:tr>
    </w:tbl>
    <w:p w:rsidR="00994150" w:rsidRDefault="00994150" w:rsidP="00994150"/>
    <w:tbl>
      <w:tblPr>
        <w:tblW w:w="15250" w:type="dxa"/>
        <w:jc w:val="center"/>
        <w:tblLayout w:type="fixed"/>
        <w:tblLook w:val="0000"/>
      </w:tblPr>
      <w:tblGrid>
        <w:gridCol w:w="439"/>
        <w:gridCol w:w="1186"/>
        <w:gridCol w:w="1638"/>
        <w:gridCol w:w="2196"/>
        <w:gridCol w:w="1934"/>
        <w:gridCol w:w="3468"/>
        <w:gridCol w:w="1058"/>
        <w:gridCol w:w="675"/>
        <w:gridCol w:w="515"/>
        <w:gridCol w:w="573"/>
        <w:gridCol w:w="604"/>
        <w:gridCol w:w="964"/>
      </w:tblGrid>
      <w:tr w:rsidR="00994150" w:rsidTr="00101BA8">
        <w:trPr>
          <w:trHeight w:val="270"/>
          <w:jc w:val="center"/>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lastRenderedPageBreak/>
              <w:t>序号</w:t>
            </w:r>
          </w:p>
        </w:tc>
        <w:tc>
          <w:tcPr>
            <w:tcW w:w="1186"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支持方向</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子项目名称</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实施单位</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建筑面积</w:t>
            </w:r>
          </w:p>
        </w:tc>
        <w:tc>
          <w:tcPr>
            <w:tcW w:w="3468" w:type="dxa"/>
            <w:vMerge w:val="restart"/>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主要建设内容</w:t>
            </w:r>
          </w:p>
        </w:tc>
        <w:tc>
          <w:tcPr>
            <w:tcW w:w="1058"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投资总额（万元）</w:t>
            </w:r>
          </w:p>
        </w:tc>
        <w:tc>
          <w:tcPr>
            <w:tcW w:w="2367" w:type="dxa"/>
            <w:gridSpan w:val="4"/>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 xml:space="preserve">其中： </w:t>
            </w:r>
          </w:p>
        </w:tc>
        <w:tc>
          <w:tcPr>
            <w:tcW w:w="964"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省级财政补助资金</w:t>
            </w:r>
          </w:p>
        </w:tc>
      </w:tr>
      <w:tr w:rsidR="00994150" w:rsidTr="00101BA8">
        <w:trPr>
          <w:trHeight w:val="270"/>
          <w:jc w:val="center"/>
        </w:trPr>
        <w:tc>
          <w:tcPr>
            <w:tcW w:w="439"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63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93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b/>
                <w:color w:val="000000"/>
                <w:kern w:val="0"/>
                <w:sz w:val="22"/>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675"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自有资金</w:t>
            </w:r>
          </w:p>
        </w:tc>
        <w:tc>
          <w:tcPr>
            <w:tcW w:w="515" w:type="dxa"/>
            <w:vMerge w:val="restart"/>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银行贷款</w:t>
            </w:r>
          </w:p>
        </w:tc>
        <w:tc>
          <w:tcPr>
            <w:tcW w:w="1177" w:type="dxa"/>
            <w:gridSpan w:val="2"/>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其中：</w:t>
            </w:r>
          </w:p>
        </w:tc>
        <w:tc>
          <w:tcPr>
            <w:tcW w:w="96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r>
      <w:tr w:rsidR="00994150" w:rsidTr="00101BA8">
        <w:trPr>
          <w:trHeight w:val="540"/>
          <w:jc w:val="center"/>
        </w:trPr>
        <w:tc>
          <w:tcPr>
            <w:tcW w:w="439"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18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63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193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b/>
                <w:color w:val="000000"/>
                <w:kern w:val="0"/>
                <w:sz w:val="22"/>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515"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利率</w:t>
            </w:r>
          </w:p>
        </w:tc>
        <w:tc>
          <w:tcPr>
            <w:tcW w:w="604" w:type="dxa"/>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b/>
                <w:color w:val="000000"/>
                <w:kern w:val="0"/>
                <w:sz w:val="22"/>
              </w:rPr>
            </w:pPr>
            <w:r>
              <w:rPr>
                <w:rFonts w:ascii="宋体" w:hAnsi="宋体" w:cs="宋体" w:hint="eastAsia"/>
                <w:b/>
                <w:color w:val="000000"/>
                <w:kern w:val="0"/>
                <w:sz w:val="22"/>
              </w:rPr>
              <w:t>利息额</w:t>
            </w:r>
          </w:p>
        </w:tc>
        <w:tc>
          <w:tcPr>
            <w:tcW w:w="964" w:type="dxa"/>
            <w:vMerge/>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b/>
                <w:color w:val="000000"/>
                <w:kern w:val="0"/>
                <w:sz w:val="22"/>
              </w:rPr>
            </w:pPr>
          </w:p>
        </w:tc>
      </w:tr>
      <w:tr w:rsidR="00994150" w:rsidTr="00101BA8">
        <w:trPr>
          <w:trHeight w:val="112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7</w:t>
            </w:r>
          </w:p>
        </w:tc>
        <w:tc>
          <w:tcPr>
            <w:tcW w:w="1186" w:type="dxa"/>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left"/>
              <w:rPr>
                <w:rFonts w:ascii="宋体" w:hAnsi="宋体" w:cs="宋体"/>
                <w:color w:val="000000"/>
                <w:kern w:val="0"/>
                <w:sz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龙源镇农贸市场改造项目</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剑阁县龙源镇田坝农贸综合市场</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1150平方米</w:t>
            </w: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更换1300平方米棚盖；改造60个摊位；加固和新增钢柱；硬化地面；修建排水沟；设立标识标牌。</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41</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41</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20</w:t>
            </w:r>
          </w:p>
        </w:tc>
      </w:tr>
      <w:tr w:rsidR="00994150" w:rsidTr="00101BA8">
        <w:trPr>
          <w:trHeight w:val="112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8</w:t>
            </w:r>
          </w:p>
        </w:tc>
        <w:tc>
          <w:tcPr>
            <w:tcW w:w="1186" w:type="dxa"/>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家政服务业转型创新发展</w:t>
            </w:r>
          </w:p>
        </w:tc>
        <w:tc>
          <w:tcPr>
            <w:tcW w:w="1638" w:type="dxa"/>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家政扶贫培训</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剑阁县妇联</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培训农村家政服务从业人员二批80人次，每批培训时间不少于5天。</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15</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15</w:t>
            </w:r>
          </w:p>
        </w:tc>
      </w:tr>
      <w:tr w:rsidR="00994150" w:rsidTr="00101BA8">
        <w:trPr>
          <w:trHeight w:val="1880"/>
          <w:jc w:val="center"/>
        </w:trPr>
        <w:tc>
          <w:tcPr>
            <w:tcW w:w="439"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9</w:t>
            </w:r>
          </w:p>
        </w:tc>
        <w:tc>
          <w:tcPr>
            <w:tcW w:w="1186" w:type="dxa"/>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涉农市场主体拓展</w:t>
            </w:r>
          </w:p>
        </w:tc>
        <w:tc>
          <w:tcPr>
            <w:tcW w:w="1638" w:type="dxa"/>
            <w:tcBorders>
              <w:top w:val="nil"/>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拓展名优特新农产品销售渠道</w:t>
            </w:r>
          </w:p>
        </w:tc>
        <w:tc>
          <w:tcPr>
            <w:tcW w:w="2196"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剑阁县商务和经济合作局</w:t>
            </w:r>
          </w:p>
        </w:tc>
        <w:tc>
          <w:tcPr>
            <w:tcW w:w="193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r>
              <w:rPr>
                <w:rFonts w:ascii="宋体" w:hAnsi="宋体" w:cs="宋体" w:hint="eastAsia"/>
                <w:color w:val="000000"/>
                <w:kern w:val="0"/>
                <w:sz w:val="22"/>
              </w:rPr>
              <w:t>支持涉农市场主体拓展市场,其中补助剑阁雅娴食品有限公司30万元、广元市鑫茂农科有限公司10万元、广元市赫诗生物科技有限公司10万元、剑阁县三分田有限公司10万元、剑阁县吴氏生物科技有限公司10万元、剑阁县友派食品有限公司5万元、剑阁县成一食品有限公司5万元、剑阁县龚牛肉食品厂5万元、剑阁县玖泰铂瑞商贸有限公司5万元、剑门关茶厂5万元。</w:t>
            </w: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200</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200</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95</w:t>
            </w:r>
          </w:p>
        </w:tc>
      </w:tr>
      <w:tr w:rsidR="00994150" w:rsidTr="00101BA8">
        <w:trPr>
          <w:trHeight w:val="480"/>
          <w:jc w:val="center"/>
        </w:trPr>
        <w:tc>
          <w:tcPr>
            <w:tcW w:w="3263" w:type="dxa"/>
            <w:gridSpan w:val="3"/>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合    计</w:t>
            </w:r>
          </w:p>
        </w:tc>
        <w:tc>
          <w:tcPr>
            <w:tcW w:w="2196" w:type="dxa"/>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color w:val="000000"/>
                <w:kern w:val="0"/>
                <w:sz w:val="22"/>
              </w:rPr>
            </w:pPr>
          </w:p>
        </w:tc>
        <w:tc>
          <w:tcPr>
            <w:tcW w:w="1934" w:type="dxa"/>
            <w:tcBorders>
              <w:top w:val="single" w:sz="4" w:space="0" w:color="000000"/>
              <w:left w:val="single" w:sz="4" w:space="0" w:color="000000"/>
              <w:bottom w:val="single" w:sz="4" w:space="0" w:color="000000"/>
              <w:right w:val="single" w:sz="4" w:space="0" w:color="000000"/>
            </w:tcBorders>
            <w:vAlign w:val="bottom"/>
          </w:tcPr>
          <w:p w:rsidR="00994150" w:rsidRDefault="00994150" w:rsidP="00101BA8">
            <w:pPr>
              <w:widowControl/>
              <w:spacing w:line="240" w:lineRule="exact"/>
              <w:jc w:val="center"/>
              <w:rPr>
                <w:rFonts w:ascii="宋体" w:hAnsi="宋体" w:cs="宋体"/>
                <w:color w:val="000000"/>
                <w:kern w:val="0"/>
                <w:sz w:val="22"/>
              </w:rPr>
            </w:pPr>
          </w:p>
        </w:tc>
        <w:tc>
          <w:tcPr>
            <w:tcW w:w="346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rPr>
                <w:rFonts w:ascii="宋体" w:hAnsi="宋体" w:cs="宋体"/>
                <w:color w:val="000000"/>
                <w:kern w:val="0"/>
                <w:sz w:val="22"/>
              </w:rPr>
            </w:pPr>
          </w:p>
        </w:tc>
        <w:tc>
          <w:tcPr>
            <w:tcW w:w="1058"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1247</w:t>
            </w:r>
          </w:p>
        </w:tc>
        <w:tc>
          <w:tcPr>
            <w:tcW w:w="67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1232</w:t>
            </w:r>
          </w:p>
        </w:tc>
        <w:tc>
          <w:tcPr>
            <w:tcW w:w="515"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573"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994150" w:rsidRDefault="00994150" w:rsidP="00101BA8">
            <w:pPr>
              <w:widowControl/>
              <w:spacing w:line="240" w:lineRule="exact"/>
              <w:jc w:val="center"/>
              <w:rPr>
                <w:rFonts w:ascii="宋体" w:hAnsi="宋体" w:cs="宋体"/>
                <w:color w:val="000000"/>
                <w:kern w:val="0"/>
                <w:sz w:val="22"/>
              </w:rPr>
            </w:pPr>
            <w:r>
              <w:rPr>
                <w:rFonts w:ascii="宋体" w:hAnsi="宋体" w:cs="宋体" w:hint="eastAsia"/>
                <w:color w:val="000000"/>
                <w:kern w:val="0"/>
                <w:sz w:val="22"/>
              </w:rPr>
              <w:t>600</w:t>
            </w:r>
          </w:p>
        </w:tc>
      </w:tr>
    </w:tbl>
    <w:p w:rsidR="00994150" w:rsidRDefault="00994150" w:rsidP="00994150">
      <w:pPr>
        <w:pStyle w:val="Default"/>
        <w:rPr>
          <w:rFonts w:hint="eastAsia"/>
        </w:rPr>
      </w:pPr>
    </w:p>
    <w:p w:rsidR="00994150" w:rsidRDefault="00994150" w:rsidP="00994150">
      <w:pPr>
        <w:pStyle w:val="Default"/>
        <w:rPr>
          <w:rFonts w:hint="eastAsia"/>
        </w:rPr>
      </w:pPr>
      <w:r>
        <w:rPr>
          <w:rFonts w:hint="eastAsia"/>
        </w:rPr>
        <w:t xml:space="preserve">          </w:t>
      </w:r>
    </w:p>
    <w:p w:rsidR="00994150" w:rsidRDefault="00994150" w:rsidP="00994150">
      <w:pPr>
        <w:pStyle w:val="Default"/>
        <w:jc w:val="both"/>
        <w:rPr>
          <w:rFonts w:ascii="宋体" w:eastAsia="宋体" w:hAnsi="宋体" w:cs="宋体" w:hint="eastAsia"/>
          <w:b/>
          <w:bCs/>
          <w:sz w:val="32"/>
          <w:szCs w:val="32"/>
        </w:rPr>
        <w:sectPr w:rsidR="00994150">
          <w:pgSz w:w="16838" w:h="11906" w:orient="landscape"/>
          <w:pgMar w:top="1701" w:right="1418" w:bottom="1701" w:left="1418" w:header="851" w:footer="1417" w:gutter="0"/>
          <w:cols w:space="720"/>
          <w:docGrid w:type="linesAndChars" w:linePitch="312"/>
        </w:sectPr>
      </w:pPr>
    </w:p>
    <w:p w:rsidR="00994150" w:rsidRDefault="00994150" w:rsidP="00994150">
      <w:pPr>
        <w:pStyle w:val="Default"/>
        <w:spacing w:line="540" w:lineRule="exact"/>
        <w:rPr>
          <w:rFonts w:ascii="黑体" w:eastAsia="黑体" w:hAnsi="黑体" w:cs="黑体"/>
          <w:b/>
          <w:bCs/>
          <w:sz w:val="32"/>
          <w:szCs w:val="32"/>
        </w:rPr>
      </w:pPr>
      <w:r>
        <w:rPr>
          <w:rFonts w:ascii="黑体" w:eastAsia="黑体" w:hAnsi="黑体" w:cs="黑体" w:hint="eastAsia"/>
          <w:b/>
          <w:bCs/>
          <w:sz w:val="32"/>
          <w:szCs w:val="32"/>
        </w:rPr>
        <w:lastRenderedPageBreak/>
        <w:t>附件</w:t>
      </w:r>
      <w:r>
        <w:rPr>
          <w:rFonts w:ascii="黑体" w:eastAsia="黑体" w:hAnsi="黑体" w:cs="黑体"/>
          <w:b/>
          <w:bCs/>
          <w:sz w:val="32"/>
          <w:szCs w:val="32"/>
        </w:rPr>
        <w:t>2</w:t>
      </w:r>
    </w:p>
    <w:p w:rsidR="00994150" w:rsidRDefault="00994150" w:rsidP="00994150">
      <w:pPr>
        <w:pStyle w:val="Default"/>
        <w:spacing w:line="240" w:lineRule="exact"/>
        <w:rPr>
          <w:rFonts w:ascii="黑体" w:eastAsia="黑体" w:hAnsi="黑体" w:cs="黑体" w:hint="eastAsia"/>
          <w:b/>
          <w:bCs/>
          <w:sz w:val="32"/>
          <w:szCs w:val="32"/>
        </w:rPr>
      </w:pPr>
    </w:p>
    <w:p w:rsidR="00994150" w:rsidRDefault="00994150" w:rsidP="00994150">
      <w:pPr>
        <w:spacing w:line="540" w:lineRule="exact"/>
        <w:jc w:val="center"/>
        <w:rPr>
          <w:rFonts w:ascii="方正小标宋简体" w:eastAsia="方正小标宋简体" w:hAnsi="华文中宋" w:cs="华文中宋" w:hint="eastAsia"/>
          <w:b/>
          <w:sz w:val="40"/>
          <w:szCs w:val="40"/>
        </w:rPr>
      </w:pPr>
      <w:r>
        <w:rPr>
          <w:rFonts w:ascii="方正小标宋简体" w:eastAsia="方正小标宋简体" w:hAnsi="华文中宋" w:cs="华文中宋" w:hint="eastAsia"/>
          <w:b/>
          <w:bCs/>
          <w:sz w:val="40"/>
          <w:szCs w:val="40"/>
        </w:rPr>
        <w:t>剑阁县商贸流通脱贫奔康示范县</w:t>
      </w:r>
      <w:r>
        <w:rPr>
          <w:rFonts w:ascii="方正小标宋简体" w:eastAsia="方正小标宋简体" w:hAnsi="华文中宋" w:cs="华文中宋" w:hint="eastAsia"/>
          <w:b/>
          <w:color w:val="000000"/>
          <w:kern w:val="0"/>
          <w:sz w:val="40"/>
          <w:szCs w:val="40"/>
          <w:lang/>
        </w:rPr>
        <w:t>项目</w:t>
      </w:r>
    </w:p>
    <w:p w:rsidR="00994150" w:rsidRDefault="00994150" w:rsidP="00994150">
      <w:pPr>
        <w:pStyle w:val="a5"/>
        <w:autoSpaceDE w:val="0"/>
        <w:autoSpaceDN w:val="0"/>
        <w:adjustRightInd w:val="0"/>
        <w:spacing w:line="540" w:lineRule="exact"/>
        <w:jc w:val="center"/>
        <w:rPr>
          <w:rFonts w:ascii="方正小标宋简体" w:eastAsia="方正小标宋简体" w:hAnsi="华文中宋" w:cs="华文中宋" w:hint="eastAsia"/>
          <w:b/>
          <w:sz w:val="40"/>
          <w:szCs w:val="40"/>
        </w:rPr>
      </w:pPr>
      <w:r>
        <w:rPr>
          <w:rFonts w:ascii="方正小标宋简体" w:eastAsia="方正小标宋简体" w:hAnsi="华文中宋" w:cs="华文中宋" w:hint="eastAsia"/>
          <w:b/>
          <w:color w:val="000000"/>
          <w:kern w:val="0"/>
          <w:sz w:val="40"/>
          <w:szCs w:val="40"/>
          <w:lang/>
        </w:rPr>
        <w:t>资金管理办法</w:t>
      </w:r>
    </w:p>
    <w:p w:rsidR="00994150" w:rsidRDefault="00994150" w:rsidP="00994150">
      <w:pPr>
        <w:pStyle w:val="a5"/>
        <w:autoSpaceDE w:val="0"/>
        <w:autoSpaceDN w:val="0"/>
        <w:adjustRightInd w:val="0"/>
        <w:spacing w:line="540" w:lineRule="exact"/>
        <w:rPr>
          <w:rFonts w:ascii="宋体" w:hAnsi="宋体" w:cs="宋体" w:hint="eastAsia"/>
          <w:sz w:val="32"/>
          <w:szCs w:val="32"/>
        </w:rPr>
      </w:pPr>
      <w:r>
        <w:rPr>
          <w:rFonts w:ascii="宋体" w:hAnsi="宋体" w:cs="宋体" w:hint="eastAsia"/>
          <w:color w:val="000000"/>
          <w:kern w:val="0"/>
          <w:sz w:val="32"/>
          <w:szCs w:val="32"/>
          <w:lang/>
        </w:rPr>
        <w:t xml:space="preserve"> </w:t>
      </w:r>
    </w:p>
    <w:p w:rsidR="00994150" w:rsidRDefault="00994150" w:rsidP="00994150">
      <w:pPr>
        <w:pStyle w:val="a5"/>
        <w:autoSpaceDE w:val="0"/>
        <w:autoSpaceDN w:val="0"/>
        <w:adjustRightInd w:val="0"/>
        <w:spacing w:beforeLines="50" w:afterLines="50" w:line="540" w:lineRule="exact"/>
        <w:jc w:val="center"/>
        <w:rPr>
          <w:rFonts w:ascii="黑体" w:eastAsia="黑体" w:hAnsi="黑体" w:cs="黑体" w:hint="eastAsia"/>
          <w:b/>
          <w:sz w:val="32"/>
          <w:szCs w:val="32"/>
        </w:rPr>
      </w:pPr>
      <w:r>
        <w:rPr>
          <w:rFonts w:ascii="黑体" w:eastAsia="黑体" w:hAnsi="黑体" w:cs="黑体" w:hint="eastAsia"/>
          <w:b/>
          <w:color w:val="000000"/>
          <w:kern w:val="0"/>
          <w:sz w:val="32"/>
          <w:szCs w:val="32"/>
          <w:lang/>
        </w:rPr>
        <w:t>第一章  总则</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第一条</w:t>
      </w:r>
      <w:r>
        <w:rPr>
          <w:rFonts w:ascii="仿宋_GB2312" w:eastAsia="仿宋_GB2312" w:hAnsi="仿宋" w:cs="仿宋" w:hint="eastAsia"/>
          <w:color w:val="000000"/>
          <w:kern w:val="0"/>
          <w:sz w:val="32"/>
          <w:szCs w:val="32"/>
          <w:lang/>
        </w:rPr>
        <w:t xml:space="preserve">  根据</w:t>
      </w:r>
      <w:r>
        <w:rPr>
          <w:rFonts w:ascii="仿宋_GB2312" w:eastAsia="仿宋_GB2312" w:hAnsi="仿宋" w:cs="仿宋" w:hint="eastAsia"/>
          <w:sz w:val="32"/>
          <w:szCs w:val="32"/>
        </w:rPr>
        <w:t>《四川省内贸流通服务业发展专项资金管理办法》（川财建</w:t>
      </w:r>
      <w:r>
        <w:rPr>
          <w:rFonts w:ascii="仿宋_GB2312" w:eastAsia="仿宋" w:hAnsi="仿宋" w:cs="仿宋" w:hint="eastAsia"/>
          <w:sz w:val="32"/>
          <w:szCs w:val="32"/>
        </w:rPr>
        <w:t>〔</w:t>
      </w:r>
      <w:r>
        <w:rPr>
          <w:rFonts w:ascii="仿宋_GB2312" w:eastAsia="仿宋_GB2312" w:hAnsi="仿宋" w:cs="仿宋" w:hint="eastAsia"/>
          <w:sz w:val="32"/>
          <w:szCs w:val="32"/>
        </w:rPr>
        <w:t>2018</w:t>
      </w:r>
      <w:r>
        <w:rPr>
          <w:rFonts w:ascii="仿宋_GB2312" w:eastAsia="仿宋" w:hAnsi="仿宋" w:cs="仿宋" w:hint="eastAsia"/>
          <w:sz w:val="32"/>
          <w:szCs w:val="32"/>
        </w:rPr>
        <w:t>〕</w:t>
      </w:r>
      <w:r>
        <w:rPr>
          <w:rFonts w:ascii="仿宋_GB2312" w:eastAsia="仿宋_GB2312" w:hAnsi="仿宋" w:cs="仿宋" w:hint="eastAsia"/>
          <w:sz w:val="32"/>
          <w:szCs w:val="32"/>
        </w:rPr>
        <w:t>62号）制定</w:t>
      </w:r>
      <w:r>
        <w:rPr>
          <w:rFonts w:ascii="仿宋_GB2312" w:eastAsia="仿宋_GB2312" w:hAnsi="仿宋" w:cs="仿宋" w:hint="eastAsia"/>
          <w:color w:val="000000"/>
          <w:kern w:val="0"/>
          <w:sz w:val="32"/>
          <w:szCs w:val="32"/>
          <w:lang/>
        </w:rPr>
        <w:t>本管理办法，管理办法中的商</w:t>
      </w:r>
      <w:r>
        <w:rPr>
          <w:rFonts w:ascii="仿宋_GB2312" w:eastAsia="仿宋_GB2312" w:hAnsi="仿宋" w:cs="仿宋" w:hint="eastAsia"/>
          <w:sz w:val="32"/>
          <w:szCs w:val="32"/>
        </w:rPr>
        <w:t>贸流通脱贫奔康示范县</w:t>
      </w:r>
      <w:r>
        <w:rPr>
          <w:rFonts w:ascii="仿宋_GB2312" w:eastAsia="仿宋_GB2312" w:hAnsi="仿宋" w:cs="仿宋" w:hint="eastAsia"/>
          <w:color w:val="000000"/>
          <w:kern w:val="0"/>
          <w:sz w:val="32"/>
          <w:szCs w:val="32"/>
          <w:lang/>
        </w:rPr>
        <w:t>项目专项资金是指由上级财政补助安排、专项用于商</w:t>
      </w:r>
      <w:r>
        <w:rPr>
          <w:rFonts w:ascii="仿宋_GB2312" w:eastAsia="仿宋_GB2312" w:hAnsi="仿宋" w:cs="仿宋" w:hint="eastAsia"/>
          <w:sz w:val="32"/>
          <w:szCs w:val="32"/>
        </w:rPr>
        <w:t>贸流通脱贫奔康示范县</w:t>
      </w:r>
      <w:r>
        <w:rPr>
          <w:rFonts w:ascii="仿宋_GB2312" w:eastAsia="仿宋_GB2312" w:hAnsi="仿宋" w:cs="仿宋" w:hint="eastAsia"/>
          <w:color w:val="000000"/>
          <w:kern w:val="0"/>
          <w:sz w:val="32"/>
          <w:szCs w:val="32"/>
          <w:lang/>
        </w:rPr>
        <w:t>范项目建设的资金（以下简称“专项资金”）。</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color w:val="000000"/>
          <w:kern w:val="0"/>
          <w:sz w:val="32"/>
          <w:szCs w:val="32"/>
          <w:lang/>
        </w:rPr>
      </w:pPr>
      <w:r>
        <w:rPr>
          <w:rFonts w:ascii="仿宋_GB2312" w:eastAsia="仿宋_GB2312" w:hAnsi="仿宋" w:cs="仿宋" w:hint="eastAsia"/>
          <w:b/>
          <w:color w:val="000000"/>
          <w:kern w:val="0"/>
          <w:sz w:val="32"/>
          <w:szCs w:val="32"/>
          <w:lang/>
        </w:rPr>
        <w:t>第二条</w:t>
      </w:r>
      <w:r>
        <w:rPr>
          <w:rFonts w:ascii="仿宋_GB2312" w:eastAsia="仿宋_GB2312" w:hAnsi="仿宋" w:cs="仿宋" w:hint="eastAsia"/>
          <w:color w:val="000000"/>
          <w:kern w:val="0"/>
          <w:sz w:val="32"/>
          <w:szCs w:val="32"/>
          <w:lang/>
        </w:rPr>
        <w:t xml:space="preserve">  专项资金重点支持方向</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市场体系建设、涉农市场主体拓展市场、家政扶贫培训三大类项目。</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第三条</w:t>
      </w:r>
      <w:r>
        <w:rPr>
          <w:rFonts w:ascii="仿宋_GB2312" w:eastAsia="仿宋_GB2312" w:hAnsi="仿宋" w:cs="仿宋" w:hint="eastAsia"/>
          <w:color w:val="000000"/>
          <w:kern w:val="0"/>
          <w:sz w:val="32"/>
          <w:szCs w:val="32"/>
          <w:lang/>
        </w:rPr>
        <w:t xml:space="preserve">  专项资金支持方式</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1.采用项目补助、以奖代补、费用补贴等支持方式，鼓励引导社会资本共同参与商贸流通脱贫</w:t>
      </w:r>
      <w:r>
        <w:rPr>
          <w:rFonts w:ascii="仿宋_GB2312" w:eastAsia="仿宋_GB2312" w:hAnsi="仿宋" w:cs="仿宋" w:hint="eastAsia"/>
          <w:sz w:val="32"/>
          <w:szCs w:val="32"/>
        </w:rPr>
        <w:t>奔康示范县</w:t>
      </w:r>
      <w:r>
        <w:rPr>
          <w:rFonts w:ascii="仿宋_GB2312" w:eastAsia="仿宋_GB2312" w:hAnsi="仿宋" w:cs="仿宋" w:hint="eastAsia"/>
          <w:color w:val="000000"/>
          <w:kern w:val="0"/>
          <w:sz w:val="32"/>
          <w:szCs w:val="32"/>
          <w:lang/>
        </w:rPr>
        <w:t>项目建设。</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2.投资特色商品（或专业）市场以定额补助或贷款贴息方式支持。</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3.特色街区整体风貌打造和公共配套设施建设采取以奖代补方式支持，补助总额应低于企业实际投资总额的50％。</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4.</w:t>
      </w:r>
      <w:r>
        <w:rPr>
          <w:rFonts w:ascii="仿宋_GB2312" w:eastAsia="仿宋_GB2312" w:hAnsi="仿宋" w:cs="仿宋" w:hint="eastAsia"/>
          <w:sz w:val="32"/>
          <w:szCs w:val="32"/>
        </w:rPr>
        <w:t>涉农市场主体拓展市场采取报账制，报销比例低于50%。</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color w:val="000000"/>
          <w:sz w:val="32"/>
          <w:szCs w:val="32"/>
        </w:rPr>
      </w:pPr>
      <w:r>
        <w:rPr>
          <w:rFonts w:ascii="仿宋_GB2312" w:eastAsia="仿宋_GB2312" w:hAnsi="仿宋" w:cs="仿宋" w:hint="eastAsia"/>
          <w:b/>
          <w:color w:val="000000"/>
          <w:kern w:val="0"/>
          <w:sz w:val="32"/>
          <w:szCs w:val="32"/>
          <w:lang/>
        </w:rPr>
        <w:t>第四条</w:t>
      </w:r>
      <w:r>
        <w:rPr>
          <w:rFonts w:ascii="仿宋_GB2312" w:eastAsia="仿宋_GB2312" w:hAnsi="仿宋" w:cs="仿宋" w:hint="eastAsia"/>
          <w:color w:val="000000"/>
          <w:kern w:val="0"/>
          <w:sz w:val="32"/>
          <w:szCs w:val="32"/>
          <w:lang/>
        </w:rPr>
        <w:t xml:space="preserve">  专项资金的使用范围</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lastRenderedPageBreak/>
        <w:t>专项资金主要用于项目建设（包含前期策划、可研、设计、招投标费用）、设施设备购置安装等与项目建设实施直接相关的支出。专项资金不得用于征地拆迁、工作经费、车辆购置、非经营项目建设、楼堂馆所建设等支出。</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第五条</w:t>
      </w:r>
      <w:r>
        <w:rPr>
          <w:rFonts w:ascii="仿宋_GB2312" w:eastAsia="仿宋_GB2312" w:hAnsi="仿宋" w:cs="仿宋" w:hint="eastAsia"/>
          <w:color w:val="000000"/>
          <w:kern w:val="0"/>
          <w:sz w:val="32"/>
          <w:szCs w:val="32"/>
          <w:lang/>
        </w:rPr>
        <w:t xml:space="preserve">  专项资金使用和管理遵循以下原则</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1.公平公正，公开透明。专项资金使用必须严格遵守有关法律、法规和相关规章制度。建设运营项目必须采用公开方式确定项目承办主体，公开透明，广泛接受监督。设立征求意见或纪检、审计举报窗口，及时公开项目基本信息。</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特色街区资金补助对象必须同时满足以下2个条件：（一）街区经营设施自有产权占比不低于街区营业面积的20％；（二）承诺承担改造后街区运营项目的招商和管理，且时限不低于5年。</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t>2.政府引导，示范带动。专项资金的使用管理应符合国家和省、市、县产业政策导向，充分发挥财政资金的引导作用，吸引社会资本投入，调动企业和社会发展商贸流通的积极性。</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t>3.创新机制，高效科学。专项资金使用必须以提高资金使用效益为基本导向，增强资金使用的绩效观念，加强对资金使用的监督管理。</w:t>
      </w:r>
    </w:p>
    <w:p w:rsidR="00994150" w:rsidRDefault="00994150" w:rsidP="00994150">
      <w:pPr>
        <w:pStyle w:val="a5"/>
        <w:autoSpaceDE w:val="0"/>
        <w:autoSpaceDN w:val="0"/>
        <w:adjustRightInd w:val="0"/>
        <w:spacing w:beforeLines="50" w:afterLines="50" w:line="540" w:lineRule="exact"/>
        <w:jc w:val="center"/>
        <w:rPr>
          <w:rFonts w:ascii="黑体" w:eastAsia="黑体" w:hAnsi="黑体" w:cs="黑体" w:hint="eastAsia"/>
          <w:b/>
          <w:color w:val="000000"/>
          <w:kern w:val="0"/>
          <w:sz w:val="32"/>
          <w:szCs w:val="32"/>
          <w:lang/>
        </w:rPr>
      </w:pPr>
      <w:r>
        <w:rPr>
          <w:rFonts w:ascii="黑体" w:eastAsia="黑体" w:hAnsi="黑体" w:cs="黑体" w:hint="eastAsia"/>
          <w:b/>
          <w:color w:val="000000"/>
          <w:kern w:val="0"/>
          <w:sz w:val="32"/>
          <w:szCs w:val="32"/>
          <w:lang/>
        </w:rPr>
        <w:t>第二章  职责与分工</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第六条</w:t>
      </w:r>
      <w:r>
        <w:rPr>
          <w:rFonts w:ascii="仿宋_GB2312" w:eastAsia="仿宋_GB2312" w:hAnsi="仿宋" w:cs="仿宋" w:hint="eastAsia"/>
          <w:color w:val="000000"/>
          <w:kern w:val="0"/>
          <w:sz w:val="32"/>
          <w:szCs w:val="32"/>
          <w:lang/>
        </w:rPr>
        <w:t xml:space="preserve">  专项资金由县商务和经济合作局、县财政局共同管理。县商务和经济合作局为项目主管部门，负责检查监督项目实施进度、支持政策落实等工作。县财政局负责专项资金的拨付管理，对专项资金运作和使用情况进行监督并开</w:t>
      </w:r>
      <w:r>
        <w:rPr>
          <w:rFonts w:ascii="仿宋_GB2312" w:eastAsia="仿宋_GB2312" w:hAnsi="仿宋" w:cs="仿宋" w:hint="eastAsia"/>
          <w:color w:val="000000"/>
          <w:kern w:val="0"/>
          <w:sz w:val="32"/>
          <w:szCs w:val="32"/>
          <w:lang/>
        </w:rPr>
        <w:lastRenderedPageBreak/>
        <w:t>展绩效评价。</w:t>
      </w:r>
    </w:p>
    <w:p w:rsidR="00994150" w:rsidRDefault="00994150" w:rsidP="00994150">
      <w:pPr>
        <w:pStyle w:val="a5"/>
        <w:autoSpaceDE w:val="0"/>
        <w:autoSpaceDN w:val="0"/>
        <w:adjustRightInd w:val="0"/>
        <w:spacing w:beforeLines="50" w:afterLines="50" w:line="540" w:lineRule="exact"/>
        <w:jc w:val="center"/>
        <w:rPr>
          <w:rFonts w:ascii="黑体" w:eastAsia="黑体" w:hAnsi="黑体" w:cs="黑体" w:hint="eastAsia"/>
          <w:b/>
          <w:color w:val="000000"/>
          <w:kern w:val="0"/>
          <w:sz w:val="32"/>
          <w:szCs w:val="32"/>
          <w:lang/>
        </w:rPr>
      </w:pPr>
      <w:r>
        <w:rPr>
          <w:rFonts w:ascii="黑体" w:eastAsia="黑体" w:hAnsi="黑体" w:cs="黑体" w:hint="eastAsia"/>
          <w:b/>
          <w:color w:val="000000"/>
          <w:kern w:val="0"/>
          <w:sz w:val="32"/>
          <w:szCs w:val="32"/>
          <w:lang/>
        </w:rPr>
        <w:t>第三章  资金申报、审批和拨付</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第七条</w:t>
      </w:r>
      <w:r>
        <w:rPr>
          <w:rFonts w:ascii="仿宋_GB2312" w:eastAsia="仿宋_GB2312" w:hAnsi="仿宋" w:cs="仿宋" w:hint="eastAsia"/>
          <w:color w:val="000000"/>
          <w:kern w:val="0"/>
          <w:sz w:val="32"/>
          <w:szCs w:val="32"/>
          <w:lang/>
        </w:rPr>
        <w:t xml:space="preserve">  申请专项资金的承办单位（企业）应符合以下条件</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color w:val="000000"/>
          <w:kern w:val="0"/>
          <w:sz w:val="32"/>
          <w:szCs w:val="32"/>
          <w:lang/>
        </w:rPr>
      </w:pPr>
      <w:r>
        <w:rPr>
          <w:rFonts w:ascii="仿宋_GB2312" w:eastAsia="仿宋_GB2312" w:hAnsi="仿宋" w:cs="仿宋" w:hint="eastAsia"/>
          <w:color w:val="000000"/>
          <w:kern w:val="0"/>
          <w:sz w:val="32"/>
          <w:szCs w:val="32"/>
          <w:lang/>
        </w:rPr>
        <w:t>1.在我县注册具备独立法人资格的工商企业或单位。</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t>2.产权明晰，管理规范，具有健全的内部财务管理制度，三年内无违法或受到行政处罚的纪录。</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t>3.符合专项资金申报条件的其他要求。</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第八条</w:t>
      </w:r>
      <w:r>
        <w:rPr>
          <w:rFonts w:ascii="仿宋_GB2312" w:eastAsia="仿宋_GB2312" w:hAnsi="仿宋" w:cs="仿宋" w:hint="eastAsia"/>
          <w:color w:val="000000"/>
          <w:kern w:val="0"/>
          <w:sz w:val="32"/>
          <w:szCs w:val="32"/>
          <w:lang/>
        </w:rPr>
        <w:t xml:space="preserve">  专项资金的审批和拨付。按项目进度分批进行拨付，由符合专项资金申请条件的单位（企业）将资金拨付请示、财政专项资金计划审批表和相关项目资料报项目工作领导小组办公室（县商务和经济合作局）；县商务和经济合作局聘请第三方项目管理和评估机构按照相关规定进行管理和评估，并提出资金拨付意见，根据项目实施进度（项目建设进度完成项目总进度40%时，按程序拨付项目资金30%；进度60%时，拨付50%；进度80%时，拨付70%；项目建设全面竣工后，拨付90%，项目竣工验收合格后，拨付100%）等情况提出资金拨付意见的函送县财政局；县财政局复核无误后，按财政资金拨付程序拨付资金。</w:t>
      </w:r>
    </w:p>
    <w:p w:rsidR="00994150" w:rsidRDefault="00994150" w:rsidP="00994150">
      <w:pPr>
        <w:pStyle w:val="a5"/>
        <w:autoSpaceDE w:val="0"/>
        <w:autoSpaceDN w:val="0"/>
        <w:adjustRightInd w:val="0"/>
        <w:spacing w:beforeLines="50" w:afterLines="50" w:line="540" w:lineRule="exact"/>
        <w:jc w:val="center"/>
        <w:rPr>
          <w:rFonts w:ascii="黑体" w:eastAsia="黑体" w:hAnsi="黑体" w:cs="黑体" w:hint="eastAsia"/>
          <w:b/>
          <w:color w:val="000000"/>
          <w:kern w:val="0"/>
          <w:sz w:val="32"/>
          <w:szCs w:val="32"/>
          <w:lang/>
        </w:rPr>
      </w:pPr>
      <w:r>
        <w:rPr>
          <w:rFonts w:ascii="黑体" w:eastAsia="黑体" w:hAnsi="黑体" w:cs="黑体" w:hint="eastAsia"/>
          <w:b/>
          <w:color w:val="000000"/>
          <w:kern w:val="0"/>
          <w:sz w:val="32"/>
          <w:szCs w:val="32"/>
          <w:lang/>
        </w:rPr>
        <w:t>第四章  实施与要求</w:t>
      </w:r>
    </w:p>
    <w:p w:rsidR="00994150" w:rsidRDefault="00994150" w:rsidP="00994150">
      <w:pPr>
        <w:pStyle w:val="a5"/>
        <w:autoSpaceDE w:val="0"/>
        <w:autoSpaceDN w:val="0"/>
        <w:adjustRightInd w:val="0"/>
        <w:spacing w:line="540" w:lineRule="exact"/>
        <w:ind w:firstLine="642"/>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第九条</w:t>
      </w:r>
      <w:r>
        <w:rPr>
          <w:rFonts w:ascii="仿宋_GB2312" w:eastAsia="仿宋_GB2312" w:hAnsi="仿宋" w:cs="仿宋" w:hint="eastAsia"/>
          <w:color w:val="000000"/>
          <w:kern w:val="0"/>
          <w:sz w:val="32"/>
          <w:szCs w:val="32"/>
          <w:lang/>
        </w:rPr>
        <w:t xml:space="preserve">  获得专项资金支持的项目原则上应当于2019年12月底前实施完毕，特殊情况不得超过2020年3月；获得专项资金支持的项目承办单位（企业）不得随意调整项目，不得转包、分包项目。如有特殊情况确需调整的，需经县商</w:t>
      </w:r>
      <w:r>
        <w:rPr>
          <w:rFonts w:ascii="仿宋_GB2312" w:eastAsia="仿宋_GB2312" w:hAnsi="仿宋" w:cs="仿宋" w:hint="eastAsia"/>
          <w:color w:val="000000"/>
          <w:kern w:val="0"/>
          <w:sz w:val="32"/>
          <w:szCs w:val="32"/>
          <w:lang/>
        </w:rPr>
        <w:lastRenderedPageBreak/>
        <w:t>务、县财政部门报请县政府同意，并按程序上报省商务厅、省财政厅、省扶贫开发局备案。</w:t>
      </w:r>
    </w:p>
    <w:p w:rsidR="00994150" w:rsidRDefault="00994150" w:rsidP="00994150">
      <w:pPr>
        <w:pStyle w:val="a5"/>
        <w:autoSpaceDE w:val="0"/>
        <w:autoSpaceDN w:val="0"/>
        <w:adjustRightInd w:val="0"/>
        <w:spacing w:line="540" w:lineRule="exact"/>
        <w:ind w:firstLine="642"/>
        <w:rPr>
          <w:rFonts w:ascii="仿宋_GB2312" w:eastAsia="仿宋_GB2312" w:hAnsi="仿宋" w:cs="仿宋" w:hint="eastAsia"/>
          <w:color w:val="000000"/>
          <w:kern w:val="0"/>
          <w:sz w:val="32"/>
          <w:szCs w:val="32"/>
          <w:lang/>
        </w:rPr>
      </w:pPr>
      <w:r>
        <w:rPr>
          <w:rFonts w:ascii="仿宋_GB2312" w:eastAsia="仿宋_GB2312" w:hAnsi="仿宋" w:cs="仿宋" w:hint="eastAsia"/>
          <w:b/>
          <w:color w:val="000000"/>
          <w:kern w:val="0"/>
          <w:sz w:val="32"/>
          <w:szCs w:val="32"/>
          <w:lang/>
        </w:rPr>
        <w:t xml:space="preserve">第十条  </w:t>
      </w:r>
      <w:r>
        <w:rPr>
          <w:rFonts w:ascii="仿宋_GB2312" w:eastAsia="仿宋_GB2312" w:hAnsi="仿宋" w:cs="仿宋" w:hint="eastAsia"/>
          <w:color w:val="000000"/>
          <w:kern w:val="0"/>
          <w:sz w:val="32"/>
          <w:szCs w:val="32"/>
          <w:lang/>
        </w:rPr>
        <w:t>获得专项资金支持的项目，其运营维护期限不得低于5年。否则政府有权收回全部财政资金。</w:t>
      </w:r>
    </w:p>
    <w:p w:rsidR="00994150" w:rsidRDefault="00994150" w:rsidP="00994150">
      <w:pPr>
        <w:pStyle w:val="a5"/>
        <w:autoSpaceDE w:val="0"/>
        <w:autoSpaceDN w:val="0"/>
        <w:adjustRightInd w:val="0"/>
        <w:spacing w:beforeLines="50" w:afterLines="50" w:line="540" w:lineRule="exact"/>
        <w:jc w:val="center"/>
        <w:rPr>
          <w:rFonts w:ascii="黑体" w:eastAsia="黑体" w:hAnsi="黑体" w:cs="黑体" w:hint="eastAsia"/>
          <w:b/>
          <w:color w:val="000000"/>
          <w:kern w:val="0"/>
          <w:sz w:val="32"/>
          <w:szCs w:val="32"/>
          <w:lang/>
        </w:rPr>
      </w:pPr>
      <w:r>
        <w:rPr>
          <w:rFonts w:ascii="黑体" w:eastAsia="黑体" w:hAnsi="黑体" w:cs="黑体" w:hint="eastAsia"/>
          <w:b/>
          <w:color w:val="000000"/>
          <w:kern w:val="0"/>
          <w:sz w:val="32"/>
          <w:szCs w:val="32"/>
          <w:lang/>
        </w:rPr>
        <w:t>第五章  监督管理与验收</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 xml:space="preserve">第十一条  </w:t>
      </w:r>
      <w:r>
        <w:rPr>
          <w:rFonts w:ascii="仿宋_GB2312" w:eastAsia="仿宋_GB2312" w:hAnsi="仿宋" w:cs="仿宋" w:hint="eastAsia"/>
          <w:color w:val="000000"/>
          <w:kern w:val="0"/>
          <w:sz w:val="32"/>
          <w:szCs w:val="32"/>
          <w:lang/>
        </w:rPr>
        <w:t>县商务和经济合作局和县财政局应认真做好项目申报和资金监管工作，定期对资金使用情况进行监督检查，确保专项资金安全有效。县商务和经济合作局要建立项目台账制度，加强项目的日常检查，重点检查监督项目合规性、项目实物量完成进度、资金投入进度和承办企业的财务专账。</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t>项目完成最终验收程序，由承办方向剑阁县商务和经济合作局、财政局、扶贫开发局提出验收申请，商务、财政、扶贫开发部门组织人员（包括第三方项目评估机构）进行初步验收，初步验收合格后报请市级主管部门验收，市级主管部门按程序上报备案验收结果。</w:t>
      </w:r>
    </w:p>
    <w:p w:rsidR="00994150" w:rsidRDefault="00994150" w:rsidP="00994150">
      <w:pPr>
        <w:pStyle w:val="a5"/>
        <w:autoSpaceDE w:val="0"/>
        <w:autoSpaceDN w:val="0"/>
        <w:adjustRightInd w:val="0"/>
        <w:spacing w:line="540" w:lineRule="exact"/>
        <w:ind w:firstLineChars="200" w:firstLine="640"/>
        <w:rPr>
          <w:rFonts w:ascii="仿宋_GB2312" w:eastAsia="仿宋_GB2312" w:hAnsi="仿宋" w:cs="仿宋" w:hint="eastAsia"/>
          <w:sz w:val="32"/>
          <w:szCs w:val="32"/>
        </w:rPr>
      </w:pPr>
      <w:r>
        <w:rPr>
          <w:rFonts w:ascii="仿宋_GB2312" w:eastAsia="仿宋_GB2312" w:hAnsi="仿宋" w:cs="仿宋" w:hint="eastAsia"/>
          <w:color w:val="000000"/>
          <w:kern w:val="0"/>
          <w:sz w:val="32"/>
          <w:szCs w:val="32"/>
          <w:lang/>
        </w:rPr>
        <w:t>凡接受财政补贴的项目必须按要求提供交易和活动信息，按要求报送报表。未提供完整信息和不按要求报送报表的项目不得验收。</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第十二条</w:t>
      </w:r>
      <w:r>
        <w:rPr>
          <w:rFonts w:ascii="仿宋_GB2312" w:eastAsia="仿宋_GB2312" w:hAnsi="仿宋" w:cs="仿宋" w:hint="eastAsia"/>
          <w:color w:val="000000"/>
          <w:kern w:val="0"/>
          <w:sz w:val="32"/>
          <w:szCs w:val="32"/>
          <w:lang/>
        </w:rPr>
        <w:t xml:space="preserve">  财政资金实行专款专用，专账核算，并按有关规定使用，确保资金安全及使用效果。县商务和经济合作局会同财政部门聘请第三方专业机构作为项目监理方，负责对项目工程进度、工程质量、工程量等进行核实核准，建立项目管理台账，规范项目档案，负责提供《项目进度报告书》《项目资金拨付建议书》，为每阶段项目资金的拨付提供依</w:t>
      </w:r>
      <w:r>
        <w:rPr>
          <w:rFonts w:ascii="仿宋_GB2312" w:eastAsia="仿宋_GB2312" w:hAnsi="仿宋" w:cs="仿宋" w:hint="eastAsia"/>
          <w:color w:val="000000"/>
          <w:kern w:val="0"/>
          <w:sz w:val="32"/>
          <w:szCs w:val="32"/>
          <w:lang/>
        </w:rPr>
        <w:lastRenderedPageBreak/>
        <w:t>据。在工程类项目中，购买设施设备使用财政资金额度超过50%（含50%）形成的资产要纳入县国有资产进行登记管理。</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第十三条</w:t>
      </w:r>
      <w:r>
        <w:rPr>
          <w:rFonts w:ascii="仿宋_GB2312" w:eastAsia="仿宋_GB2312" w:hAnsi="仿宋" w:cs="仿宋" w:hint="eastAsia"/>
          <w:color w:val="000000"/>
          <w:kern w:val="0"/>
          <w:sz w:val="32"/>
          <w:szCs w:val="32"/>
          <w:lang/>
        </w:rPr>
        <w:t xml:space="preserve">  项目承担单位（企业）收到财政补助资金后，应严格执行项目资金使用的有关规定，并建立专账，严格按照国家有关会计、财政法规及现行财务制度有关规定进行账务处理，及时向县商务和经济合作局、县财政局报告项目资金使用情况。县商务、财政、扶贫移民部门应在项目实施结束后2个月内将项目实施情况和资金使用情况总结上报省、市主管部门。</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第十四条</w:t>
      </w:r>
      <w:r>
        <w:rPr>
          <w:rFonts w:ascii="仿宋_GB2312" w:eastAsia="仿宋_GB2312" w:hAnsi="仿宋" w:cs="仿宋" w:hint="eastAsia"/>
          <w:color w:val="000000"/>
          <w:kern w:val="0"/>
          <w:sz w:val="32"/>
          <w:szCs w:val="32"/>
          <w:lang/>
        </w:rPr>
        <w:t xml:space="preserve">  专项资金必须专款专用，对违反规定使用专项资金的，一经查实，将全额追回已拨付的款项，并取消该单位（企业）三年内申报商贸流通发展资金的资格。对弄虚作假、截留、挪用、挤占专项资金等行为，按《财政违法行为处罚处分条例》（国务院令第427号）的相关规定进行处理。构成犯罪的，依法追究刑事责任。</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第十五条</w:t>
      </w:r>
      <w:r>
        <w:rPr>
          <w:rFonts w:ascii="仿宋_GB2312" w:eastAsia="仿宋_GB2312" w:hAnsi="仿宋" w:cs="仿宋" w:hint="eastAsia"/>
          <w:color w:val="000000"/>
          <w:kern w:val="0"/>
          <w:sz w:val="32"/>
          <w:szCs w:val="32"/>
          <w:lang/>
        </w:rPr>
        <w:t xml:space="preserve">  专项资金坚持统筹使用的原则，若其中一个子项中资金安排不足，应在符合《招投标法》《合同法》的基础上制定资金调整方案，经商务、财政部门会商并经县政府批准，报省级相关部门备案后实施。</w:t>
      </w:r>
    </w:p>
    <w:p w:rsidR="00994150" w:rsidRDefault="00994150" w:rsidP="00994150">
      <w:pPr>
        <w:pStyle w:val="a5"/>
        <w:autoSpaceDE w:val="0"/>
        <w:autoSpaceDN w:val="0"/>
        <w:adjustRightInd w:val="0"/>
        <w:spacing w:beforeLines="50" w:afterLines="50" w:line="540" w:lineRule="exact"/>
        <w:jc w:val="center"/>
        <w:rPr>
          <w:rFonts w:ascii="黑体" w:eastAsia="黑体" w:hAnsi="黑体" w:cs="仿宋" w:hint="eastAsia"/>
          <w:b/>
          <w:color w:val="000000"/>
          <w:kern w:val="0"/>
          <w:sz w:val="32"/>
          <w:szCs w:val="32"/>
          <w:lang/>
        </w:rPr>
      </w:pPr>
      <w:r>
        <w:rPr>
          <w:rFonts w:ascii="黑体" w:eastAsia="黑体" w:hAnsi="黑体" w:cs="黑体" w:hint="eastAsia"/>
          <w:b/>
          <w:color w:val="000000"/>
          <w:kern w:val="0"/>
          <w:sz w:val="32"/>
          <w:szCs w:val="32"/>
          <w:lang/>
        </w:rPr>
        <w:t>第六章  附则</w:t>
      </w:r>
    </w:p>
    <w:p w:rsidR="00994150" w:rsidRDefault="00994150" w:rsidP="00994150">
      <w:pPr>
        <w:pStyle w:val="a5"/>
        <w:autoSpaceDE w:val="0"/>
        <w:autoSpaceDN w:val="0"/>
        <w:adjustRightInd w:val="0"/>
        <w:spacing w:line="540" w:lineRule="exact"/>
        <w:ind w:firstLineChars="200" w:firstLine="643"/>
        <w:rPr>
          <w:rFonts w:ascii="仿宋_GB2312" w:eastAsia="仿宋_GB2312" w:hAnsi="仿宋" w:cs="仿宋" w:hint="eastAsia"/>
          <w:sz w:val="32"/>
          <w:szCs w:val="32"/>
        </w:rPr>
      </w:pPr>
      <w:r>
        <w:rPr>
          <w:rFonts w:ascii="仿宋_GB2312" w:eastAsia="仿宋_GB2312" w:hAnsi="仿宋" w:cs="仿宋" w:hint="eastAsia"/>
          <w:b/>
          <w:color w:val="000000"/>
          <w:kern w:val="0"/>
          <w:sz w:val="32"/>
          <w:szCs w:val="32"/>
          <w:lang/>
        </w:rPr>
        <w:t xml:space="preserve">第十六条  </w:t>
      </w:r>
      <w:r>
        <w:rPr>
          <w:rFonts w:ascii="仿宋_GB2312" w:eastAsia="仿宋_GB2312" w:hAnsi="仿宋" w:cs="仿宋" w:hint="eastAsia"/>
          <w:color w:val="000000"/>
          <w:kern w:val="0"/>
          <w:sz w:val="32"/>
          <w:szCs w:val="32"/>
          <w:lang/>
        </w:rPr>
        <w:t>本办法自发布之日起实施，至项目运营维护期满为止。本办法县财政局、县商务和经济合作局负责解释。如遇有关政策调整将作相应变更。</w:t>
      </w:r>
    </w:p>
    <w:p w:rsidR="00683D24" w:rsidRPr="00994150" w:rsidRDefault="00683D24"/>
    <w:sectPr w:rsidR="00683D24" w:rsidRPr="009941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24" w:rsidRDefault="00683D24" w:rsidP="00994150">
      <w:r>
        <w:separator/>
      </w:r>
    </w:p>
  </w:endnote>
  <w:endnote w:type="continuationSeparator" w:id="1">
    <w:p w:rsidR="00683D24" w:rsidRDefault="00683D24" w:rsidP="009941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ì.">
    <w:altName w:val="黑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24" w:rsidRDefault="00683D24" w:rsidP="00994150">
      <w:r>
        <w:separator/>
      </w:r>
    </w:p>
  </w:footnote>
  <w:footnote w:type="continuationSeparator" w:id="1">
    <w:p w:rsidR="00683D24" w:rsidRDefault="00683D24" w:rsidP="009941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150"/>
    <w:rsid w:val="00683D24"/>
    <w:rsid w:val="00994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99415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1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94150"/>
    <w:rPr>
      <w:sz w:val="18"/>
      <w:szCs w:val="18"/>
    </w:rPr>
  </w:style>
  <w:style w:type="paragraph" w:styleId="a4">
    <w:name w:val="footer"/>
    <w:basedOn w:val="a"/>
    <w:link w:val="Char0"/>
    <w:uiPriority w:val="99"/>
    <w:semiHidden/>
    <w:unhideWhenUsed/>
    <w:rsid w:val="009941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94150"/>
    <w:rPr>
      <w:sz w:val="18"/>
      <w:szCs w:val="18"/>
    </w:rPr>
  </w:style>
  <w:style w:type="paragraph" w:customStyle="1" w:styleId="Default">
    <w:name w:val="Default"/>
    <w:rsid w:val="00994150"/>
    <w:pPr>
      <w:widowControl w:val="0"/>
      <w:autoSpaceDE w:val="0"/>
      <w:autoSpaceDN w:val="0"/>
      <w:adjustRightInd w:val="0"/>
    </w:pPr>
    <w:rPr>
      <w:rFonts w:ascii="..ì." w:eastAsia="..ì." w:hAnsi="..ì." w:cs="..ì."/>
      <w:color w:val="000000"/>
      <w:kern w:val="0"/>
      <w:sz w:val="24"/>
      <w:szCs w:val="24"/>
    </w:rPr>
  </w:style>
  <w:style w:type="paragraph" w:styleId="a5">
    <w:name w:val="Normal (Web)"/>
    <w:basedOn w:val="a"/>
    <w:qFormat/>
    <w:rsid w:val="00994150"/>
    <w:rPr>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584</Words>
  <Characters>3333</Characters>
  <Application>Microsoft Office Word</Application>
  <DocSecurity>0</DocSecurity>
  <Lines>27</Lines>
  <Paragraphs>7</Paragraphs>
  <ScaleCrop>false</ScaleCrop>
  <Company>HP Inc.</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2019-10-21T03:27:00Z</dcterms:created>
  <dcterms:modified xsi:type="dcterms:W3CDTF">2019-10-21T03:27:00Z</dcterms:modified>
</cp:coreProperties>
</file>